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December 20, 2021</w:t>
      </w:r>
    </w:p>
    <w:p>
      <w:pPr>
        <w:spacing w:after="0" w:line="27" w:lineRule="exact"/>
        <w:rPr>
          <w:sz w:val="24"/>
          <w:szCs w:val="24"/>
          <w:color w:val="auto"/>
        </w:rPr>
      </w:pPr>
    </w:p>
    <w:p>
      <w:pPr>
        <w:ind w:left="866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123190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REGISTRATION STATEMENT</w:t>
      </w:r>
    </w:p>
    <w:p>
      <w:pPr>
        <w:jc w:val="center"/>
        <w:ind w:right="2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GoHealth,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9"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2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31" w:lineRule="exact"/>
        <w:rPr>
          <w:sz w:val="24"/>
          <w:szCs w:val="24"/>
          <w:color w:val="auto"/>
        </w:rPr>
      </w:pPr>
    </w:p>
    <w:p>
      <w:pPr>
        <w:sectPr>
          <w:pgSz w:w="11900" w:h="16838" w:orient="portrait"/>
          <w:cols w:equalWidth="0" w:num="2">
            <w:col w:w="7180" w:space="720"/>
            <w:col w:w="3120"/>
          </w:cols>
          <w:pgMar w:left="440" w:top="229" w:right="439" w:bottom="0" w:gutter="0" w:footer="0" w:header="0"/>
          <w:type w:val="continuous"/>
        </w:sectPr>
      </w:pPr>
    </w:p>
    <w:p>
      <w:pPr>
        <w:spacing w:after="0" w:line="11"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4"/>
          <w:szCs w:val="14"/>
          <w:b w:val="1"/>
          <w:bCs w:val="1"/>
          <w:color w:val="auto"/>
        </w:rPr>
        <w:t>(IRS Employer</w:t>
      </w:r>
    </w:p>
    <w:p>
      <w:pPr>
        <w:jc w:val="center"/>
        <w:ind w:right="212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40"/>
          </w:cols>
          <w:pgMar w:left="440" w:top="229" w:right="439" w:bottom="0" w:gutter="0" w:footer="0" w:header="0"/>
          <w:type w:val="continuous"/>
        </w:sectPr>
      </w:pP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214 West Huron St., Chicago, Illinois 60654</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(Address of Principal Executive Offices) (ZIP Code)</w:t>
      </w:r>
    </w:p>
    <w:p>
      <w:pPr>
        <w:sectPr>
          <w:pgSz w:w="11900" w:h="16838" w:orient="portrait"/>
          <w:cols w:equalWidth="0" w:num="1">
            <w:col w:w="11020"/>
          </w:cols>
          <w:pgMar w:left="440" w:top="229" w:right="439" w:bottom="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GOHEALTH, INC. 2021 INDUCEMENT AWARD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BRIAN FARLEY,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Legal Officer 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GoHealth,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 West Huron 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CHICAGO, Illinois 60654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386-8200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IAN D. SCHUMAN,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STELIOS G. SAFFOS,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BRITTANY RUIZ,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LATHAM &amp; WATKINS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1271 Avenue of the Americas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906-1200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488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3"/>
              </w:rPr>
              <w:t>Proposed</w:t>
            </w: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3"/>
              </w:rPr>
              <w:t>Proposed</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w:t>
            </w:r>
          </w:p>
        </w:tc>
        <w:tc>
          <w:tcPr>
            <w:tcW w:w="15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29" w:right="439" w:bottom="0" w:gutter="0" w:footer="0" w:header="0"/>
          <w:type w:val="continuous"/>
        </w:sectPr>
      </w:pPr>
    </w:p>
    <w:bookmarkStart w:id="1" w:name="page2"/>
    <w:bookmarkEnd w:id="1"/>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Class A Common Stock, $0.0001 par value per share 2021</w:t>
            </w:r>
          </w:p>
        </w:tc>
        <w:tc>
          <w:tcPr>
            <w:tcW w:w="1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Inducement Award Plan</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4,000,000</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$3.50 (2)</w:t>
            </w: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$14,000,000</w:t>
            </w:r>
          </w:p>
        </w:tc>
        <w:tc>
          <w:tcPr>
            <w:tcW w:w="1080" w:type="dxa"/>
            <w:vAlign w:val="bottom"/>
          </w:tcPr>
          <w:p>
            <w:pPr>
              <w:jc w:val="right"/>
              <w:spacing w:after="0"/>
              <w:rPr>
                <w:sz w:val="20"/>
                <w:szCs w:val="20"/>
                <w:color w:val="auto"/>
              </w:rPr>
            </w:pPr>
            <w:r>
              <w:rPr>
                <w:rFonts w:ascii="Arial" w:cs="Arial" w:eastAsia="Arial" w:hAnsi="Arial"/>
                <w:sz w:val="18"/>
                <w:szCs w:val="18"/>
                <w:color w:val="auto"/>
              </w:rPr>
              <w:t>$1,297.80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-281940</wp:posOffset>
            </wp:positionV>
            <wp:extent cx="699516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308610"/>
                    </a:xfrm>
                    <a:prstGeom prst="rect">
                      <a:avLst/>
                    </a:prstGeom>
                    <a:noFill/>
                  </pic:spPr>
                </pic:pic>
              </a:graphicData>
            </a:graphic>
          </wp:anchor>
        </w:drawing>
      </w:r>
    </w:p>
    <w:p>
      <w:pPr>
        <w:spacing w:after="0" w:line="20" w:lineRule="exact"/>
        <w:rPr>
          <w:sz w:val="20"/>
          <w:szCs w:val="20"/>
          <w:color w:val="auto"/>
        </w:rPr>
      </w:pPr>
    </w:p>
    <w:p>
      <w:pPr>
        <w:ind w:left="424" w:hanging="424"/>
        <w:spacing w:after="0" w:line="253"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promulgated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this Registration Statement shall also cover any additional shares of Class A Common Stock, par value $0.0001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GoHealth, Inc. (the “</w:t>
      </w:r>
      <w:r>
        <w:rPr>
          <w:rFonts w:ascii="Arial" w:cs="Arial" w:eastAsia="Arial" w:hAnsi="Arial"/>
          <w:sz w:val="18"/>
          <w:szCs w:val="18"/>
          <w:u w:val="single" w:color="auto"/>
          <w:color w:val="auto"/>
        </w:rPr>
        <w:t>Company</w:t>
      </w:r>
      <w:r>
        <w:rPr>
          <w:rFonts w:ascii="Arial" w:cs="Arial" w:eastAsia="Arial" w:hAnsi="Arial"/>
          <w:sz w:val="18"/>
          <w:szCs w:val="18"/>
          <w:color w:val="auto"/>
        </w:rPr>
        <w:t>”) that become issuable under the Company’s 2021 Inducement Award Plan (the “</w:t>
      </w:r>
      <w:r>
        <w:rPr>
          <w:rFonts w:ascii="Arial" w:cs="Arial" w:eastAsia="Arial" w:hAnsi="Arial"/>
          <w:sz w:val="18"/>
          <w:szCs w:val="18"/>
          <w:u w:val="single" w:color="auto"/>
          <w:color w:val="auto"/>
        </w:rPr>
        <w:t>Inducement Plan</w:t>
      </w:r>
      <w:r>
        <w:rPr>
          <w:rFonts w:ascii="Arial" w:cs="Arial" w:eastAsia="Arial" w:hAnsi="Arial"/>
          <w:sz w:val="18"/>
          <w:szCs w:val="18"/>
          <w:color w:val="auto"/>
        </w:rPr>
        <w:t>”) by reason of any stock dividend, stock split, recapitalization or other similar transaction effected without receipt of consideration that increases the number of outstanding shares of Common Stock.</w:t>
      </w:r>
    </w:p>
    <w:p>
      <w:pPr>
        <w:spacing w:after="0" w:line="3" w:lineRule="exact"/>
        <w:rPr>
          <w:rFonts w:ascii="Arial" w:cs="Arial" w:eastAsia="Arial" w:hAnsi="Arial"/>
          <w:sz w:val="18"/>
          <w:szCs w:val="18"/>
          <w:color w:val="auto"/>
        </w:rPr>
      </w:pPr>
    </w:p>
    <w:p>
      <w:pPr>
        <w:ind w:left="424" w:right="160" w:hanging="424"/>
        <w:spacing w:after="0" w:line="277"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estimate is made pursuant to Rule 457(c) and Rule 457(h) of the Securities Act solely for purposes of calculating the registration fee. The Proposed Maximum Offering Price Per Share for shares available for future grant is the average of the high and low prices for the registrant’s Common Stock as reported on The Nasdaq Global Select Market on December 15, 2021, which is $3.50.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170180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44"/>
          </w:cols>
          <w:pgMar w:left="436" w:top="152" w:right="6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Registration Statement on Form S-8 is being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for the purpose of registering 4,000,000 shares of the Company’s Common Stock for issuance under the Inducement Plan.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required to be filed with this Registration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required to be filed with this Registration Statement.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700" w:firstLine="2713"/>
        <w:spacing w:after="0" w:line="440" w:lineRule="auto"/>
        <w:rPr>
          <w:sz w:val="20"/>
          <w:szCs w:val="20"/>
          <w:color w:val="auto"/>
        </w:rPr>
      </w:pPr>
      <w:r>
        <w:rPr>
          <w:rFonts w:ascii="Arial" w:cs="Arial" w:eastAsia="Arial" w:hAnsi="Arial"/>
          <w:sz w:val="18"/>
          <w:szCs w:val="18"/>
          <w:b w:val="1"/>
          <w:bCs w:val="1"/>
          <w:color w:val="auto"/>
        </w:rPr>
        <w:t>INFORMATION REQUIRED IN THE REGISTRATION STATEMENT Item 3. Incorporation of Documents by Reference.</w:t>
      </w:r>
    </w:p>
    <w:p>
      <w:pPr>
        <w:spacing w:after="0" w:line="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following documents filed or to be filed (other than portions of those documents furnished or otherwise not deemed filed) by the Company with the Securities and Exchange Commission (the “Commission”) are incorporated into this Registration Statement by reference, as of their respective dates:</w:t>
      </w:r>
    </w:p>
    <w:p>
      <w:pPr>
        <w:spacing w:after="0" w:line="89" w:lineRule="exact"/>
        <w:rPr>
          <w:sz w:val="20"/>
          <w:szCs w:val="20"/>
          <w:color w:val="auto"/>
        </w:rPr>
      </w:pPr>
    </w:p>
    <w:p>
      <w:pPr>
        <w:ind w:left="960" w:right="440" w:hanging="532"/>
        <w:spacing w:after="0" w:line="342"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Company’s Annual Report on </w:t>
      </w:r>
      <w:hyperlink r:id="rId20">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2020, filed with the Commission on March 16, 2021, which contains the Company’s audited financial statements for the latest fiscal year for which such statements have been filed;</w:t>
      </w:r>
    </w:p>
    <w:p>
      <w:pPr>
        <w:spacing w:after="0" w:line="29" w:lineRule="exact"/>
        <w:rPr>
          <w:rFonts w:ascii="Arial" w:cs="Arial" w:eastAsia="Arial" w:hAnsi="Arial"/>
          <w:sz w:val="16"/>
          <w:szCs w:val="16"/>
          <w:color w:val="auto"/>
        </w:rPr>
      </w:pPr>
    </w:p>
    <w:p>
      <w:pPr>
        <w:ind w:left="96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Company’s Quarterly Reports on Form 10-Q for the periods ended March 31, 2021, June 30, 2021, and September 30, 2021, filed with the Commission on </w:t>
      </w:r>
      <w:hyperlink r:id="rId21">
        <w:r>
          <w:rPr>
            <w:rFonts w:ascii="Arial" w:cs="Arial" w:eastAsia="Arial" w:hAnsi="Arial"/>
            <w:sz w:val="18"/>
            <w:szCs w:val="18"/>
            <w:u w:val="single" w:color="auto"/>
            <w:color w:val="0000EE"/>
          </w:rPr>
          <w:t>May 13, 2021</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EE"/>
          </w:rPr>
          <w:t>August 12, 2021</w:t>
        </w:r>
      </w:hyperlink>
      <w:r>
        <w:rPr>
          <w:rFonts w:ascii="Arial" w:cs="Arial" w:eastAsia="Arial" w:hAnsi="Arial"/>
          <w:sz w:val="18"/>
          <w:szCs w:val="18"/>
          <w:color w:val="auto"/>
        </w:rPr>
        <w:t xml:space="preserve">, and </w:t>
      </w:r>
      <w:hyperlink r:id="rId23">
        <w:r>
          <w:rPr>
            <w:rFonts w:ascii="Arial" w:cs="Arial" w:eastAsia="Arial" w:hAnsi="Arial"/>
            <w:sz w:val="18"/>
            <w:szCs w:val="18"/>
            <w:u w:val="single" w:color="auto"/>
            <w:color w:val="0000EE"/>
          </w:rPr>
          <w:t>November 10, 2021</w:t>
        </w:r>
      </w:hyperlink>
      <w:r>
        <w:rPr>
          <w:rFonts w:ascii="Arial" w:cs="Arial" w:eastAsia="Arial" w:hAnsi="Arial"/>
          <w:sz w:val="18"/>
          <w:szCs w:val="18"/>
          <w:color w:val="auto"/>
        </w:rPr>
        <w:t>, respectively;</w:t>
      </w:r>
    </w:p>
    <w:p>
      <w:pPr>
        <w:spacing w:after="0" w:line="75" w:lineRule="exact"/>
        <w:rPr>
          <w:rFonts w:ascii="Arial" w:cs="Arial" w:eastAsia="Arial" w:hAnsi="Arial"/>
          <w:sz w:val="18"/>
          <w:szCs w:val="18"/>
          <w:color w:val="auto"/>
        </w:rPr>
      </w:pPr>
    </w:p>
    <w:p>
      <w:pPr>
        <w:ind w:left="960" w:right="220" w:hanging="532"/>
        <w:spacing w:after="0" w:line="277" w:lineRule="auto"/>
        <w:tabs>
          <w:tab w:leader="none" w:pos="960" w:val="left"/>
        </w:tabs>
        <w:numPr>
          <w:ilvl w:val="0"/>
          <w:numId w:val="2"/>
        </w:numPr>
        <w:rPr>
          <w:rFonts w:ascii="Arial" w:cs="Arial" w:eastAsia="Arial" w:hAnsi="Arial"/>
          <w:sz w:val="18"/>
          <w:szCs w:val="18"/>
          <w:color w:val="0000EE"/>
        </w:rPr>
      </w:pPr>
      <w:hyperlink r:id="rId24">
        <w:r>
          <w:rPr>
            <w:rFonts w:ascii="Arial" w:cs="Arial" w:eastAsia="Arial" w:hAnsi="Arial"/>
            <w:sz w:val="18"/>
            <w:szCs w:val="18"/>
            <w:color w:val="auto"/>
          </w:rPr>
          <w:t xml:space="preserve">The Company’s Current Reports on Form 8-K filed with the Commission on </w:t>
        </w:r>
        <w:r>
          <w:rPr>
            <w:rFonts w:ascii="Arial" w:cs="Arial" w:eastAsia="Arial" w:hAnsi="Arial"/>
            <w:sz w:val="18"/>
            <w:szCs w:val="18"/>
            <w:u w:val="single" w:color="auto"/>
            <w:color w:val="0000EE"/>
          </w:rPr>
          <w:t>February 10,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28,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14,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August</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EE"/>
          </w:rPr>
          <w:t>30, 2021</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5">
        <w:r>
          <w:rPr>
            <w:rFonts w:ascii="Arial" w:cs="Arial" w:eastAsia="Arial" w:hAnsi="Arial"/>
            <w:sz w:val="18"/>
            <w:szCs w:val="18"/>
            <w:u w:val="single" w:color="auto"/>
            <w:color w:val="0000EE"/>
          </w:rPr>
          <w:t>October 20, 2021</w:t>
        </w:r>
      </w:hyperlink>
      <w:hyperlink r:id="rId24">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6">
        <w:r>
          <w:rPr>
            <w:rFonts w:ascii="Arial" w:cs="Arial" w:eastAsia="Arial" w:hAnsi="Arial"/>
            <w:sz w:val="18"/>
            <w:szCs w:val="18"/>
            <w:u w:val="single" w:color="auto"/>
            <w:color w:val="0000EE"/>
          </w:rPr>
          <w:t>November 10, 202</w:t>
        </w:r>
      </w:hyperlink>
      <w:hyperlink r:id="rId24">
        <w:r>
          <w:rPr>
            <w:rFonts w:ascii="Arial" w:cs="Arial" w:eastAsia="Arial" w:hAnsi="Arial"/>
            <w:sz w:val="18"/>
            <w:szCs w:val="18"/>
            <w:color w:val="000000"/>
          </w:rPr>
          <w:t>1, and</w:t>
        </w:r>
        <w:r>
          <w:rPr>
            <w:rFonts w:ascii="Arial" w:cs="Arial" w:eastAsia="Arial" w:hAnsi="Arial"/>
            <w:sz w:val="18"/>
            <w:szCs w:val="18"/>
            <w:color w:val="0000EE"/>
          </w:rPr>
          <w:t xml:space="preserve"> </w:t>
        </w:r>
      </w:hyperlink>
      <w:hyperlink r:id="rId27">
        <w:r>
          <w:rPr>
            <w:rFonts w:ascii="Arial" w:cs="Arial" w:eastAsia="Arial" w:hAnsi="Arial"/>
            <w:sz w:val="18"/>
            <w:szCs w:val="18"/>
            <w:u w:val="single" w:color="auto"/>
            <w:color w:val="0000EE"/>
          </w:rPr>
          <w:t>December 10, 2021</w:t>
        </w:r>
      </w:hyperlink>
      <w:hyperlink r:id="rId24">
        <w:r>
          <w:rPr>
            <w:rFonts w:ascii="Arial" w:cs="Arial" w:eastAsia="Arial" w:hAnsi="Arial"/>
            <w:sz w:val="18"/>
            <w:szCs w:val="18"/>
            <w:color w:val="000000"/>
          </w:rPr>
          <w:t>;</w:t>
        </w:r>
      </w:hyperlink>
    </w:p>
    <w:p>
      <w:pPr>
        <w:spacing w:after="0" w:line="75" w:lineRule="exact"/>
        <w:rPr>
          <w:rFonts w:ascii="Arial" w:cs="Arial" w:eastAsia="Arial" w:hAnsi="Arial"/>
          <w:sz w:val="18"/>
          <w:szCs w:val="18"/>
          <w:color w:val="0000EE"/>
        </w:rPr>
      </w:pPr>
    </w:p>
    <w:p>
      <w:pPr>
        <w:ind w:left="960" w:right="680" w:hanging="532"/>
        <w:spacing w:after="0" w:line="342"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Company’s </w:t>
      </w:r>
      <w:hyperlink r:id="rId28">
        <w:r>
          <w:rPr>
            <w:rFonts w:ascii="Arial" w:cs="Arial" w:eastAsia="Arial" w:hAnsi="Arial"/>
            <w:sz w:val="16"/>
            <w:szCs w:val="16"/>
            <w:u w:val="single" w:color="auto"/>
            <w:color w:val="0000EE"/>
          </w:rPr>
          <w:t>Definitive Proxy Statement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on Schedule 14A, field with the Commission on April 6, 2021, but only to the extent incorporated by reference in the Company’s Annual Report on </w:t>
      </w:r>
      <w:hyperlink r:id="rId20">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December 31, 2020; and</w:t>
      </w:r>
    </w:p>
    <w:p>
      <w:pPr>
        <w:spacing w:after="0" w:line="29" w:lineRule="exact"/>
        <w:rPr>
          <w:rFonts w:ascii="Arial" w:cs="Arial" w:eastAsia="Arial" w:hAnsi="Arial"/>
          <w:sz w:val="16"/>
          <w:szCs w:val="16"/>
          <w:color w:val="auto"/>
        </w:rPr>
      </w:pPr>
    </w:p>
    <w:p>
      <w:pPr>
        <w:ind w:left="960" w:right="80" w:hanging="532"/>
        <w:spacing w:after="0" w:line="342"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description of the Company’s Common Stock contained in the Company’s Registration Statement on </w:t>
      </w:r>
      <w:hyperlink r:id="rId29">
        <w:r>
          <w:rPr>
            <w:rFonts w:ascii="Arial" w:cs="Arial" w:eastAsia="Arial" w:hAnsi="Arial"/>
            <w:sz w:val="16"/>
            <w:szCs w:val="16"/>
            <w:u w:val="single" w:color="auto"/>
            <w:color w:val="0000EE"/>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dated July 15, 2020 (File No. 001-39390) filed under the Exchange Act, including any amendment or report filed for the purpose of updating such description.</w:t>
      </w:r>
    </w:p>
    <w:p>
      <w:pPr>
        <w:spacing w:after="0" w:line="124" w:lineRule="exact"/>
        <w:rPr>
          <w:rFonts w:ascii="Arial" w:cs="Arial" w:eastAsia="Arial" w:hAnsi="Arial"/>
          <w:sz w:val="16"/>
          <w:szCs w:val="16"/>
          <w:color w:val="auto"/>
        </w:rPr>
      </w:pPr>
    </w:p>
    <w:p>
      <w:pPr>
        <w:ind w:right="100" w:firstLine="440"/>
        <w:spacing w:after="0" w:line="296" w:lineRule="auto"/>
        <w:rPr>
          <w:sz w:val="20"/>
          <w:szCs w:val="20"/>
          <w:color w:val="auto"/>
        </w:rPr>
      </w:pPr>
      <w:r>
        <w:rPr>
          <w:rFonts w:ascii="Arial" w:cs="Arial" w:eastAsia="Arial" w:hAnsi="Arial"/>
          <w:sz w:val="16"/>
          <w:szCs w:val="16"/>
          <w:color w:val="auto"/>
        </w:rPr>
        <w:t>All documents subsequently filed by the Company pursuant to Sections 13(a), 13(c), 14, and 15(d) of the Exchange Act subsequent to the date of this Registration Statement and prior to the filing of a post-effective amendment to this Registration Statement which indicates that all securities then remaining unsold shall be deregistered, shall be deemed to be incorporated by reference in the Registration Statement and to be a part thereof from the date of the filing of such documents; except as to any portion of any future annual or quarterly report to stockholders or document or current report furnished under Items 2.02 or 7.01 of Form 8-K and any corresponding exhibits thereto that is not deemed filed under such provisions.</w:t>
      </w:r>
    </w:p>
    <w:p>
      <w:pPr>
        <w:sectPr>
          <w:pgSz w:w="11900" w:h="16838" w:orient="portrait"/>
          <w:cols w:equalWidth="0" w:num="1">
            <w:col w:w="11000"/>
          </w:cols>
          <w:pgMar w:left="440" w:top="270" w:right="459" w:bottom="1440" w:gutter="0" w:footer="0" w:header="0"/>
        </w:sectPr>
      </w:pPr>
    </w:p>
    <w:bookmarkStart w:id="3" w:name="page4"/>
    <w:bookmarkEnd w:id="3"/>
    <w:p>
      <w:pPr>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Registration Statement and the related prospectus, any statement contained in a document incorporated or deemed to be incorporated by reference shall be deemed to be modified or superseded to the extent that a statement contained herein or in a subsequently filed document which also is or is deemed to be incorporated herein by reference modifies or replaces such statement. Any statement so modified shall not be deemed in its unmodified form to constitute part of this Registration Statement or the related 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or redemption in violation of Delaware corporate law or obtained an improper personal benefit. The Company’s amended and restated certificate of incorporation provides that no director of GoHealth, Inc.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66"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6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Upon consummation of the Transactions, the Company’s amended and restated certificate of incorporation and amended and restated bylaws will provide indemnification for the Company’s directors and officers to the fullest extent permitted by the General Corporation Law of the State of Delaware. The Company will indemnify each person who was or is a party or threatened to be made a party to any threatened, pending or completed action, suit or proceeding (other than an action by or in the right of the Company) by reason of the fact that he or she is or was, or has agreed to become, a director or officer, or is or was serving, or has agreed to serve, at the Company’s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the Company’s best interests, and, with respect to any criminal action or proceeding, he or she had no reasonable cause to believe his or her conduct was unlawful. The Company’s amended and restated certificate of incorporation and amended and restated bylaws will provide that the Company will indemnify any Indemnitee who was or is a party to an action or suit by or in the right of the Company to procure a judgment in the Company’s favor by reason of the fact that the Indemnitee is or was, or has agreed to become, a</w:t>
      </w:r>
    </w:p>
    <w:p>
      <w:pPr>
        <w:sectPr>
          <w:pgSz w:w="11900" w:h="16838" w:orient="portrait"/>
          <w:cols w:equalWidth="0" w:num="1">
            <w:col w:w="10960"/>
          </w:cols>
          <w:pgMar w:left="440" w:top="274" w:right="499" w:bottom="1440" w:gutter="0" w:footer="0" w:header="0"/>
        </w:sectPr>
      </w:pPr>
    </w:p>
    <w:bookmarkStart w:id="4" w:name="page5"/>
    <w:bookmarkEnd w:id="4"/>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 or officer, or is or was serving, or has agreed to serve, at the Company’s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the Company’s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the Company against all expenses (including attorneys’ fees) actually and reasonably incurred in connection therewith. Expenses must be advanced to an Indemnitee under certain circumstances.</w:t>
      </w:r>
    </w:p>
    <w:p>
      <w:pPr>
        <w:spacing w:after="0" w:line="166"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Prior to the consummation of this offering, the Company intends to enter into separate indemnification agreements with each of the Company’s directors and executive officers. Each indemnification agreement will provide, among other things, for indemnification to the fullest extent permitted by law against any and all expenses, judgments, fines, penalties and amounts paid in settlement of any claim. The indemnification agreements will provide for the advancement or payment of all expenses to the indemnitee and for the reimbursement to the Company if it is found that such indemnitee is not entitled to such indemnification under applicable law and the Company’s amended and restated certificate of incorporation and amended and restated bylaws.</w:t>
      </w:r>
    </w:p>
    <w:p>
      <w:pPr>
        <w:spacing w:after="0" w:line="192"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Company maintains a general liability insurance policy that covers certain liabilities of directors and officers of the Company arising out of claims based on acts or omissions in their capacities as directors or officers.</w:t>
      </w:r>
    </w:p>
    <w:p>
      <w:pPr>
        <w:spacing w:after="0" w:line="170"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In any underwriting agreement the Company enters into in connection with the sale of Common Stock being registered hereby, the underwriters will agree to indemnify, under certain conditions, the Company, its directors and officers and persons who control the Company within the meaning of the Securities Act, against certain liabilities.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Exhibits listed on the accompanying Index to Exhibits are filed as part hereof, or incorporated by reference into, this Registration Statement. See Exhibit Index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Company hereby undertakes:</w:t>
      </w:r>
    </w:p>
    <w:p>
      <w:pPr>
        <w:spacing w:after="0" w:line="117" w:lineRule="exact"/>
        <w:rPr>
          <w:sz w:val="20"/>
          <w:szCs w:val="20"/>
          <w:color w:val="auto"/>
        </w:rPr>
      </w:pPr>
    </w:p>
    <w:p>
      <w:pPr>
        <w:ind w:left="1240" w:hanging="253"/>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1600" w:hanging="212"/>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980" w:right="60" w:firstLine="408"/>
        <w:spacing w:after="0" w:line="272" w:lineRule="auto"/>
        <w:tabs>
          <w:tab w:leader="none" w:pos="1646" w:val="left"/>
        </w:tabs>
        <w:numPr>
          <w:ilvl w:val="1"/>
          <w:numId w:val="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ectPr>
          <w:pgSz w:w="11900" w:h="16838" w:orient="portrait"/>
          <w:cols w:equalWidth="0" w:num="1">
            <w:col w:w="11000"/>
          </w:cols>
          <w:pgMar w:left="440" w:top="274" w:right="459" w:bottom="1440" w:gutter="0" w:footer="0" w:header="0"/>
        </w:sectPr>
      </w:pPr>
    </w:p>
    <w:bookmarkStart w:id="5" w:name="page6"/>
    <w:bookmarkEnd w:id="5"/>
    <w:p>
      <w:pPr>
        <w:ind w:left="980" w:right="720" w:firstLine="408"/>
        <w:spacing w:after="0" w:line="277" w:lineRule="auto"/>
        <w:tabs>
          <w:tab w:leader="none" w:pos="1696"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paragraphs (A)(1)(i) and (A)(1)(ii) do not apply if the Registration Statement is on Form S-8, and the information required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the post-effective amendment by those paragraphs is contained in periodic reports filed with or furnished to the Commission by the Company pursuant to Section 13 or Section 15(d) of the Exchange Act that are incorporated by reference in this Registration Statement.</w:t>
      </w:r>
    </w:p>
    <w:p>
      <w:pPr>
        <w:spacing w:after="0" w:line="57" w:lineRule="exact"/>
        <w:rPr>
          <w:sz w:val="20"/>
          <w:szCs w:val="20"/>
          <w:color w:val="auto"/>
        </w:rPr>
      </w:pPr>
    </w:p>
    <w:p>
      <w:pPr>
        <w:jc w:val="both"/>
        <w:ind w:firstLine="987"/>
        <w:spacing w:after="0" w:line="263" w:lineRule="auto"/>
        <w:tabs>
          <w:tab w:leader="none" w:pos="1246"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Arial" w:cs="Arial" w:eastAsia="Arial" w:hAnsi="Arial"/>
          <w:sz w:val="18"/>
          <w:szCs w:val="18"/>
          <w:color w:val="auto"/>
        </w:rPr>
      </w:pPr>
    </w:p>
    <w:p>
      <w:pPr>
        <w:ind w:right="60" w:firstLine="987"/>
        <w:spacing w:after="0" w:line="277" w:lineRule="auto"/>
        <w:tabs>
          <w:tab w:leader="none" w:pos="1246"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firstLine="436"/>
        <w:spacing w:after="0" w:line="257" w:lineRule="auto"/>
        <w:tabs>
          <w:tab w:leader="none" w:pos="65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Company hereby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9" w:lineRule="exact"/>
        <w:rPr>
          <w:rFonts w:ascii="Arial" w:cs="Arial" w:eastAsia="Arial" w:hAnsi="Arial"/>
          <w:sz w:val="18"/>
          <w:szCs w:val="18"/>
          <w:color w:val="auto"/>
        </w:rPr>
      </w:pPr>
    </w:p>
    <w:p>
      <w:pPr>
        <w:ind w:firstLine="436"/>
        <w:spacing w:after="0" w:line="254" w:lineRule="auto"/>
        <w:tabs>
          <w:tab w:leader="none" w:pos="65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ectPr>
          <w:pgSz w:w="11900" w:h="16838" w:orient="portrait"/>
          <w:cols w:equalWidth="0" w:num="1">
            <w:col w:w="10980"/>
          </w:cols>
          <w:pgMar w:left="440" w:top="274" w:right="4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20" w:type="dxa"/>
            <w:vAlign w:val="bottom"/>
            <w:gridSpan w:val="9"/>
          </w:tcPr>
          <w:p>
            <w:pPr>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20" w:type="dxa"/>
            <w:vAlign w:val="bottom"/>
            <w:gridSpan w:val="7"/>
            <w:vMerge w:val="restart"/>
          </w:tcPr>
          <w:p>
            <w:pPr>
              <w:ind w:left="20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2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2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2"/>
                <w:szCs w:val="22"/>
                <w:color w:val="auto"/>
              </w:rPr>
            </w:pPr>
          </w:p>
        </w:tc>
        <w:tc>
          <w:tcPr>
            <w:tcW w:w="9980" w:type="dxa"/>
            <w:vAlign w:val="bottom"/>
            <w:gridSpan w:val="12"/>
          </w:tcPr>
          <w:p>
            <w:pPr>
              <w:spacing w:after="0"/>
              <w:rPr>
                <w:rFonts w:ascii="Arial" w:cs="Arial" w:eastAsia="Arial" w:hAnsi="Arial"/>
                <w:sz w:val="18"/>
                <w:szCs w:val="18"/>
                <w:color w:val="0000EE"/>
                <w:w w:val="98"/>
              </w:rPr>
            </w:pPr>
            <w:hyperlink r:id="rId33">
              <w:r>
                <w:rPr>
                  <w:rFonts w:ascii="Arial" w:cs="Arial" w:eastAsia="Arial" w:hAnsi="Arial"/>
                  <w:sz w:val="18"/>
                  <w:szCs w:val="18"/>
                  <w:color w:val="0000EE"/>
                  <w:w w:val="98"/>
                </w:rPr>
                <w:t>Amended and Restated Certificate of Incorporation of GoHealth, Inc. (incorporated by reference to Exhibit 3.1 to the Company’s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Quarterly Report on Form 10-Q (File No. 001-39390), filed on August 20, 2020 with the Commission)</w:t>
              </w:r>
            </w:hyperlink>
          </w:p>
        </w:tc>
        <w:tc>
          <w:tcPr>
            <w:tcW w:w="7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720" w:type="dxa"/>
            <w:vAlign w:val="bottom"/>
            <w:tcBorders>
              <w:bottom w:val="single" w:sz="8" w:color="0000EE"/>
            </w:tcBorders>
            <w:gridSpan w:val="11"/>
          </w:tcPr>
          <w:p>
            <w:pPr>
              <w:spacing w:after="0"/>
              <w:rPr>
                <w:rFonts w:ascii="Arial" w:cs="Arial" w:eastAsia="Arial" w:hAnsi="Arial"/>
                <w:sz w:val="18"/>
                <w:szCs w:val="18"/>
                <w:color w:val="0000EE"/>
                <w:w w:val="91"/>
              </w:rPr>
            </w:pPr>
            <w:hyperlink r:id="rId34">
              <w:r>
                <w:rPr>
                  <w:rFonts w:ascii="Arial" w:cs="Arial" w:eastAsia="Arial" w:hAnsi="Arial"/>
                  <w:sz w:val="18"/>
                  <w:szCs w:val="18"/>
                  <w:color w:val="0000EE"/>
                  <w:w w:val="91"/>
                </w:rPr>
                <w:t>Amended and Restated Bylaws of GoHealth, Inc. (incorporated by reference to Exhibit 3.2 to the Quarterly Report on Form 10-Q (File</w:t>
              </w:r>
            </w:hyperlink>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34">
              <w:r>
                <w:rPr>
                  <w:rFonts w:ascii="Arial" w:cs="Arial" w:eastAsia="Arial" w:hAnsi="Arial"/>
                  <w:sz w:val="18"/>
                  <w:szCs w:val="18"/>
                  <w:color w:val="0000EE"/>
                  <w:w w:val="92"/>
                </w:rPr>
                <w:t>No. 001-39390), filed on August 20, 2020 with the Commission)</w:t>
              </w:r>
            </w:hyperlink>
          </w:p>
        </w:tc>
        <w:tc>
          <w:tcPr>
            <w:tcW w:w="53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2560" w:type="dxa"/>
            <w:vAlign w:val="bottom"/>
            <w:tcBorders>
              <w:bottom w:val="single" w:sz="8" w:color="0000EE"/>
            </w:tcBorders>
          </w:tcPr>
          <w:p>
            <w:pPr>
              <w:spacing w:after="0"/>
              <w:rPr>
                <w:rFonts w:ascii="Arial" w:cs="Arial" w:eastAsia="Arial" w:hAnsi="Arial"/>
                <w:sz w:val="18"/>
                <w:szCs w:val="18"/>
                <w:color w:val="0000EE"/>
                <w:w w:val="94"/>
              </w:rPr>
            </w:pPr>
            <w:hyperlink w:anchor="page9">
              <w:r>
                <w:rPr>
                  <w:rFonts w:ascii="Arial" w:cs="Arial" w:eastAsia="Arial" w:hAnsi="Arial"/>
                  <w:sz w:val="18"/>
                  <w:szCs w:val="18"/>
                  <w:color w:val="0000EE"/>
                  <w:w w:val="94"/>
                </w:rPr>
                <w:t>Opinion of Latham &amp; Watkins LLP</w:t>
              </w:r>
            </w:hyperlink>
          </w:p>
        </w:tc>
        <w:tc>
          <w:tcPr>
            <w:tcW w:w="74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9980" w:type="dxa"/>
            <w:vAlign w:val="bottom"/>
            <w:gridSpan w:val="1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Consent of Ernst &amp; Young LLP as to GoHealth, Inc.</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9980" w:type="dxa"/>
            <w:vAlign w:val="bottom"/>
            <w:gridSpan w:val="1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Consent of Latham &amp; Watkins LLP (included in Exhibit 5.1)</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4"/>
                <w:szCs w:val="24"/>
                <w:color w:val="auto"/>
              </w:rPr>
            </w:pPr>
          </w:p>
        </w:tc>
        <w:tc>
          <w:tcPr>
            <w:tcW w:w="42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Power of Attorney (included on the signature page hereto)</w:t>
              </w:r>
            </w:hyperlink>
          </w:p>
        </w:tc>
        <w:tc>
          <w:tcPr>
            <w:tcW w:w="160" w:type="dxa"/>
            <w:vAlign w:val="bottom"/>
            <w:tcBorders>
              <w:top w:val="single" w:sz="8" w:color="0000EE"/>
            </w:tcBorders>
          </w:tcPr>
          <w:p>
            <w:pPr>
              <w:spacing w:after="0"/>
              <w:rPr>
                <w:sz w:val="24"/>
                <w:szCs w:val="24"/>
                <w:color w:val="auto"/>
              </w:rPr>
            </w:pPr>
          </w:p>
        </w:tc>
        <w:tc>
          <w:tcPr>
            <w:tcW w:w="56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980" w:type="dxa"/>
            <w:vAlign w:val="bottom"/>
            <w:gridSpan w:val="12"/>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GoHealth, Inc. 2021 Inducement Award Plan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540" w:type="dxa"/>
            <w:vAlign w:val="bottom"/>
          </w:tcPr>
          <w:p>
            <w:pPr>
              <w:spacing w:after="0"/>
              <w:rPr>
                <w:sz w:val="24"/>
                <w:szCs w:val="24"/>
                <w:color w:val="auto"/>
              </w:rPr>
            </w:pPr>
          </w:p>
        </w:tc>
        <w:tc>
          <w:tcPr>
            <w:tcW w:w="9980" w:type="dxa"/>
            <w:vAlign w:val="bottom"/>
            <w:gridSpan w:val="1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Inducement Award Plan Form of Stock Option Award Grant Notice and Stock Option Agreement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0" w:type="dxa"/>
            <w:vAlign w:val="bottom"/>
            <w:gridSpan w:val="7"/>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99.3*</w:t>
            </w:r>
          </w:p>
        </w:tc>
        <w:tc>
          <w:tcPr>
            <w:tcW w:w="540" w:type="dxa"/>
            <w:vAlign w:val="bottom"/>
          </w:tcPr>
          <w:p>
            <w:pPr>
              <w:spacing w:after="0"/>
              <w:rPr>
                <w:sz w:val="24"/>
                <w:szCs w:val="24"/>
                <w:color w:val="auto"/>
              </w:rPr>
            </w:pPr>
          </w:p>
        </w:tc>
        <w:tc>
          <w:tcPr>
            <w:tcW w:w="82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Inducement Award Plan Form of Restricted Stock Unit Award Grant Notice and Restricted Stock Unit Agreement</w:t>
              </w:r>
            </w:hyperlink>
          </w:p>
        </w:tc>
        <w:tc>
          <w:tcPr>
            <w:tcW w:w="17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257175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020"/>
          </w:cols>
          <w:pgMar w:left="440" w:top="270"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Chicago, State of Illinois, on December 20, 2021.</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GOHEALTH,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Clinton P. Jones</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Each of the undersigned officers and directors of GoHealth, Inc. hereby constitutes and appoints Clinton P. Jones and Vance Johnston, and each of them any of whom may act without joinder of the other, the individual’s true and lawful attorneys-in-fact and agents, each with full power of substitution and resubstitution, for the person and in his or her name, place and stead, in any and all capacities, to sign this Registration Statement and any and all amendments (including post-effective amendments) to this Registration Statement and all documents relating thereto, and to file the same, with all exhibits thereto, and other documents in connection therewith, with the Securities and Exchange Commission, granting unto such attorneys-in-fact and agents, each acting alone, full power and authority to do and perform each and every act and thing necessary or advisable to be done in and about the premises, as fully to all intents and purposes as such person might or could do in person, hereby ratifying and confirming all that such attorneys-in-fact and agents, each acting alone, or such person’s substitute or substitutes, lawfully may do or cause to be done by virtue hereof.</w:t>
      </w:r>
    </w:p>
    <w:p>
      <w:pPr>
        <w:spacing w:after="0" w:line="16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ind w:left="1140"/>
              <w:spacing w:after="0"/>
              <w:rPr>
                <w:sz w:val="20"/>
                <w:szCs w:val="20"/>
                <w:color w:val="auto"/>
              </w:rPr>
            </w:pPr>
            <w:r>
              <w:rPr>
                <w:rFonts w:ascii="Arial" w:cs="Arial" w:eastAsia="Arial" w:hAnsi="Arial"/>
                <w:sz w:val="14"/>
                <w:szCs w:val="14"/>
                <w:b w:val="1"/>
                <w:bCs w:val="1"/>
                <w:color w:val="auto"/>
              </w:rPr>
              <w:t>Signature</w:t>
            </w:r>
          </w:p>
        </w:tc>
        <w:tc>
          <w:tcPr>
            <w:tcW w:w="4520" w:type="dxa"/>
            <w:vAlign w:val="bottom"/>
          </w:tcPr>
          <w:p>
            <w:pPr>
              <w:ind w:left="2220"/>
              <w:spacing w:after="0"/>
              <w:rPr>
                <w:sz w:val="20"/>
                <w:szCs w:val="20"/>
                <w:color w:val="auto"/>
              </w:rPr>
            </w:pPr>
            <w:r>
              <w:rPr>
                <w:rFonts w:ascii="Arial" w:cs="Arial" w:eastAsia="Arial" w:hAnsi="Arial"/>
                <w:sz w:val="14"/>
                <w:szCs w:val="14"/>
                <w:b w:val="1"/>
                <w:bCs w:val="1"/>
                <w:color w:val="auto"/>
              </w:rPr>
              <w:t>Title</w:t>
            </w:r>
          </w:p>
        </w:tc>
        <w:tc>
          <w:tcPr>
            <w:tcW w:w="2060" w:type="dxa"/>
            <w:vAlign w:val="bottom"/>
          </w:tcPr>
          <w:p>
            <w:pPr>
              <w:ind w:left="1760"/>
              <w:spacing w:after="0"/>
              <w:rPr>
                <w:sz w:val="20"/>
                <w:szCs w:val="20"/>
                <w:color w:val="auto"/>
              </w:rPr>
            </w:pPr>
            <w:r>
              <w:rPr>
                <w:rFonts w:ascii="Arial" w:cs="Arial" w:eastAsia="Arial" w:hAnsi="Arial"/>
                <w:sz w:val="14"/>
                <w:szCs w:val="14"/>
                <w:b w:val="1"/>
                <w:bCs w:val="1"/>
                <w:color w:val="auto"/>
                <w:w w:val="92"/>
              </w:rPr>
              <w:t>Date</w:t>
            </w:r>
          </w:p>
        </w:tc>
      </w:tr>
      <w:tr>
        <w:trPr>
          <w:trHeight w:val="309"/>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Clinton P. Jones</w:t>
            </w:r>
          </w:p>
        </w:tc>
        <w:tc>
          <w:tcPr>
            <w:tcW w:w="4520" w:type="dxa"/>
            <w:vAlign w:val="bottom"/>
          </w:tcPr>
          <w:p>
            <w:pPr>
              <w:ind w:left="120"/>
              <w:spacing w:after="0"/>
              <w:rPr>
                <w:sz w:val="20"/>
                <w:szCs w:val="20"/>
                <w:color w:val="auto"/>
              </w:rPr>
            </w:pPr>
            <w:r>
              <w:rPr>
                <w:rFonts w:ascii="Arial" w:cs="Arial" w:eastAsia="Arial" w:hAnsi="Arial"/>
                <w:sz w:val="18"/>
                <w:szCs w:val="18"/>
                <w:color w:val="auto"/>
                <w:w w:val="97"/>
              </w:rPr>
              <w:t>Chief Executive Officer and Director (Principal Executive</w:t>
            </w:r>
          </w:p>
        </w:tc>
        <w:tc>
          <w:tcPr>
            <w:tcW w:w="2060" w:type="dxa"/>
            <w:vAlign w:val="bottom"/>
          </w:tcPr>
          <w:p>
            <w:pPr>
              <w:ind w:left="220"/>
              <w:spacing w:after="0"/>
              <w:rPr>
                <w:sz w:val="20"/>
                <w:szCs w:val="20"/>
                <w:color w:val="auto"/>
              </w:rPr>
            </w:pPr>
            <w:r>
              <w:rPr>
                <w:rFonts w:ascii="Arial" w:cs="Arial" w:eastAsia="Arial" w:hAnsi="Arial"/>
                <w:sz w:val="18"/>
                <w:szCs w:val="18"/>
                <w:color w:val="auto"/>
              </w:rPr>
              <w:t>December 20, 2021</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Clinton P. Jones</w:t>
            </w:r>
          </w:p>
        </w:tc>
        <w:tc>
          <w:tcPr>
            <w:tcW w:w="4520" w:type="dxa"/>
            <w:vAlign w:val="bottom"/>
          </w:tcPr>
          <w:p>
            <w:pPr>
              <w:ind w:left="120"/>
              <w:spacing w:after="0"/>
              <w:rPr>
                <w:sz w:val="20"/>
                <w:szCs w:val="20"/>
                <w:color w:val="auto"/>
              </w:rPr>
            </w:pPr>
            <w:r>
              <w:rPr>
                <w:rFonts w:ascii="Arial" w:cs="Arial" w:eastAsia="Arial" w:hAnsi="Arial"/>
                <w:sz w:val="18"/>
                <w:szCs w:val="18"/>
                <w:color w:val="auto"/>
              </w:rPr>
              <w:t>Officer)</w:t>
            </w:r>
          </w:p>
        </w:tc>
        <w:tc>
          <w:tcPr>
            <w:tcW w:w="2060" w:type="dxa"/>
            <w:vAlign w:val="bottom"/>
          </w:tcPr>
          <w:p>
            <w:pPr>
              <w:spacing w:after="0"/>
              <w:rPr>
                <w:sz w:val="19"/>
                <w:szCs w:val="19"/>
                <w:color w:val="auto"/>
              </w:rPr>
            </w:pPr>
          </w:p>
        </w:tc>
      </w:tr>
      <w:tr>
        <w:trPr>
          <w:trHeight w:val="323"/>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Vance Johnston</w:t>
            </w:r>
          </w:p>
        </w:tc>
        <w:tc>
          <w:tcPr>
            <w:tcW w:w="4520" w:type="dxa"/>
            <w:vAlign w:val="bottom"/>
          </w:tcPr>
          <w:p>
            <w:pPr>
              <w:ind w:left="120"/>
              <w:spacing w:after="0"/>
              <w:rPr>
                <w:sz w:val="20"/>
                <w:szCs w:val="20"/>
                <w:color w:val="auto"/>
              </w:rPr>
            </w:pPr>
            <w:r>
              <w:rPr>
                <w:rFonts w:ascii="Arial" w:cs="Arial" w:eastAsia="Arial" w:hAnsi="Arial"/>
                <w:sz w:val="18"/>
                <w:szCs w:val="18"/>
                <w:color w:val="auto"/>
              </w:rPr>
              <w:t>Chief Financial Officer (Principal Financial Officer and</w:t>
            </w:r>
          </w:p>
        </w:tc>
        <w:tc>
          <w:tcPr>
            <w:tcW w:w="2060" w:type="dxa"/>
            <w:vAlign w:val="bottom"/>
          </w:tcPr>
          <w:p>
            <w:pPr>
              <w:ind w:left="220"/>
              <w:spacing w:after="0"/>
              <w:rPr>
                <w:sz w:val="20"/>
                <w:szCs w:val="20"/>
                <w:color w:val="auto"/>
              </w:rPr>
            </w:pPr>
            <w:r>
              <w:rPr>
                <w:rFonts w:ascii="Arial" w:cs="Arial" w:eastAsia="Arial" w:hAnsi="Arial"/>
                <w:sz w:val="18"/>
                <w:szCs w:val="18"/>
                <w:color w:val="auto"/>
              </w:rPr>
              <w:t>December 20, 2021</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Vance Johnston</w:t>
            </w:r>
          </w:p>
        </w:tc>
        <w:tc>
          <w:tcPr>
            <w:tcW w:w="4520" w:type="dxa"/>
            <w:vAlign w:val="bottom"/>
          </w:tcPr>
          <w:p>
            <w:pPr>
              <w:ind w:left="120"/>
              <w:spacing w:after="0"/>
              <w:rPr>
                <w:sz w:val="20"/>
                <w:szCs w:val="20"/>
                <w:color w:val="auto"/>
              </w:rPr>
            </w:pPr>
            <w:r>
              <w:rPr>
                <w:rFonts w:ascii="Arial" w:cs="Arial" w:eastAsia="Arial" w:hAnsi="Arial"/>
                <w:sz w:val="18"/>
                <w:szCs w:val="18"/>
                <w:color w:val="auto"/>
              </w:rPr>
              <w:t>Principal Accounting Officer)</w:t>
            </w:r>
          </w:p>
        </w:tc>
        <w:tc>
          <w:tcPr>
            <w:tcW w:w="2060" w:type="dxa"/>
            <w:vAlign w:val="bottom"/>
          </w:tcPr>
          <w:p>
            <w:pPr>
              <w:spacing w:after="0"/>
              <w:rPr>
                <w:sz w:val="19"/>
                <w:szCs w:val="19"/>
                <w:color w:val="auto"/>
              </w:rPr>
            </w:pPr>
          </w:p>
        </w:tc>
      </w:tr>
      <w:tr>
        <w:trPr>
          <w:trHeight w:val="323"/>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Brandon M. Cruz</w:t>
            </w:r>
          </w:p>
        </w:tc>
        <w:tc>
          <w:tcPr>
            <w:tcW w:w="45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220"/>
              <w:spacing w:after="0"/>
              <w:rPr>
                <w:sz w:val="20"/>
                <w:szCs w:val="20"/>
                <w:color w:val="auto"/>
              </w:rPr>
            </w:pPr>
            <w:r>
              <w:rPr>
                <w:rFonts w:ascii="Arial" w:cs="Arial" w:eastAsia="Arial" w:hAnsi="Arial"/>
                <w:sz w:val="18"/>
                <w:szCs w:val="18"/>
                <w:color w:val="auto"/>
              </w:rPr>
              <w:t>December 20, 2021</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Brandon M. Cruz</w:t>
            </w:r>
          </w:p>
        </w:tc>
        <w:tc>
          <w:tcPr>
            <w:tcW w:w="45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3"/>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G. Flanagan</w:t>
            </w:r>
          </w:p>
        </w:tc>
        <w:tc>
          <w:tcPr>
            <w:tcW w:w="45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220"/>
              <w:spacing w:after="0"/>
              <w:rPr>
                <w:sz w:val="20"/>
                <w:szCs w:val="20"/>
                <w:color w:val="auto"/>
              </w:rPr>
            </w:pPr>
            <w:r>
              <w:rPr>
                <w:rFonts w:ascii="Arial" w:cs="Arial" w:eastAsia="Arial" w:hAnsi="Arial"/>
                <w:sz w:val="18"/>
                <w:szCs w:val="18"/>
                <w:color w:val="auto"/>
              </w:rPr>
              <w:t>December 20, 2021</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Joseph G. Flanagan</w:t>
            </w:r>
          </w:p>
        </w:tc>
        <w:tc>
          <w:tcPr>
            <w:tcW w:w="45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3"/>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Helene D. Gayle</w:t>
            </w:r>
          </w:p>
        </w:tc>
        <w:tc>
          <w:tcPr>
            <w:tcW w:w="45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220"/>
              <w:spacing w:after="0"/>
              <w:rPr>
                <w:sz w:val="20"/>
                <w:szCs w:val="20"/>
                <w:color w:val="auto"/>
              </w:rPr>
            </w:pPr>
            <w:r>
              <w:rPr>
                <w:rFonts w:ascii="Arial" w:cs="Arial" w:eastAsia="Arial" w:hAnsi="Arial"/>
                <w:sz w:val="18"/>
                <w:szCs w:val="18"/>
                <w:color w:val="auto"/>
              </w:rPr>
              <w:t>December 20, 2021</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Helene D. Gayle</w:t>
            </w:r>
          </w:p>
        </w:tc>
        <w:tc>
          <w:tcPr>
            <w:tcW w:w="45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3"/>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W. Gelber</w:t>
            </w:r>
          </w:p>
        </w:tc>
        <w:tc>
          <w:tcPr>
            <w:tcW w:w="45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220"/>
              <w:spacing w:after="0"/>
              <w:rPr>
                <w:sz w:val="20"/>
                <w:szCs w:val="20"/>
                <w:color w:val="auto"/>
              </w:rPr>
            </w:pPr>
            <w:r>
              <w:rPr>
                <w:rFonts w:ascii="Arial" w:cs="Arial" w:eastAsia="Arial" w:hAnsi="Arial"/>
                <w:sz w:val="18"/>
                <w:szCs w:val="18"/>
                <w:color w:val="auto"/>
              </w:rPr>
              <w:t>December 20, 2021</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Jeremy W. Gelber</w:t>
            </w:r>
          </w:p>
        </w:tc>
        <w:tc>
          <w:tcPr>
            <w:tcW w:w="45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3"/>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Anita V. Pramoda</w:t>
            </w:r>
          </w:p>
        </w:tc>
        <w:tc>
          <w:tcPr>
            <w:tcW w:w="45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220"/>
              <w:spacing w:after="0"/>
              <w:rPr>
                <w:sz w:val="20"/>
                <w:szCs w:val="20"/>
                <w:color w:val="auto"/>
              </w:rPr>
            </w:pPr>
            <w:r>
              <w:rPr>
                <w:rFonts w:ascii="Arial" w:cs="Arial" w:eastAsia="Arial" w:hAnsi="Arial"/>
                <w:sz w:val="18"/>
                <w:szCs w:val="18"/>
                <w:color w:val="auto"/>
              </w:rPr>
              <w:t>December 20, 2021</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Anita V. Pramoda</w:t>
            </w:r>
          </w:p>
        </w:tc>
        <w:tc>
          <w:tcPr>
            <w:tcW w:w="45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3"/>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Miriam A. Tawil</w:t>
            </w:r>
          </w:p>
        </w:tc>
        <w:tc>
          <w:tcPr>
            <w:tcW w:w="45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220"/>
              <w:spacing w:after="0"/>
              <w:rPr>
                <w:sz w:val="20"/>
                <w:szCs w:val="20"/>
                <w:color w:val="auto"/>
              </w:rPr>
            </w:pPr>
            <w:r>
              <w:rPr>
                <w:rFonts w:ascii="Arial" w:cs="Arial" w:eastAsia="Arial" w:hAnsi="Arial"/>
                <w:sz w:val="18"/>
                <w:szCs w:val="18"/>
                <w:color w:val="auto"/>
              </w:rPr>
              <w:t>December 20, 2021</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Miriam A. Tawil</w:t>
            </w:r>
          </w:p>
        </w:tc>
        <w:tc>
          <w:tcPr>
            <w:tcW w:w="45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3"/>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Alexander E. Timm</w:t>
            </w:r>
          </w:p>
        </w:tc>
        <w:tc>
          <w:tcPr>
            <w:tcW w:w="45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220"/>
              <w:spacing w:after="0"/>
              <w:rPr>
                <w:sz w:val="20"/>
                <w:szCs w:val="20"/>
                <w:color w:val="auto"/>
              </w:rPr>
            </w:pPr>
            <w:r>
              <w:rPr>
                <w:rFonts w:ascii="Arial" w:cs="Arial" w:eastAsia="Arial" w:hAnsi="Arial"/>
                <w:sz w:val="18"/>
                <w:szCs w:val="18"/>
                <w:color w:val="auto"/>
              </w:rPr>
              <w:t>December 20, 2021</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Alexander E. Timm</w:t>
            </w:r>
          </w:p>
        </w:tc>
        <w:tc>
          <w:tcPr>
            <w:tcW w:w="452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1271 Avenue of the Americas New York,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New York 10020-1401</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Tel: +1.212.906.1200 Fax: +1.212.751.4864</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www.lw.com</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4920" w:type="dxa"/>
            <w:vAlign w:val="bottom"/>
            <w:gridSpan w:val="2"/>
          </w:tcPr>
          <w:p>
            <w:pPr>
              <w:ind w:left="2100"/>
              <w:spacing w:after="0"/>
              <w:rPr>
                <w:sz w:val="20"/>
                <w:szCs w:val="20"/>
                <w:color w:val="auto"/>
              </w:rPr>
            </w:pPr>
            <w:r>
              <w:rPr>
                <w:rFonts w:ascii="Arial" w:cs="Arial" w:eastAsia="Arial" w:hAnsi="Arial"/>
                <w:sz w:val="18"/>
                <w:szCs w:val="18"/>
                <w:color w:val="auto"/>
              </w:rPr>
              <w:t>FIRM / AFFILIATE OFFICES</w:t>
            </w:r>
          </w:p>
        </w:tc>
      </w:tr>
      <w:tr>
        <w:trPr>
          <w:trHeight w:val="216"/>
        </w:trPr>
        <w:tc>
          <w:tcPr>
            <w:tcW w:w="3520" w:type="dxa"/>
            <w:vAlign w:val="bottom"/>
          </w:tcPr>
          <w:p>
            <w:pPr>
              <w:spacing w:after="0"/>
              <w:rPr>
                <w:sz w:val="18"/>
                <w:szCs w:val="18"/>
                <w:color w:val="auto"/>
              </w:rPr>
            </w:pPr>
          </w:p>
        </w:tc>
        <w:tc>
          <w:tcPr>
            <w:tcW w:w="3340" w:type="dxa"/>
            <w:vAlign w:val="bottom"/>
          </w:tcPr>
          <w:p>
            <w:pPr>
              <w:ind w:left="2100"/>
              <w:spacing w:after="0"/>
              <w:rPr>
                <w:sz w:val="20"/>
                <w:szCs w:val="20"/>
                <w:color w:val="auto"/>
              </w:rPr>
            </w:pPr>
            <w:r>
              <w:rPr>
                <w:rFonts w:ascii="Arial" w:cs="Arial" w:eastAsia="Arial" w:hAnsi="Arial"/>
                <w:sz w:val="18"/>
                <w:szCs w:val="18"/>
                <w:color w:val="auto"/>
              </w:rPr>
              <w:t>Austin</w:t>
            </w:r>
          </w:p>
        </w:tc>
        <w:tc>
          <w:tcPr>
            <w:tcW w:w="1580" w:type="dxa"/>
            <w:vAlign w:val="bottom"/>
          </w:tcPr>
          <w:p>
            <w:pPr>
              <w:ind w:left="300"/>
              <w:spacing w:after="0"/>
              <w:rPr>
                <w:sz w:val="20"/>
                <w:szCs w:val="20"/>
                <w:color w:val="auto"/>
              </w:rPr>
            </w:pPr>
            <w:r>
              <w:rPr>
                <w:rFonts w:ascii="Arial" w:cs="Arial" w:eastAsia="Arial" w:hAnsi="Arial"/>
                <w:sz w:val="18"/>
                <w:szCs w:val="18"/>
                <w:color w:val="auto"/>
              </w:rPr>
              <w:t>Moscow</w:t>
            </w:r>
          </w:p>
        </w:tc>
      </w:tr>
      <w:tr>
        <w:trPr>
          <w:trHeight w:val="216"/>
        </w:trPr>
        <w:tc>
          <w:tcPr>
            <w:tcW w:w="3520" w:type="dxa"/>
            <w:vAlign w:val="bottom"/>
          </w:tcPr>
          <w:p>
            <w:pPr>
              <w:spacing w:after="0"/>
              <w:rPr>
                <w:sz w:val="18"/>
                <w:szCs w:val="18"/>
                <w:color w:val="auto"/>
              </w:rPr>
            </w:pPr>
          </w:p>
        </w:tc>
        <w:tc>
          <w:tcPr>
            <w:tcW w:w="3340" w:type="dxa"/>
            <w:vAlign w:val="bottom"/>
          </w:tcPr>
          <w:p>
            <w:pPr>
              <w:ind w:left="2100"/>
              <w:spacing w:after="0"/>
              <w:rPr>
                <w:sz w:val="20"/>
                <w:szCs w:val="20"/>
                <w:color w:val="auto"/>
              </w:rPr>
            </w:pPr>
            <w:r>
              <w:rPr>
                <w:rFonts w:ascii="Arial" w:cs="Arial" w:eastAsia="Arial" w:hAnsi="Arial"/>
                <w:sz w:val="18"/>
                <w:szCs w:val="18"/>
                <w:color w:val="auto"/>
              </w:rPr>
              <w:t>Beijing</w:t>
            </w:r>
          </w:p>
        </w:tc>
        <w:tc>
          <w:tcPr>
            <w:tcW w:w="1580" w:type="dxa"/>
            <w:vAlign w:val="bottom"/>
          </w:tcPr>
          <w:p>
            <w:pPr>
              <w:ind w:left="300"/>
              <w:spacing w:after="0"/>
              <w:rPr>
                <w:sz w:val="20"/>
                <w:szCs w:val="20"/>
                <w:color w:val="auto"/>
              </w:rPr>
            </w:pPr>
            <w:r>
              <w:rPr>
                <w:rFonts w:ascii="Arial" w:cs="Arial" w:eastAsia="Arial" w:hAnsi="Arial"/>
                <w:sz w:val="18"/>
                <w:szCs w:val="18"/>
                <w:color w:val="auto"/>
              </w:rPr>
              <w:t>Munich</w:t>
            </w:r>
          </w:p>
        </w:tc>
      </w:tr>
      <w:tr>
        <w:trPr>
          <w:trHeight w:val="216"/>
        </w:trPr>
        <w:tc>
          <w:tcPr>
            <w:tcW w:w="3520" w:type="dxa"/>
            <w:vAlign w:val="bottom"/>
          </w:tcPr>
          <w:p>
            <w:pPr>
              <w:spacing w:after="0"/>
              <w:rPr>
                <w:sz w:val="18"/>
                <w:szCs w:val="18"/>
                <w:color w:val="auto"/>
              </w:rPr>
            </w:pPr>
          </w:p>
        </w:tc>
        <w:tc>
          <w:tcPr>
            <w:tcW w:w="3340" w:type="dxa"/>
            <w:vAlign w:val="bottom"/>
          </w:tcPr>
          <w:p>
            <w:pPr>
              <w:ind w:left="2100"/>
              <w:spacing w:after="0"/>
              <w:rPr>
                <w:sz w:val="20"/>
                <w:szCs w:val="20"/>
                <w:color w:val="auto"/>
              </w:rPr>
            </w:pPr>
            <w:r>
              <w:rPr>
                <w:rFonts w:ascii="Arial" w:cs="Arial" w:eastAsia="Arial" w:hAnsi="Arial"/>
                <w:sz w:val="18"/>
                <w:szCs w:val="18"/>
                <w:color w:val="auto"/>
              </w:rPr>
              <w:t>Boston</w:t>
            </w:r>
          </w:p>
        </w:tc>
        <w:tc>
          <w:tcPr>
            <w:tcW w:w="1580" w:type="dxa"/>
            <w:vAlign w:val="bottom"/>
          </w:tcPr>
          <w:p>
            <w:pPr>
              <w:ind w:left="300"/>
              <w:spacing w:after="0"/>
              <w:rPr>
                <w:sz w:val="20"/>
                <w:szCs w:val="20"/>
                <w:color w:val="auto"/>
              </w:rPr>
            </w:pPr>
            <w:r>
              <w:rPr>
                <w:rFonts w:ascii="Arial" w:cs="Arial" w:eastAsia="Arial" w:hAnsi="Arial"/>
                <w:sz w:val="18"/>
                <w:szCs w:val="18"/>
                <w:color w:val="auto"/>
              </w:rPr>
              <w:t>New York</w:t>
            </w:r>
          </w:p>
        </w:tc>
      </w:tr>
      <w:tr>
        <w:trPr>
          <w:trHeight w:val="216"/>
        </w:trPr>
        <w:tc>
          <w:tcPr>
            <w:tcW w:w="3520" w:type="dxa"/>
            <w:vAlign w:val="bottom"/>
          </w:tcPr>
          <w:p>
            <w:pPr>
              <w:spacing w:after="0"/>
              <w:rPr>
                <w:sz w:val="18"/>
                <w:szCs w:val="18"/>
                <w:color w:val="auto"/>
              </w:rPr>
            </w:pPr>
          </w:p>
        </w:tc>
        <w:tc>
          <w:tcPr>
            <w:tcW w:w="3340" w:type="dxa"/>
            <w:vAlign w:val="bottom"/>
          </w:tcPr>
          <w:p>
            <w:pPr>
              <w:ind w:left="2100"/>
              <w:spacing w:after="0"/>
              <w:rPr>
                <w:sz w:val="20"/>
                <w:szCs w:val="20"/>
                <w:color w:val="auto"/>
              </w:rPr>
            </w:pPr>
            <w:r>
              <w:rPr>
                <w:rFonts w:ascii="Arial" w:cs="Arial" w:eastAsia="Arial" w:hAnsi="Arial"/>
                <w:sz w:val="18"/>
                <w:szCs w:val="18"/>
                <w:color w:val="auto"/>
              </w:rPr>
              <w:t>Brussels</w:t>
            </w:r>
          </w:p>
        </w:tc>
        <w:tc>
          <w:tcPr>
            <w:tcW w:w="1580" w:type="dxa"/>
            <w:vAlign w:val="bottom"/>
          </w:tcPr>
          <w:p>
            <w:pPr>
              <w:ind w:left="300"/>
              <w:spacing w:after="0"/>
              <w:rPr>
                <w:sz w:val="20"/>
                <w:szCs w:val="20"/>
                <w:color w:val="auto"/>
              </w:rPr>
            </w:pPr>
            <w:r>
              <w:rPr>
                <w:rFonts w:ascii="Arial" w:cs="Arial" w:eastAsia="Arial" w:hAnsi="Arial"/>
                <w:sz w:val="18"/>
                <w:szCs w:val="18"/>
                <w:color w:val="auto"/>
              </w:rPr>
              <w:t>Orange County</w:t>
            </w:r>
          </w:p>
        </w:tc>
      </w:tr>
      <w:tr>
        <w:trPr>
          <w:trHeight w:val="216"/>
        </w:trPr>
        <w:tc>
          <w:tcPr>
            <w:tcW w:w="3520" w:type="dxa"/>
            <w:vAlign w:val="bottom"/>
          </w:tcPr>
          <w:p>
            <w:pPr>
              <w:spacing w:after="0"/>
              <w:rPr>
                <w:sz w:val="18"/>
                <w:szCs w:val="18"/>
                <w:color w:val="auto"/>
              </w:rPr>
            </w:pPr>
          </w:p>
        </w:tc>
        <w:tc>
          <w:tcPr>
            <w:tcW w:w="3340" w:type="dxa"/>
            <w:vAlign w:val="bottom"/>
          </w:tcPr>
          <w:p>
            <w:pPr>
              <w:ind w:left="2100"/>
              <w:spacing w:after="0"/>
              <w:rPr>
                <w:sz w:val="20"/>
                <w:szCs w:val="20"/>
                <w:color w:val="auto"/>
              </w:rPr>
            </w:pPr>
            <w:r>
              <w:rPr>
                <w:rFonts w:ascii="Arial" w:cs="Arial" w:eastAsia="Arial" w:hAnsi="Arial"/>
                <w:sz w:val="18"/>
                <w:szCs w:val="18"/>
                <w:color w:val="auto"/>
              </w:rPr>
              <w:t>Century City</w:t>
            </w:r>
          </w:p>
        </w:tc>
        <w:tc>
          <w:tcPr>
            <w:tcW w:w="1580" w:type="dxa"/>
            <w:vAlign w:val="bottom"/>
          </w:tcPr>
          <w:p>
            <w:pPr>
              <w:ind w:left="300"/>
              <w:spacing w:after="0"/>
              <w:rPr>
                <w:sz w:val="20"/>
                <w:szCs w:val="20"/>
                <w:color w:val="auto"/>
              </w:rPr>
            </w:pPr>
            <w:r>
              <w:rPr>
                <w:rFonts w:ascii="Arial" w:cs="Arial" w:eastAsia="Arial" w:hAnsi="Arial"/>
                <w:sz w:val="18"/>
                <w:szCs w:val="18"/>
                <w:color w:val="auto"/>
              </w:rPr>
              <w:t>Paris</w:t>
            </w:r>
          </w:p>
        </w:tc>
      </w:tr>
      <w:tr>
        <w:trPr>
          <w:trHeight w:val="216"/>
        </w:trPr>
        <w:tc>
          <w:tcPr>
            <w:tcW w:w="3520" w:type="dxa"/>
            <w:vAlign w:val="bottom"/>
          </w:tcPr>
          <w:p>
            <w:pPr>
              <w:spacing w:after="0"/>
              <w:rPr>
                <w:sz w:val="18"/>
                <w:szCs w:val="18"/>
                <w:color w:val="auto"/>
              </w:rPr>
            </w:pPr>
          </w:p>
        </w:tc>
        <w:tc>
          <w:tcPr>
            <w:tcW w:w="3340" w:type="dxa"/>
            <w:vAlign w:val="bottom"/>
          </w:tcPr>
          <w:p>
            <w:pPr>
              <w:ind w:left="2100"/>
              <w:spacing w:after="0"/>
              <w:rPr>
                <w:sz w:val="20"/>
                <w:szCs w:val="20"/>
                <w:color w:val="auto"/>
              </w:rPr>
            </w:pPr>
            <w:r>
              <w:rPr>
                <w:rFonts w:ascii="Arial" w:cs="Arial" w:eastAsia="Arial" w:hAnsi="Arial"/>
                <w:sz w:val="18"/>
                <w:szCs w:val="18"/>
                <w:color w:val="auto"/>
              </w:rPr>
              <w:t>Chicago</w:t>
            </w:r>
          </w:p>
        </w:tc>
        <w:tc>
          <w:tcPr>
            <w:tcW w:w="1580" w:type="dxa"/>
            <w:vAlign w:val="bottom"/>
          </w:tcPr>
          <w:p>
            <w:pPr>
              <w:ind w:left="300"/>
              <w:spacing w:after="0"/>
              <w:rPr>
                <w:sz w:val="20"/>
                <w:szCs w:val="20"/>
                <w:color w:val="auto"/>
              </w:rPr>
            </w:pPr>
            <w:r>
              <w:rPr>
                <w:rFonts w:ascii="Arial" w:cs="Arial" w:eastAsia="Arial" w:hAnsi="Arial"/>
                <w:sz w:val="18"/>
                <w:szCs w:val="18"/>
                <w:color w:val="auto"/>
              </w:rPr>
              <w:t>Riyadh</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December 20, 2021</w:t>
            </w:r>
          </w:p>
        </w:tc>
        <w:tc>
          <w:tcPr>
            <w:tcW w:w="3340" w:type="dxa"/>
            <w:vAlign w:val="bottom"/>
          </w:tcPr>
          <w:p>
            <w:pPr>
              <w:ind w:left="2100"/>
              <w:spacing w:after="0"/>
              <w:rPr>
                <w:sz w:val="20"/>
                <w:szCs w:val="20"/>
                <w:color w:val="auto"/>
              </w:rPr>
            </w:pPr>
            <w:r>
              <w:rPr>
                <w:rFonts w:ascii="Arial" w:cs="Arial" w:eastAsia="Arial" w:hAnsi="Arial"/>
                <w:sz w:val="18"/>
                <w:szCs w:val="18"/>
                <w:color w:val="auto"/>
              </w:rPr>
              <w:t>Dubai</w:t>
            </w:r>
          </w:p>
        </w:tc>
        <w:tc>
          <w:tcPr>
            <w:tcW w:w="1580" w:type="dxa"/>
            <w:vAlign w:val="bottom"/>
          </w:tcPr>
          <w:p>
            <w:pPr>
              <w:ind w:left="300"/>
              <w:spacing w:after="0"/>
              <w:rPr>
                <w:sz w:val="20"/>
                <w:szCs w:val="20"/>
                <w:color w:val="auto"/>
              </w:rPr>
            </w:pPr>
            <w:r>
              <w:rPr>
                <w:rFonts w:ascii="Arial" w:cs="Arial" w:eastAsia="Arial" w:hAnsi="Arial"/>
                <w:sz w:val="18"/>
                <w:szCs w:val="18"/>
                <w:color w:val="auto"/>
              </w:rPr>
              <w:t>San Diego</w:t>
            </w:r>
          </w:p>
        </w:tc>
      </w:tr>
      <w:tr>
        <w:trPr>
          <w:trHeight w:val="216"/>
        </w:trPr>
        <w:tc>
          <w:tcPr>
            <w:tcW w:w="3520" w:type="dxa"/>
            <w:vAlign w:val="bottom"/>
          </w:tcPr>
          <w:p>
            <w:pPr>
              <w:spacing w:after="0"/>
              <w:rPr>
                <w:sz w:val="18"/>
                <w:szCs w:val="18"/>
                <w:color w:val="auto"/>
              </w:rPr>
            </w:pPr>
          </w:p>
        </w:tc>
        <w:tc>
          <w:tcPr>
            <w:tcW w:w="3340" w:type="dxa"/>
            <w:vAlign w:val="bottom"/>
          </w:tcPr>
          <w:p>
            <w:pPr>
              <w:ind w:left="2100"/>
              <w:spacing w:after="0"/>
              <w:rPr>
                <w:sz w:val="20"/>
                <w:szCs w:val="20"/>
                <w:color w:val="auto"/>
              </w:rPr>
            </w:pPr>
            <w:r>
              <w:rPr>
                <w:rFonts w:ascii="Arial" w:cs="Arial" w:eastAsia="Arial" w:hAnsi="Arial"/>
                <w:sz w:val="18"/>
                <w:szCs w:val="18"/>
                <w:color w:val="auto"/>
              </w:rPr>
              <w:t>Düsseldorf</w:t>
            </w:r>
          </w:p>
        </w:tc>
        <w:tc>
          <w:tcPr>
            <w:tcW w:w="1580" w:type="dxa"/>
            <w:vAlign w:val="bottom"/>
          </w:tcPr>
          <w:p>
            <w:pPr>
              <w:ind w:left="300"/>
              <w:spacing w:after="0"/>
              <w:rPr>
                <w:sz w:val="20"/>
                <w:szCs w:val="20"/>
                <w:color w:val="auto"/>
              </w:rPr>
            </w:pPr>
            <w:r>
              <w:rPr>
                <w:rFonts w:ascii="Arial" w:cs="Arial" w:eastAsia="Arial" w:hAnsi="Arial"/>
                <w:sz w:val="18"/>
                <w:szCs w:val="18"/>
                <w:color w:val="auto"/>
              </w:rPr>
              <w:t>San Francisco</w:t>
            </w:r>
          </w:p>
        </w:tc>
      </w:tr>
      <w:tr>
        <w:trPr>
          <w:trHeight w:val="216"/>
        </w:trPr>
        <w:tc>
          <w:tcPr>
            <w:tcW w:w="3520" w:type="dxa"/>
            <w:vAlign w:val="bottom"/>
          </w:tcPr>
          <w:p>
            <w:pPr>
              <w:spacing w:after="0"/>
              <w:rPr>
                <w:sz w:val="18"/>
                <w:szCs w:val="18"/>
                <w:color w:val="auto"/>
              </w:rPr>
            </w:pPr>
          </w:p>
        </w:tc>
        <w:tc>
          <w:tcPr>
            <w:tcW w:w="3340" w:type="dxa"/>
            <w:vAlign w:val="bottom"/>
          </w:tcPr>
          <w:p>
            <w:pPr>
              <w:ind w:left="2100"/>
              <w:spacing w:after="0"/>
              <w:rPr>
                <w:sz w:val="20"/>
                <w:szCs w:val="20"/>
                <w:color w:val="auto"/>
              </w:rPr>
            </w:pPr>
            <w:r>
              <w:rPr>
                <w:rFonts w:ascii="Arial" w:cs="Arial" w:eastAsia="Arial" w:hAnsi="Arial"/>
                <w:sz w:val="18"/>
                <w:szCs w:val="18"/>
                <w:color w:val="auto"/>
              </w:rPr>
              <w:t>Frankfurt</w:t>
            </w:r>
          </w:p>
        </w:tc>
        <w:tc>
          <w:tcPr>
            <w:tcW w:w="1580" w:type="dxa"/>
            <w:vAlign w:val="bottom"/>
          </w:tcPr>
          <w:p>
            <w:pPr>
              <w:ind w:left="300"/>
              <w:spacing w:after="0"/>
              <w:rPr>
                <w:sz w:val="20"/>
                <w:szCs w:val="20"/>
                <w:color w:val="auto"/>
              </w:rPr>
            </w:pPr>
            <w:r>
              <w:rPr>
                <w:rFonts w:ascii="Arial" w:cs="Arial" w:eastAsia="Arial" w:hAnsi="Arial"/>
                <w:sz w:val="18"/>
                <w:szCs w:val="18"/>
                <w:color w:val="auto"/>
              </w:rPr>
              <w:t>Seoul</w:t>
            </w:r>
          </w:p>
        </w:tc>
      </w:tr>
      <w:tr>
        <w:trPr>
          <w:trHeight w:val="216"/>
        </w:trPr>
        <w:tc>
          <w:tcPr>
            <w:tcW w:w="3520" w:type="dxa"/>
            <w:vAlign w:val="bottom"/>
          </w:tcPr>
          <w:p>
            <w:pPr>
              <w:spacing w:after="0"/>
              <w:rPr>
                <w:sz w:val="18"/>
                <w:szCs w:val="18"/>
                <w:color w:val="auto"/>
              </w:rPr>
            </w:pPr>
          </w:p>
        </w:tc>
        <w:tc>
          <w:tcPr>
            <w:tcW w:w="3340" w:type="dxa"/>
            <w:vAlign w:val="bottom"/>
          </w:tcPr>
          <w:p>
            <w:pPr>
              <w:ind w:left="2100"/>
              <w:spacing w:after="0"/>
              <w:rPr>
                <w:sz w:val="20"/>
                <w:szCs w:val="20"/>
                <w:color w:val="auto"/>
              </w:rPr>
            </w:pPr>
            <w:r>
              <w:rPr>
                <w:rFonts w:ascii="Arial" w:cs="Arial" w:eastAsia="Arial" w:hAnsi="Arial"/>
                <w:sz w:val="18"/>
                <w:szCs w:val="18"/>
                <w:color w:val="auto"/>
              </w:rPr>
              <w:t>Hamburg</w:t>
            </w:r>
          </w:p>
        </w:tc>
        <w:tc>
          <w:tcPr>
            <w:tcW w:w="1580" w:type="dxa"/>
            <w:vAlign w:val="bottom"/>
          </w:tcPr>
          <w:p>
            <w:pPr>
              <w:ind w:left="300"/>
              <w:spacing w:after="0"/>
              <w:rPr>
                <w:sz w:val="20"/>
                <w:szCs w:val="20"/>
                <w:color w:val="auto"/>
              </w:rPr>
            </w:pPr>
            <w:r>
              <w:rPr>
                <w:rFonts w:ascii="Arial" w:cs="Arial" w:eastAsia="Arial" w:hAnsi="Arial"/>
                <w:sz w:val="18"/>
                <w:szCs w:val="18"/>
                <w:color w:val="auto"/>
              </w:rPr>
              <w:t>Shanghai</w:t>
            </w:r>
          </w:p>
        </w:tc>
      </w:tr>
      <w:tr>
        <w:trPr>
          <w:trHeight w:val="216"/>
        </w:trPr>
        <w:tc>
          <w:tcPr>
            <w:tcW w:w="3520" w:type="dxa"/>
            <w:vAlign w:val="bottom"/>
          </w:tcPr>
          <w:p>
            <w:pPr>
              <w:spacing w:after="0"/>
              <w:rPr>
                <w:sz w:val="18"/>
                <w:szCs w:val="18"/>
                <w:color w:val="auto"/>
              </w:rPr>
            </w:pPr>
          </w:p>
        </w:tc>
        <w:tc>
          <w:tcPr>
            <w:tcW w:w="3340" w:type="dxa"/>
            <w:vAlign w:val="bottom"/>
          </w:tcPr>
          <w:p>
            <w:pPr>
              <w:ind w:left="2100"/>
              <w:spacing w:after="0"/>
              <w:rPr>
                <w:sz w:val="20"/>
                <w:szCs w:val="20"/>
                <w:color w:val="auto"/>
              </w:rPr>
            </w:pPr>
            <w:r>
              <w:rPr>
                <w:rFonts w:ascii="Arial" w:cs="Arial" w:eastAsia="Arial" w:hAnsi="Arial"/>
                <w:sz w:val="18"/>
                <w:szCs w:val="18"/>
                <w:color w:val="auto"/>
              </w:rPr>
              <w:t>Hong Kong</w:t>
            </w:r>
          </w:p>
        </w:tc>
        <w:tc>
          <w:tcPr>
            <w:tcW w:w="1580" w:type="dxa"/>
            <w:vAlign w:val="bottom"/>
          </w:tcPr>
          <w:p>
            <w:pPr>
              <w:ind w:left="300"/>
              <w:spacing w:after="0"/>
              <w:rPr>
                <w:sz w:val="20"/>
                <w:szCs w:val="20"/>
                <w:color w:val="auto"/>
              </w:rPr>
            </w:pPr>
            <w:r>
              <w:rPr>
                <w:rFonts w:ascii="Arial" w:cs="Arial" w:eastAsia="Arial" w:hAnsi="Arial"/>
                <w:sz w:val="18"/>
                <w:szCs w:val="18"/>
                <w:color w:val="auto"/>
              </w:rPr>
              <w:t>Silicon Valley</w:t>
            </w:r>
          </w:p>
        </w:tc>
      </w:tr>
      <w:tr>
        <w:trPr>
          <w:trHeight w:val="216"/>
        </w:trPr>
        <w:tc>
          <w:tcPr>
            <w:tcW w:w="3520" w:type="dxa"/>
            <w:vAlign w:val="bottom"/>
          </w:tcPr>
          <w:p>
            <w:pPr>
              <w:spacing w:after="0"/>
              <w:rPr>
                <w:sz w:val="18"/>
                <w:szCs w:val="18"/>
                <w:color w:val="auto"/>
              </w:rPr>
            </w:pPr>
          </w:p>
        </w:tc>
        <w:tc>
          <w:tcPr>
            <w:tcW w:w="3340" w:type="dxa"/>
            <w:vAlign w:val="bottom"/>
          </w:tcPr>
          <w:p>
            <w:pPr>
              <w:ind w:left="2100"/>
              <w:spacing w:after="0"/>
              <w:rPr>
                <w:sz w:val="20"/>
                <w:szCs w:val="20"/>
                <w:color w:val="auto"/>
              </w:rPr>
            </w:pPr>
            <w:r>
              <w:rPr>
                <w:rFonts w:ascii="Arial" w:cs="Arial" w:eastAsia="Arial" w:hAnsi="Arial"/>
                <w:sz w:val="18"/>
                <w:szCs w:val="18"/>
                <w:color w:val="auto"/>
              </w:rPr>
              <w:t>Houston</w:t>
            </w:r>
          </w:p>
        </w:tc>
        <w:tc>
          <w:tcPr>
            <w:tcW w:w="1580" w:type="dxa"/>
            <w:vAlign w:val="bottom"/>
          </w:tcPr>
          <w:p>
            <w:pPr>
              <w:ind w:left="300"/>
              <w:spacing w:after="0"/>
              <w:rPr>
                <w:sz w:val="20"/>
                <w:szCs w:val="20"/>
                <w:color w:val="auto"/>
              </w:rPr>
            </w:pPr>
            <w:r>
              <w:rPr>
                <w:rFonts w:ascii="Arial" w:cs="Arial" w:eastAsia="Arial" w:hAnsi="Arial"/>
                <w:sz w:val="18"/>
                <w:szCs w:val="18"/>
                <w:color w:val="auto"/>
              </w:rPr>
              <w:t>Singapore</w:t>
            </w:r>
          </w:p>
        </w:tc>
      </w:tr>
      <w:tr>
        <w:trPr>
          <w:trHeight w:val="216"/>
        </w:trPr>
        <w:tc>
          <w:tcPr>
            <w:tcW w:w="3520" w:type="dxa"/>
            <w:vAlign w:val="bottom"/>
          </w:tcPr>
          <w:p>
            <w:pPr>
              <w:spacing w:after="0"/>
              <w:rPr>
                <w:sz w:val="18"/>
                <w:szCs w:val="18"/>
                <w:color w:val="auto"/>
              </w:rPr>
            </w:pPr>
          </w:p>
        </w:tc>
        <w:tc>
          <w:tcPr>
            <w:tcW w:w="3340" w:type="dxa"/>
            <w:vAlign w:val="bottom"/>
          </w:tcPr>
          <w:p>
            <w:pPr>
              <w:ind w:left="2100"/>
              <w:spacing w:after="0"/>
              <w:rPr>
                <w:sz w:val="20"/>
                <w:szCs w:val="20"/>
                <w:color w:val="auto"/>
              </w:rPr>
            </w:pPr>
            <w:r>
              <w:rPr>
                <w:rFonts w:ascii="Arial" w:cs="Arial" w:eastAsia="Arial" w:hAnsi="Arial"/>
                <w:sz w:val="18"/>
                <w:szCs w:val="18"/>
                <w:color w:val="auto"/>
              </w:rPr>
              <w:t>London</w:t>
            </w:r>
          </w:p>
        </w:tc>
        <w:tc>
          <w:tcPr>
            <w:tcW w:w="1580" w:type="dxa"/>
            <w:vAlign w:val="bottom"/>
          </w:tcPr>
          <w:p>
            <w:pPr>
              <w:ind w:left="300"/>
              <w:spacing w:after="0"/>
              <w:rPr>
                <w:sz w:val="20"/>
                <w:szCs w:val="20"/>
                <w:color w:val="auto"/>
              </w:rPr>
            </w:pPr>
            <w:r>
              <w:rPr>
                <w:rFonts w:ascii="Arial" w:cs="Arial" w:eastAsia="Arial" w:hAnsi="Arial"/>
                <w:sz w:val="18"/>
                <w:szCs w:val="18"/>
                <w:color w:val="auto"/>
              </w:rPr>
              <w:t>Tel Aviv</w:t>
            </w:r>
          </w:p>
        </w:tc>
      </w:tr>
      <w:tr>
        <w:trPr>
          <w:trHeight w:val="216"/>
        </w:trPr>
        <w:tc>
          <w:tcPr>
            <w:tcW w:w="3520" w:type="dxa"/>
            <w:vAlign w:val="bottom"/>
          </w:tcPr>
          <w:p>
            <w:pPr>
              <w:spacing w:after="0"/>
              <w:rPr>
                <w:sz w:val="18"/>
                <w:szCs w:val="18"/>
                <w:color w:val="auto"/>
              </w:rPr>
            </w:pPr>
          </w:p>
        </w:tc>
        <w:tc>
          <w:tcPr>
            <w:tcW w:w="3340" w:type="dxa"/>
            <w:vAlign w:val="bottom"/>
          </w:tcPr>
          <w:p>
            <w:pPr>
              <w:ind w:left="2100"/>
              <w:spacing w:after="0"/>
              <w:rPr>
                <w:sz w:val="20"/>
                <w:szCs w:val="20"/>
                <w:color w:val="auto"/>
              </w:rPr>
            </w:pPr>
            <w:r>
              <w:rPr>
                <w:rFonts w:ascii="Arial" w:cs="Arial" w:eastAsia="Arial" w:hAnsi="Arial"/>
                <w:sz w:val="18"/>
                <w:szCs w:val="18"/>
                <w:color w:val="auto"/>
              </w:rPr>
              <w:t>Los Angeles</w:t>
            </w:r>
          </w:p>
        </w:tc>
        <w:tc>
          <w:tcPr>
            <w:tcW w:w="1580" w:type="dxa"/>
            <w:vAlign w:val="bottom"/>
          </w:tcPr>
          <w:p>
            <w:pPr>
              <w:ind w:left="300"/>
              <w:spacing w:after="0"/>
              <w:rPr>
                <w:sz w:val="20"/>
                <w:szCs w:val="20"/>
                <w:color w:val="auto"/>
              </w:rPr>
            </w:pPr>
            <w:r>
              <w:rPr>
                <w:rFonts w:ascii="Arial" w:cs="Arial" w:eastAsia="Arial" w:hAnsi="Arial"/>
                <w:sz w:val="18"/>
                <w:szCs w:val="18"/>
                <w:color w:val="auto"/>
              </w:rPr>
              <w:t>Tokyo</w:t>
            </w:r>
          </w:p>
        </w:tc>
      </w:tr>
      <w:tr>
        <w:trPr>
          <w:trHeight w:val="216"/>
        </w:trPr>
        <w:tc>
          <w:tcPr>
            <w:tcW w:w="3520" w:type="dxa"/>
            <w:vAlign w:val="bottom"/>
          </w:tcPr>
          <w:p>
            <w:pPr>
              <w:spacing w:after="0"/>
              <w:rPr>
                <w:sz w:val="18"/>
                <w:szCs w:val="18"/>
                <w:color w:val="auto"/>
              </w:rPr>
            </w:pPr>
          </w:p>
        </w:tc>
        <w:tc>
          <w:tcPr>
            <w:tcW w:w="3340" w:type="dxa"/>
            <w:vAlign w:val="bottom"/>
          </w:tcPr>
          <w:p>
            <w:pPr>
              <w:ind w:left="2100"/>
              <w:spacing w:after="0"/>
              <w:rPr>
                <w:sz w:val="20"/>
                <w:szCs w:val="20"/>
                <w:color w:val="auto"/>
              </w:rPr>
            </w:pPr>
            <w:r>
              <w:rPr>
                <w:rFonts w:ascii="Arial" w:cs="Arial" w:eastAsia="Arial" w:hAnsi="Arial"/>
                <w:sz w:val="18"/>
                <w:szCs w:val="18"/>
                <w:color w:val="auto"/>
              </w:rPr>
              <w:t>Madrid</w:t>
            </w:r>
          </w:p>
        </w:tc>
        <w:tc>
          <w:tcPr>
            <w:tcW w:w="1580" w:type="dxa"/>
            <w:vAlign w:val="bottom"/>
          </w:tcPr>
          <w:p>
            <w:pPr>
              <w:ind w:left="300"/>
              <w:spacing w:after="0"/>
              <w:rPr>
                <w:sz w:val="20"/>
                <w:szCs w:val="20"/>
                <w:color w:val="auto"/>
              </w:rPr>
            </w:pPr>
            <w:r>
              <w:rPr>
                <w:rFonts w:ascii="Arial" w:cs="Arial" w:eastAsia="Arial" w:hAnsi="Arial"/>
                <w:sz w:val="18"/>
                <w:szCs w:val="18"/>
                <w:color w:val="auto"/>
                <w:w w:val="89"/>
              </w:rPr>
              <w:t>Washington, D.C.</w:t>
            </w:r>
          </w:p>
        </w:tc>
      </w:tr>
      <w:tr>
        <w:trPr>
          <w:trHeight w:val="230"/>
        </w:trPr>
        <w:tc>
          <w:tcPr>
            <w:tcW w:w="3520" w:type="dxa"/>
            <w:vAlign w:val="bottom"/>
          </w:tcPr>
          <w:p>
            <w:pPr>
              <w:spacing w:after="0"/>
              <w:rPr>
                <w:sz w:val="20"/>
                <w:szCs w:val="20"/>
                <w:color w:val="auto"/>
              </w:rPr>
            </w:pPr>
          </w:p>
        </w:tc>
        <w:tc>
          <w:tcPr>
            <w:tcW w:w="3340" w:type="dxa"/>
            <w:vAlign w:val="bottom"/>
          </w:tcPr>
          <w:p>
            <w:pPr>
              <w:ind w:left="2100"/>
              <w:spacing w:after="0"/>
              <w:rPr>
                <w:sz w:val="20"/>
                <w:szCs w:val="20"/>
                <w:color w:val="auto"/>
              </w:rPr>
            </w:pPr>
            <w:r>
              <w:rPr>
                <w:rFonts w:ascii="Arial" w:cs="Arial" w:eastAsia="Arial" w:hAnsi="Arial"/>
                <w:sz w:val="18"/>
                <w:szCs w:val="18"/>
                <w:color w:val="auto"/>
              </w:rPr>
              <w:t>Milan</w:t>
            </w:r>
          </w:p>
        </w:tc>
        <w:tc>
          <w:tcPr>
            <w:tcW w:w="1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-2159635</wp:posOffset>
            </wp:positionV>
            <wp:extent cx="1388745"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GoHealth,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214 West Huron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60654</w:t>
      </w:r>
    </w:p>
    <w:p>
      <w:pPr>
        <w:spacing w:after="0" w:line="238"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S-8 with respect to 4,000,000 shares of Class A common stock, par value $0.0001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We have acted as special counsel to GoHealth,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preparation and filing by the Company on the date hereof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of a Registration Statement (the “</w:t>
      </w:r>
      <w:r>
        <w:rPr>
          <w:rFonts w:ascii="Arial" w:cs="Arial" w:eastAsia="Arial" w:hAnsi="Arial"/>
          <w:sz w:val="17"/>
          <w:szCs w:val="17"/>
          <w:b w:val="1"/>
          <w:bCs w:val="1"/>
          <w:i w:val="1"/>
          <w:i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Statement</w:t>
      </w:r>
      <w:r>
        <w:rPr>
          <w:rFonts w:ascii="Arial" w:cs="Arial" w:eastAsia="Arial" w:hAnsi="Arial"/>
          <w:sz w:val="17"/>
          <w:szCs w:val="17"/>
          <w:color w:val="auto"/>
        </w:rPr>
        <w:t>”) on Form S-8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relating to the issuance of up to 4,000,000 shares of Class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of the Company, par value $0.0001 per share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which may be issued pursuant to the Company’s 2021 Inducement Award Plan (the “</w:t>
      </w:r>
      <w:r>
        <w:rPr>
          <w:rFonts w:ascii="Arial" w:cs="Arial" w:eastAsia="Arial" w:hAnsi="Arial"/>
          <w:sz w:val="17"/>
          <w:szCs w:val="17"/>
          <w:b w:val="1"/>
          <w:bCs w:val="1"/>
          <w:i w:val="1"/>
          <w:iCs w:val="1"/>
          <w:color w:val="auto"/>
        </w:rPr>
        <w:t>Inducement Plan</w:t>
      </w:r>
      <w:r>
        <w:rPr>
          <w:rFonts w:ascii="Arial" w:cs="Arial" w:eastAsia="Arial" w:hAnsi="Arial"/>
          <w:sz w:val="17"/>
          <w:szCs w:val="17"/>
          <w:color w:val="auto"/>
        </w:rPr>
        <w: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issuance of the Shares.</w:t>
      </w:r>
    </w:p>
    <w:p>
      <w:pPr>
        <w:spacing w:after="0" w:line="17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we express no opinion with respect to any other laws.</w:t>
      </w:r>
    </w:p>
    <w:p>
      <w:pPr>
        <w:spacing w:after="0" w:line="187"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for legal consideration in excess of par value in the circumstances contemplated by the Inducement Plan, assuming in each case that the individual issuances, grants or awards under the Inducement Plan are duly authorized by all necessary corporate action and duly issued,</w:t>
      </w:r>
    </w:p>
    <w:p>
      <w:pPr>
        <w:sectPr>
          <w:pgSz w:w="11900" w:h="16838" w:orient="portrait"/>
          <w:cols w:equalWidth="0" w:num="1">
            <w:col w:w="11020"/>
          </w:cols>
          <w:pgMar w:left="440" w:top="121"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December 20,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388745"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granted or awarded and exercised in accordance with the requirements of law and the Inducement Plan (and the agreements duly adopted thereunder and in accordance therewith), the issue and sale of the Shares will have been duly authorized by all necessary corporate action of the Company, and such Shares will be validly issued, fully paid and non-assessable. In rendering the foregoing opinion, we have assumed that the Company will comply with all applicable notice requirements regarding uncertificated shares provided in the DGCL.</w:t>
      </w:r>
    </w:p>
    <w:p>
      <w:pPr>
        <w:spacing w:after="0" w:line="17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 Latham &amp; Watkins LLP</w:t>
      </w:r>
    </w:p>
    <w:p>
      <w:pPr>
        <w:sectPr>
          <w:pgSz w:w="11900" w:h="16838" w:orient="portrait"/>
          <w:cols w:equalWidth="0" w:num="1">
            <w:col w:w="11000"/>
          </w:cols>
          <w:pgMar w:left="440" w:top="274" w:right="4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2021 Inducement Award Plan of GoHealth, Inc. of our report dated March 16, 2021, with respect to the consolidated financial statements of GoHealth, Inc. included in its Annual Report (Form 10-K) for the year ended December 31, 2020, filed with the Securities and Exchange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20, 2021</w:t>
      </w:r>
    </w:p>
    <w:p>
      <w:pPr>
        <w:sectPr>
          <w:pgSz w:w="11900" w:h="16838" w:orient="portrait"/>
          <w:cols w:equalWidth="0" w:num="1">
            <w:col w:w="11020"/>
          </w:cols>
          <w:pgMar w:left="440" w:top="121"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INDUCEMENT AWARD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The purpose of the GoHealth, Inc. 2021 Inducement Award Plan (as it may be amended or restated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is to promote the success and enhance the value of GoHealth, Inc. (the “</w:t>
      </w:r>
      <w:r>
        <w:rPr>
          <w:rFonts w:ascii="Arial" w:cs="Arial" w:eastAsia="Arial" w:hAnsi="Arial"/>
          <w:sz w:val="17"/>
          <w:szCs w:val="17"/>
          <w:u w:val="single" w:color="auto"/>
          <w:color w:val="auto"/>
        </w:rPr>
        <w:t>Company</w:t>
      </w:r>
      <w:r>
        <w:rPr>
          <w:rFonts w:ascii="Arial" w:cs="Arial" w:eastAsia="Arial" w:hAnsi="Arial"/>
          <w:sz w:val="17"/>
          <w:szCs w:val="17"/>
          <w:color w:val="auto"/>
        </w:rPr>
        <w:t>”) by linking the individual interests of Eligible Individuals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Eligible Individuals upon whose judgment, interest, and special effort the successful conduct of the Company’s operation is largely dependent.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Wherever the following terms are used in the Plan they shall have the meanings specified below, unless the context clearly indicates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singular pronoun shall include the plural where the context so indicates.</w:t>
      </w:r>
    </w:p>
    <w:p>
      <w:pPr>
        <w:spacing w:after="0" w:line="103"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Board or a Committee to the extent that the Board’s powers or authority under the Plan have been delegated to such Committee.</w:t>
      </w:r>
    </w:p>
    <w:p>
      <w:pPr>
        <w:spacing w:after="0" w:line="62" w:lineRule="exact"/>
        <w:rPr>
          <w:sz w:val="20"/>
          <w:szCs w:val="20"/>
          <w:color w:val="auto"/>
        </w:rPr>
      </w:pPr>
    </w:p>
    <w:p>
      <w:pPr>
        <w:ind w:right="1340" w:firstLine="440"/>
        <w:spacing w:after="0" w:line="277"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 any Subsidiary; and (b) any domestic eligible entity that is disregarded, under Treasury Regulation Section 301.7701-3, as an entity separate from either (i) the Company or (ii) any Subsidiary.</w:t>
      </w:r>
    </w:p>
    <w:p>
      <w:pPr>
        <w:spacing w:after="0" w:line="62" w:lineRule="exact"/>
        <w:rPr>
          <w:sz w:val="20"/>
          <w:szCs w:val="20"/>
          <w:color w:val="auto"/>
        </w:rPr>
      </w:pPr>
    </w:p>
    <w:p>
      <w:pPr>
        <w:ind w:right="240" w:firstLine="440"/>
        <w:spacing w:after="0" w:line="311" w:lineRule="auto"/>
        <w:rPr>
          <w:sz w:val="20"/>
          <w:szCs w:val="20"/>
          <w:color w:val="auto"/>
        </w:rPr>
      </w:pPr>
      <w:r>
        <w:rPr>
          <w:rFonts w:ascii="Arial" w:cs="Arial" w:eastAsia="Arial" w:hAnsi="Arial"/>
          <w:sz w:val="16"/>
          <w:szCs w:val="16"/>
          <w:color w:val="auto"/>
        </w:rPr>
        <w:t>2.3 “</w:t>
      </w:r>
      <w:r>
        <w:rPr>
          <w:rFonts w:ascii="Arial" w:cs="Arial" w:eastAsia="Arial" w:hAnsi="Arial"/>
          <w:sz w:val="16"/>
          <w:szCs w:val="16"/>
          <w:u w:val="single" w:color="auto"/>
          <w:color w:val="auto"/>
        </w:rPr>
        <w:t>Applicable Law</w:t>
      </w:r>
      <w:r>
        <w:rPr>
          <w:rFonts w:ascii="Arial" w:cs="Arial" w:eastAsia="Arial" w:hAnsi="Arial"/>
          <w:sz w:val="16"/>
          <w:szCs w:val="16"/>
          <w:color w:val="auto"/>
        </w:rPr>
        <w:t>” shall mean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spacing w:after="0" w:line="4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Award</w:t>
      </w:r>
      <w:r>
        <w:rPr>
          <w:rFonts w:ascii="Arial" w:cs="Arial" w:eastAsia="Arial" w:hAnsi="Arial"/>
          <w:sz w:val="18"/>
          <w:szCs w:val="18"/>
          <w:color w:val="auto"/>
        </w:rPr>
        <w:t>” shall mean an Option, a Stock Appreciation Right, a Restricted Stock award, a Restricted Stock Unit award, an Other Stock or Cash Based Award or a Dividend Equivalent award, which may be awarded or granted under the Plan.</w:t>
      </w:r>
    </w:p>
    <w:p>
      <w:pPr>
        <w:spacing w:after="0" w:line="62"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Award Agreement</w:t>
      </w:r>
      <w:r>
        <w:rPr>
          <w:rFonts w:ascii="Arial" w:cs="Arial" w:eastAsia="Arial" w:hAnsi="Arial"/>
          <w:sz w:val="18"/>
          <w:szCs w:val="18"/>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2" w:name="page13"/>
    <w:bookmarkEnd w:id="12"/>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2.7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and includes each of the following:</w:t>
      </w:r>
    </w:p>
    <w:p>
      <w:pPr>
        <w:spacing w:after="0" w:line="117" w:lineRule="exact"/>
        <w:rPr>
          <w:sz w:val="20"/>
          <w:szCs w:val="20"/>
          <w:color w:val="auto"/>
        </w:rPr>
      </w:pPr>
    </w:p>
    <w:p>
      <w:pPr>
        <w:ind w:left="-20" w:firstLine="987"/>
        <w:spacing w:after="0" w:line="290" w:lineRule="auto"/>
        <w:tabs>
          <w:tab w:leader="none" w:pos="1216"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securities of the Company possessing more than 50% of the total combined voting power of the Company’s securities outstanding immediately after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following acquisitions shall not constitute a Change in Control: (i) any acquisition by the Company or any of its Subsidiaries; (ii) any acquisition by an employee benefit plan maintained by the Company or any of its Subsidiaries, (iii) any acquisition which complies with Sections 2.8(c)(i), 2.8(c)(ii) or 2.8(c)(iii); or (iv) in respect of an Award held by a particular Holder, any acquisition by the Holder or any group of persons including the Holder (or any entity controlled by the Holder or any group of persons including the Holder); or</w:t>
      </w:r>
    </w:p>
    <w:p>
      <w:pPr>
        <w:spacing w:after="0" w:line="57" w:lineRule="exact"/>
        <w:rPr>
          <w:rFonts w:ascii="Arial" w:cs="Arial" w:eastAsia="Arial" w:hAnsi="Arial"/>
          <w:sz w:val="16"/>
          <w:szCs w:val="16"/>
          <w:color w:val="auto"/>
        </w:rPr>
      </w:pPr>
    </w:p>
    <w:p>
      <w:pPr>
        <w:ind w:left="1220" w:hanging="253"/>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Incumbent Directors cease for any reason to constitute a majority of the Board;</w:t>
      </w:r>
    </w:p>
    <w:p>
      <w:pPr>
        <w:spacing w:after="0" w:line="117" w:lineRule="exact"/>
        <w:rPr>
          <w:rFonts w:ascii="Arial" w:cs="Arial" w:eastAsia="Arial" w:hAnsi="Arial"/>
          <w:sz w:val="18"/>
          <w:szCs w:val="18"/>
          <w:color w:val="auto"/>
        </w:rPr>
      </w:pPr>
    </w:p>
    <w:p>
      <w:pPr>
        <w:ind w:left="-20" w:right="180" w:firstLine="987"/>
        <w:spacing w:after="0" w:line="259" w:lineRule="auto"/>
        <w:tabs>
          <w:tab w:leader="none" w:pos="121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78" w:lineRule="exact"/>
        <w:rPr>
          <w:rFonts w:ascii="Arial" w:cs="Arial" w:eastAsia="Arial" w:hAnsi="Arial"/>
          <w:sz w:val="18"/>
          <w:szCs w:val="18"/>
          <w:color w:val="auto"/>
        </w:rPr>
      </w:pPr>
    </w:p>
    <w:p>
      <w:pPr>
        <w:ind w:left="-20" w:right="80" w:firstLine="1428"/>
        <w:spacing w:after="0" w:line="275" w:lineRule="auto"/>
        <w:tabs>
          <w:tab w:leader="none" w:pos="1627" w:val="left"/>
        </w:tabs>
        <w:numPr>
          <w:ilvl w:val="1"/>
          <w:numId w:val="7"/>
        </w:numPr>
        <w:rPr>
          <w:rFonts w:ascii="Arial" w:cs="Arial" w:eastAsia="Arial" w:hAnsi="Arial"/>
          <w:sz w:val="17"/>
          <w:szCs w:val="17"/>
          <w:color w:val="auto"/>
        </w:rPr>
      </w:pPr>
      <w:r>
        <w:rPr>
          <w:rFonts w:ascii="Arial" w:cs="Arial" w:eastAsia="Arial" w:hAnsi="Arial"/>
          <w:sz w:val="17"/>
          <w:szCs w:val="17"/>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7"/>
          <w:szCs w:val="17"/>
          <w:u w:val="single" w:color="auto"/>
          <w:color w:val="auto"/>
        </w:rPr>
        <w:t>Successor Entity</w:t>
      </w:r>
      <w:r>
        <w:rPr>
          <w:rFonts w:ascii="Arial" w:cs="Arial" w:eastAsia="Arial" w:hAnsi="Arial"/>
          <w:sz w:val="17"/>
          <w:szCs w:val="17"/>
          <w:color w:val="auto"/>
        </w:rPr>
        <w:t>”)) directly or indirectly, at least a majority of the combined voting power of the Successor Entity’s outstanding voting securities immediately after the transaction, and</w:t>
      </w:r>
    </w:p>
    <w:p>
      <w:pPr>
        <w:spacing w:after="0" w:line="68" w:lineRule="exact"/>
        <w:rPr>
          <w:rFonts w:ascii="Arial" w:cs="Arial" w:eastAsia="Arial" w:hAnsi="Arial"/>
          <w:sz w:val="17"/>
          <w:szCs w:val="17"/>
          <w:color w:val="auto"/>
        </w:rPr>
      </w:pPr>
    </w:p>
    <w:p>
      <w:pPr>
        <w:jc w:val="both"/>
        <w:ind w:left="-20" w:right="60" w:firstLine="1428"/>
        <w:spacing w:after="0" w:line="259" w:lineRule="auto"/>
        <w:tabs>
          <w:tab w:leader="none" w:pos="1677"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after which no person or group beneficially owns voting securities representing 50% or more of the combined voting power of the Successor Entity;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person or group shall be treated for purposes of this Section 2.8(c)(ii) as beneficially owning 50% or more of the combined voting power of the Successor Entity solely as a result of the voting power held in the Company prior to the consummation of the transaction; and</w:t>
      </w:r>
    </w:p>
    <w:p>
      <w:pPr>
        <w:spacing w:after="0" w:line="78" w:lineRule="exact"/>
        <w:rPr>
          <w:rFonts w:ascii="Arial" w:cs="Arial" w:eastAsia="Arial" w:hAnsi="Arial"/>
          <w:sz w:val="18"/>
          <w:szCs w:val="18"/>
          <w:color w:val="auto"/>
        </w:rPr>
      </w:pPr>
    </w:p>
    <w:p>
      <w:pPr>
        <w:ind w:left="-20" w:right="400" w:firstLine="1428"/>
        <w:spacing w:after="0" w:line="342" w:lineRule="auto"/>
        <w:tabs>
          <w:tab w:leader="none" w:pos="1727" w:val="left"/>
        </w:tabs>
        <w:numPr>
          <w:ilvl w:val="1"/>
          <w:numId w:val="7"/>
        </w:numPr>
        <w:rPr>
          <w:rFonts w:ascii="Arial" w:cs="Arial" w:eastAsia="Arial" w:hAnsi="Arial"/>
          <w:sz w:val="16"/>
          <w:szCs w:val="16"/>
          <w:color w:val="auto"/>
        </w:rPr>
      </w:pPr>
      <w:r>
        <w:rPr>
          <w:rFonts w:ascii="Arial" w:cs="Arial" w:eastAsia="Arial" w:hAnsi="Arial"/>
          <w:sz w:val="16"/>
          <w:szCs w:val="16"/>
          <w:color w:val="auto"/>
        </w:rPr>
        <w:t>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4" w:right="459" w:bottom="1440" w:gutter="0" w:footer="0" w:header="0"/>
        </w:sectPr>
      </w:pPr>
    </w:p>
    <w:bookmarkStart w:id="13" w:name="page14"/>
    <w:bookmarkEnd w:id="13"/>
    <w:p>
      <w:pPr>
        <w:ind w:left="1240" w:hanging="253"/>
        <w:spacing w:after="0"/>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date specified by the Board following approval by the Company’s stockholders of a plan of complete liquidation or dissolution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(c) or (d)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Administrator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79"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 together with the regulations and official guidance promulgated thereunder, whether issued prior or subsequent to the grant of any Award.</w:t>
      </w:r>
    </w:p>
    <w:p>
      <w:pPr>
        <w:spacing w:after="0" w:line="62"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 comprised of two or more Directors, each of whom is intended to qualify as a Non-Employee Director and an Independent Director.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Class A common stock of the Company.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Article 1.</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Director</w:t>
      </w:r>
      <w:r>
        <w:rPr>
          <w:rFonts w:ascii="Arial" w:cs="Arial" w:eastAsia="Arial" w:hAnsi="Arial"/>
          <w:sz w:val="18"/>
          <w:szCs w:val="18"/>
          <w:color w:val="auto"/>
        </w:rPr>
        <w:t>” shall mean a member of the Board, as constituted from time to time.</w:t>
      </w:r>
    </w:p>
    <w:p>
      <w:pPr>
        <w:spacing w:after="0" w:line="117"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shall mean a right to receive the equivalent value (in cash or Shares) of dividends paid on Shares, awarded under Section 9.2.</w:t>
      </w:r>
    </w:p>
    <w:p>
      <w:pPr>
        <w:spacing w:after="0" w:line="62"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DRO</w:t>
      </w:r>
      <w:r>
        <w:rPr>
          <w:rFonts w:ascii="Arial" w:cs="Arial" w:eastAsia="Arial" w:hAnsi="Arial"/>
          <w:sz w:val="18"/>
          <w:szCs w:val="18"/>
          <w:color w:val="auto"/>
        </w:rPr>
        <w:t>” shall mean a “domestic relations order” as defined by the Code or Title I of the Employee Retirement Income Security Act of 1974, as amended from time to time, or the rules thereunder.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December 20, 2021.</w:t>
      </w:r>
    </w:p>
    <w:p>
      <w:pPr>
        <w:spacing w:after="0" w:line="11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Eligible Individual</w:t>
      </w:r>
      <w:r>
        <w:rPr>
          <w:rFonts w:ascii="Arial" w:cs="Arial" w:eastAsia="Arial" w:hAnsi="Arial"/>
          <w:sz w:val="18"/>
          <w:szCs w:val="18"/>
          <w:color w:val="auto"/>
        </w:rPr>
        <w:t>” shall mean any prospective Employee who has not previously been an Employee or Director, or who is commencing employment with the Company or any parent of the Company or a Subsidiary following a bona fide period of non-employment by the Company or any parent of the Company or a Subsidiary, if he or she is granted an Award in connection with his or her commencement of employment with the Company or any parent of the Company or a Subsidiary and such grant is an inducement material to his or her entering into employment with the Company or any parent of the Company or a Subsidiary (within the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4" w:name="page15"/>
    <w:bookmarkEnd w:id="14"/>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meaning of Nasdaq Stock Market Rule IM-5636-1 or any successor rule, if the Company’s securities are traded on the Nasdaq Stock Market, and/or the applicable requirements of any other established stock exchange on which the Company’s securities are traded, as applicable, as such rules and requirements may be amended from time to time). The Administrator may in its discretion adopt procedures from time to time to ensure that a prospective Employee is eligible to participate in the Plan prior to the granting of any Awards to such individual under the Plan (including without limitation a requirement that each such prospective Employee certify to the Company prior to the receipt of an Award under the Plan that he or she has not been previously employed by the Company or any parent of the Company or a Subsidiary, or if previously employed, has had a bona fide period of nonemployment, and that the grant of Awards under the Plan is an inducement material to his or her agreement to enter into employment with the Company or any parent of the Company or a Subsidiary).</w:t>
      </w:r>
    </w:p>
    <w:p>
      <w:pPr>
        <w:spacing w:after="0" w:line="70"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officer or other employee (as determined in accordance with Section 3401(c) of the Code and the Treasury Regulations thereunder) of the Company or of any parent of the Company or Affiliate.</w:t>
      </w:r>
    </w:p>
    <w:p>
      <w:pPr>
        <w:spacing w:after="0" w:line="62"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Equity Restructuring</w:t>
      </w:r>
      <w:r>
        <w:rPr>
          <w:rFonts w:ascii="Arial" w:cs="Arial" w:eastAsia="Arial" w:hAnsi="Arial"/>
          <w:sz w:val="18"/>
          <w:szCs w:val="18"/>
          <w:color w:val="auto"/>
        </w:rPr>
        <w:t>” shall mean a nonreciprocal transaction between the Company and its stockholders, such as a stock dividend, stock split, spin-off, rights offering or recapitalization through a large, nonrecurring cash dividend, that affects the number or kind of Shares (or other securities of the Company) or the share price of Common Stock (or other securities) and causes a change in the per-share value of the Common Stock underlying outstanding Awards.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from time to time.</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Exchange Program</w:t>
      </w:r>
      <w:r>
        <w:rPr>
          <w:rFonts w:ascii="Arial" w:cs="Arial" w:eastAsia="Arial" w:hAnsi="Arial"/>
          <w:sz w:val="18"/>
          <w:szCs w:val="18"/>
          <w:color w:val="auto"/>
        </w:rPr>
        <w:t>” shall mean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or increased. The Administrator will determine the terms and conditions of any Exchange Program in its sole discretion.</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mean, as of any given date, the value of a Share determined as follows:</w:t>
      </w:r>
    </w:p>
    <w:p>
      <w:pPr>
        <w:spacing w:after="0" w:line="117" w:lineRule="exact"/>
        <w:rPr>
          <w:sz w:val="20"/>
          <w:szCs w:val="20"/>
          <w:color w:val="auto"/>
        </w:rPr>
      </w:pPr>
    </w:p>
    <w:p>
      <w:pPr>
        <w:ind w:right="120" w:firstLine="987"/>
        <w:spacing w:after="0" w:line="275" w:lineRule="auto"/>
        <w:tabs>
          <w:tab w:leader="none" w:pos="1236"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If the Common Stock is (i) listed on any established securities exchange (such as the New York Stock Exchange, the Nasdaq Capital Market, the Nasdaq Global Market and the Nasdaq Global Select Market), (ii) listed on any national market system or (iii) quoted or traded on any automated quotation system,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15" w:name="page16"/>
    <w:bookmarkEnd w:id="15"/>
    <w:p>
      <w:pPr>
        <w:ind w:firstLine="987"/>
        <w:spacing w:after="0" w:line="301" w:lineRule="auto"/>
        <w:tabs>
          <w:tab w:leader="none" w:pos="1246"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 or</w:t>
      </w:r>
    </w:p>
    <w:p>
      <w:pPr>
        <w:spacing w:after="0" w:line="49" w:lineRule="exact"/>
        <w:rPr>
          <w:rFonts w:ascii="Arial" w:cs="Arial" w:eastAsia="Arial" w:hAnsi="Arial"/>
          <w:sz w:val="16"/>
          <w:szCs w:val="16"/>
          <w:color w:val="auto"/>
        </w:rPr>
      </w:pPr>
    </w:p>
    <w:p>
      <w:pPr>
        <w:ind w:right="40" w:firstLine="987"/>
        <w:spacing w:after="0" w:line="308" w:lineRule="auto"/>
        <w:tabs>
          <w:tab w:leader="none" w:pos="12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the Common Stock is neither listed on an established securities exchange, national market system or automated quotation system nor regularly quoted by a recognized securities dealer, its Fair Market Value shall be established by the Administrator in its discretion.</w:t>
      </w:r>
    </w:p>
    <w:p>
      <w:pPr>
        <w:spacing w:after="0" w:line="146"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Holder</w:t>
      </w:r>
      <w:r>
        <w:rPr>
          <w:rFonts w:ascii="Arial" w:cs="Arial" w:eastAsia="Arial" w:hAnsi="Arial"/>
          <w:sz w:val="18"/>
          <w:szCs w:val="18"/>
          <w:color w:val="auto"/>
        </w:rPr>
        <w:t>” shall mean a person who has been granted an Award.</w:t>
      </w:r>
    </w:p>
    <w:p>
      <w:pPr>
        <w:spacing w:after="0" w:line="11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Independent Director</w:t>
      </w:r>
      <w:r>
        <w:rPr>
          <w:rFonts w:ascii="Arial" w:cs="Arial" w:eastAsia="Arial" w:hAnsi="Arial"/>
          <w:sz w:val="18"/>
          <w:szCs w:val="18"/>
          <w:color w:val="auto"/>
        </w:rPr>
        <w:t>” shall mean a Director of the Company who is not an Employee and who qualifies as “independent” within the meaning of Nasdaq Stock Market Rule 5605(a)(2), or any successor rule, if the Company’s securities are traded on the Nasdaq Stock Market, and/or the applicable requirements of any other established stock exchange on which the Company’s securities are traded, as applicable, as such rules and requirements may be amended from time to time.</w:t>
      </w:r>
    </w:p>
    <w:p>
      <w:pPr>
        <w:spacing w:after="0" w:line="79"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2.24 “</w:t>
      </w:r>
      <w:r>
        <w:rPr>
          <w:rFonts w:ascii="Arial" w:cs="Arial" w:eastAsia="Arial" w:hAnsi="Arial"/>
          <w:sz w:val="17"/>
          <w:szCs w:val="17"/>
          <w:u w:val="single" w:color="auto"/>
          <w:color w:val="auto"/>
        </w:rPr>
        <w:t>Incumbent Directors</w:t>
      </w:r>
      <w:r>
        <w:rPr>
          <w:rFonts w:ascii="Arial" w:cs="Arial" w:eastAsia="Arial" w:hAnsi="Arial"/>
          <w:sz w:val="17"/>
          <w:szCs w:val="17"/>
          <w:color w:val="auto"/>
        </w:rPr>
        <w:t>” shall mean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Section 2.8(a) or 2.8(c)) whose election or nomination for election to the Board was approved by a vote of at least a majority (either by a specific vote or by approval of the proxy statement of the Company in which such person is named as a nominee for Director without objection to such nomination) of the Directors then still in office who either were Directors at the beginning of the 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mean a Director of the Company who qualifies as a “Non-Employee Director” as defined in Rule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16b-3(b)(3) of the Exchange Act, or any successor definition.</w:t>
      </w:r>
    </w:p>
    <w:p>
      <w:pPr>
        <w:spacing w:after="0" w:line="103"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shall mean an Option that is not intended to be or otherwise does not qualify as an incentive stock option and does not meet the requirements of Section 422 of the Code or any successor provision thereto.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6" w:name="page17"/>
    <w:bookmarkEnd w:id="16"/>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2.27 “</w:t>
      </w:r>
      <w:r>
        <w:rPr>
          <w:rFonts w:ascii="Arial" w:cs="Arial" w:eastAsia="Arial" w:hAnsi="Arial"/>
          <w:sz w:val="18"/>
          <w:szCs w:val="18"/>
          <w:u w:val="single" w:color="auto"/>
          <w:color w:val="auto"/>
        </w:rPr>
        <w:t>Option</w:t>
      </w:r>
      <w:r>
        <w:rPr>
          <w:rFonts w:ascii="Arial" w:cs="Arial" w:eastAsia="Arial" w:hAnsi="Arial"/>
          <w:sz w:val="18"/>
          <w:szCs w:val="18"/>
          <w:color w:val="auto"/>
        </w:rPr>
        <w:t>” shall mean a right to purchase Shares at a specified exercise price, granted under Article 5. An Option granted under the Plan shall be a Non-Qualified Stock Option.</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Option Term</w:t>
      </w:r>
      <w:r>
        <w:rPr>
          <w:rFonts w:ascii="Arial" w:cs="Arial" w:eastAsia="Arial" w:hAnsi="Arial"/>
          <w:sz w:val="18"/>
          <w:szCs w:val="18"/>
          <w:color w:val="auto"/>
        </w:rPr>
        <w:t>” shall have the meaning set forth in Section 5.3.</w:t>
      </w:r>
    </w:p>
    <w:p>
      <w:pPr>
        <w:spacing w:after="0" w:line="117"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shall mean, collectively, (a) the Company’s articles of incorporation, certificate of incorporation, bylaws or other similar organizational documents relating to the creation and governance of the Company, and (b) the Committee’s charter or other similar organizational documentation relating to the creation and governance of the Committee.</w:t>
      </w:r>
    </w:p>
    <w:p>
      <w:pPr>
        <w:spacing w:after="0" w:line="76"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Other Stock or Cash Based Award</w:t>
      </w:r>
      <w:r>
        <w:rPr>
          <w:rFonts w:ascii="Arial" w:cs="Arial" w:eastAsia="Arial" w:hAnsi="Arial"/>
          <w:sz w:val="18"/>
          <w:szCs w:val="18"/>
          <w:color w:val="auto"/>
        </w:rPr>
        <w:t>” shall mean a cash payment, cash bonus award, stock payment, stock bonus award, or incentive award that is paid in cash, Shares or a combination of both, awarded under Section 9.1, which may include, without limitation, deferred stock, deferred stock units, retainers, committee fees, and meeting-based fees.</w:t>
      </w:r>
    </w:p>
    <w:p>
      <w:pPr>
        <w:spacing w:after="0" w:line="76"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shall mean, with respect to a Holder, any “family member” of the Holder, as defined in the General Instructions to Form S-8 Registration Statement under the Securities Act (or any successor form thereto), or any other transferee specifically approved by the Administrator after taking into account Applicable Law.</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Plan</w:t>
      </w:r>
      <w:r>
        <w:rPr>
          <w:rFonts w:ascii="Arial" w:cs="Arial" w:eastAsia="Arial" w:hAnsi="Arial"/>
          <w:sz w:val="18"/>
          <w:szCs w:val="18"/>
          <w:color w:val="auto"/>
        </w:rPr>
        <w:t>” shall have the meaning set forth in Article 1.</w:t>
      </w:r>
    </w:p>
    <w:p>
      <w:pPr>
        <w:spacing w:after="0" w:line="117"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2.33 “</w:t>
      </w:r>
      <w:r>
        <w:rPr>
          <w:rFonts w:ascii="Arial" w:cs="Arial" w:eastAsia="Arial" w:hAnsi="Arial"/>
          <w:sz w:val="17"/>
          <w:szCs w:val="17"/>
          <w:u w:val="single" w:color="auto"/>
          <w:color w:val="auto"/>
        </w:rPr>
        <w:t>Program</w:t>
      </w:r>
      <w:r>
        <w:rPr>
          <w:rFonts w:ascii="Arial" w:cs="Arial" w:eastAsia="Arial" w:hAnsi="Arial"/>
          <w:sz w:val="17"/>
          <w:szCs w:val="17"/>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38"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Restricted Stock</w:t>
      </w:r>
      <w:r>
        <w:rPr>
          <w:rFonts w:ascii="Arial" w:cs="Arial" w:eastAsia="Arial" w:hAnsi="Arial"/>
          <w:sz w:val="18"/>
          <w:szCs w:val="18"/>
          <w:color w:val="auto"/>
        </w:rPr>
        <w:t>” shall mean Common Stock awarded under Article 7 that is subject to certain restrictions and may be subject to risk of forfeiture or repurchase.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shall mean the right to receive Shares awarded under Article 8.</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SAR Term</w:t>
      </w:r>
      <w:r>
        <w:rPr>
          <w:rFonts w:ascii="Arial" w:cs="Arial" w:eastAsia="Arial" w:hAnsi="Arial"/>
          <w:sz w:val="18"/>
          <w:szCs w:val="18"/>
          <w:color w:val="auto"/>
        </w:rPr>
        <w:t>” shall have the meaning set forth in Section 5.3.</w:t>
      </w:r>
    </w:p>
    <w:p>
      <w:pPr>
        <w:spacing w:after="0" w:line="117" w:lineRule="exact"/>
        <w:rPr>
          <w:sz w:val="20"/>
          <w:szCs w:val="20"/>
          <w:color w:val="auto"/>
        </w:rPr>
      </w:pPr>
    </w:p>
    <w:p>
      <w:pPr>
        <w:ind w:right="360" w:firstLine="440"/>
        <w:spacing w:after="0" w:line="308" w:lineRule="auto"/>
        <w:rPr>
          <w:sz w:val="20"/>
          <w:szCs w:val="20"/>
          <w:color w:val="auto"/>
        </w:rPr>
      </w:pPr>
      <w:r>
        <w:rPr>
          <w:rFonts w:ascii="Arial" w:cs="Arial" w:eastAsia="Arial" w:hAnsi="Arial"/>
          <w:sz w:val="17"/>
          <w:szCs w:val="17"/>
          <w:color w:val="auto"/>
        </w:rPr>
        <w:t>2.37 “</w:t>
      </w:r>
      <w:r>
        <w:rPr>
          <w:rFonts w:ascii="Arial" w:cs="Arial" w:eastAsia="Arial" w:hAnsi="Arial"/>
          <w:sz w:val="17"/>
          <w:szCs w:val="17"/>
          <w:u w:val="single" w:color="auto"/>
          <w:color w:val="auto"/>
        </w:rPr>
        <w:t>Section 409A</w:t>
      </w:r>
      <w:r>
        <w:rPr>
          <w:rFonts w:ascii="Arial" w:cs="Arial" w:eastAsia="Arial" w:hAnsi="Arial"/>
          <w:sz w:val="17"/>
          <w:szCs w:val="17"/>
          <w:color w:val="auto"/>
        </w:rPr>
        <w:t>” shall mean Section 409A of the Code and the Department of Treasury regulations and other interpretive guidance issued thereunder, including, without limitation, any such regulations or other guidance that may be issued after the Effective Date.</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Shares</w:t>
      </w:r>
      <w:r>
        <w:rPr>
          <w:rFonts w:ascii="Arial" w:cs="Arial" w:eastAsia="Arial" w:hAnsi="Arial"/>
          <w:sz w:val="18"/>
          <w:szCs w:val="18"/>
          <w:color w:val="auto"/>
        </w:rPr>
        <w:t>” shall mean shares of Common Stock.</w:t>
      </w:r>
    </w:p>
    <w:p>
      <w:pPr>
        <w:spacing w:after="0" w:line="11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shall mean an Award entitling the Holder (or other person entitled to exercise pursuant to the Plan) to exercise all or a specified portion thereof (to the extent then exercisable pursuant to its terms) and to receive from the Company an amount determined by multiplying (i) the difference obtained by subtracting (x) the exercise price per share of such Award from (y) the Fair Market Value on the date of exercise of such Award by (ii) the number of Shares with respect to which such Award shall have been exercised, subject to any limitations the Administrator may impose.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7" w:name="page18"/>
    <w:bookmarkEnd w:id="17"/>
    <w:p>
      <w:pPr>
        <w:ind w:right="1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2.41 “</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fifty percent (50%) of the total combined voting power of all classes of securities or interests in one of the other entities in such chain.</w:t>
      </w:r>
    </w:p>
    <w:p>
      <w:pPr>
        <w:spacing w:after="0" w:line="79"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2.42 “</w:t>
      </w:r>
      <w:r>
        <w:rPr>
          <w:rFonts w:ascii="Arial" w:cs="Arial" w:eastAsia="Arial" w:hAnsi="Arial"/>
          <w:sz w:val="17"/>
          <w:szCs w:val="17"/>
          <w:u w:val="single" w:color="auto"/>
          <w:color w:val="auto"/>
        </w:rPr>
        <w:t>Termination of Service</w:t>
      </w:r>
      <w:r>
        <w:rPr>
          <w:rFonts w:ascii="Arial" w:cs="Arial" w:eastAsia="Arial" w:hAnsi="Arial"/>
          <w:sz w:val="17"/>
          <w:szCs w:val="17"/>
          <w:color w:val="auto"/>
        </w:rPr>
        <w:t>” shall mean the date the Holder ceases to be an Eligible Individual. The Administrator,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SUBJECT TO THE PLAN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pacing w:after="0" w:line="117" w:lineRule="exact"/>
        <w:rPr>
          <w:sz w:val="20"/>
          <w:szCs w:val="20"/>
          <w:color w:val="auto"/>
        </w:rPr>
      </w:pPr>
    </w:p>
    <w:p>
      <w:pPr>
        <w:ind w:right="160" w:firstLine="987"/>
        <w:spacing w:after="0" w:line="342" w:lineRule="auto"/>
        <w:tabs>
          <w:tab w:leader="none" w:pos="1236"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Subject to Sections 3.1(b) and 12.2, Awards may be made under the Plan covering an aggregate number of Shares equal to 4,000,000. Any Shares distributed pursuant to an Award may consist, in whole or in part, of authorized and unissued Common Stock or treasury Common Stock.</w:t>
      </w:r>
    </w:p>
    <w:p>
      <w:pPr>
        <w:spacing w:after="0" w:line="15" w:lineRule="exact"/>
        <w:rPr>
          <w:rFonts w:ascii="Arial" w:cs="Arial" w:eastAsia="Arial" w:hAnsi="Arial"/>
          <w:sz w:val="16"/>
          <w:szCs w:val="16"/>
          <w:color w:val="auto"/>
        </w:rPr>
      </w:pPr>
    </w:p>
    <w:p>
      <w:pPr>
        <w:ind w:firstLine="987"/>
        <w:spacing w:after="0" w:line="268" w:lineRule="auto"/>
        <w:tabs>
          <w:tab w:leader="none" w:pos="1246"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any Shares subject to an Award are forfeited or expire, are converted to shares of another person in connection with a recapitalization, reorganization, merger, consolidation, split-up, spin-off, combination, exchange of shares or other similar event, are surrendered pursuant to an Exchange Program, or such Award is settled for cash (in whole or in part) (including Shares repurchased by the Company under Section 7.4 at the same price paid by the Holder), the Shares subject to such Award shall, to the extent of such forfeiture, expiration or cash settlement, again be available for future grants of Awards under the Plan. Notwithstanding anything to the contrary contained herein, the following Shares shall not be added to the Shares authorized for grant under Section 3.1(a) and shall not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a Stock Appreciation Right or other stock-settled Award (including Awards that may be settled in cash or stock) that are not issued in connection with the settlement or exercise, as applicable, of the Stock Appreciation Right or other stock-settled Award; and (iv) Shares purchased on the open market by the Company with the cash proceeds received from the exercise of Options. Any Shares repurchased by the Company under Section 7.4 at the same price paid by the Holder so that such Shares are returned to the Company shall again be available for Awards. The payment of Dividend Equivalents in cash in conjunction with any outstanding Awards shall not be counted against the Shares available for issuance under the Plan.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GRANTING OF AWARDS</w:t>
      </w:r>
    </w:p>
    <w:p>
      <w:pPr>
        <w:spacing w:after="0" w:line="229"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Participation</w:t>
      </w:r>
      <w:r>
        <w:rPr>
          <w:rFonts w:ascii="Arial" w:cs="Arial" w:eastAsia="Arial" w:hAnsi="Arial"/>
          <w:sz w:val="18"/>
          <w:szCs w:val="18"/>
          <w:color w:val="auto"/>
        </w:rPr>
        <w:t>. The Administrator may, from time to time, select from among all Eligible Individuals those to whom an Award shall be granted and shall determine the nature and amount of each Award, which shall not be inconsistent with the requirements of the Plan. Except for any Non-Employee Director’s right to Awards that may be required pursuant to any non-employee director compensation policy adopted by the Board (if applicable), no Eligible Individual or other person shall have any right to be granted an Award pursuant to the Plan and neither the Company nor the Administrator is obligated to treat Eligible Individuals, Holders or any other persons uniformly. Participation by each Holder in the Plan shall be voluntary and nothing in the Plan or any Program shall be construed as mandating that any Eligible Individual or other person shall participate in the Plan.</w:t>
      </w:r>
    </w:p>
    <w:p>
      <w:pPr>
        <w:spacing w:after="0" w:line="87"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Award Agreement</w:t>
      </w:r>
      <w:r>
        <w:rPr>
          <w:rFonts w:ascii="Arial" w:cs="Arial" w:eastAsia="Arial" w:hAnsi="Arial"/>
          <w:sz w:val="17"/>
          <w:szCs w:val="17"/>
          <w:color w:val="auto"/>
        </w:rPr>
        <w:t>. Each Award shall be evidenced by an Award Agreement that sets forth the terms, conditions and limitations for such Award as determined by the Administrator in its sole discretion (consistent with the requirements of the Plan and any applicable Program).</w:t>
      </w:r>
    </w:p>
    <w:p>
      <w:pPr>
        <w:spacing w:after="0" w:line="38"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80"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At-Will Service</w:t>
      </w:r>
      <w:r>
        <w:rPr>
          <w:rFonts w:ascii="Arial" w:cs="Arial" w:eastAsia="Arial" w:hAnsi="Arial"/>
          <w:sz w:val="18"/>
          <w:szCs w:val="18"/>
          <w:color w:val="auto"/>
        </w:rPr>
        <w:t>. Nothing in the Plan or in any Program or Award Agreement hereunder shall confer upon any Holder any right to continue in the employ or service of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w:t>
      </w:r>
    </w:p>
    <w:p>
      <w:pPr>
        <w:spacing w:after="0" w:line="80"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Foreign Holders</w:t>
      </w:r>
      <w:r>
        <w:rPr>
          <w:rFonts w:ascii="Arial" w:cs="Arial" w:eastAsia="Arial" w:hAnsi="Arial"/>
          <w:sz w:val="18"/>
          <w:szCs w:val="18"/>
          <w:color w:val="auto"/>
        </w:rPr>
        <w:t>. Notwithstanding any provision of the Plan or applicable Program to the contrary, in order to comply with the laws in countries other than the United States in which the Company and its Affiliates operate or have employees or other service providers, or in order to comply with the requirements of any foreign securities exchange or other Applicable Law, the Administrator, in its sole discretion, shall have the power and authority to: (a) determine which Affiliates shall be covered by the Plan; (b) determine which Eligible Individuals outside the United States are eligible to participate in the Plan; (c) modify the terms and conditions of any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19" w:name="page20"/>
    <w:bookmarkEnd w:id="19"/>
    <w:p>
      <w:pPr>
        <w:ind w:left="4"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Award granted to Eligible Individuals outside the United States to comply with Applicable Law (including, without limitation, applicable foreign laws or listing requirements of any foreign securities exchange); (d) establish subplans and modify exercise procedures and other terms and procedures, to the extent such actions may be necessary or advisable;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subplans and/or modifications shall increase the share limitation contained in Section 3.1; and (e) take any action, before or after an Award is made, that it deems advisable to obtain approval or comply with any necessary local governmental regulatory exemptions or approvals or listing requirements of any foreign securities exchange.</w:t>
      </w:r>
    </w:p>
    <w:p>
      <w:pPr>
        <w:spacing w:after="0" w:line="37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GRANTING OF OPTIONS AND STOCK APPRECIATION RIGHTS</w:t>
      </w:r>
    </w:p>
    <w:p>
      <w:pPr>
        <w:spacing w:after="0" w:line="229"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Granting of Options and Stock Appreciation Rights to Eligible Individuals</w:t>
      </w:r>
      <w:r>
        <w:rPr>
          <w:rFonts w:ascii="Arial" w:cs="Arial" w:eastAsia="Arial" w:hAnsi="Arial"/>
          <w:sz w:val="18"/>
          <w:szCs w:val="18"/>
          <w:color w:val="auto"/>
        </w:rPr>
        <w:t>. The Administrator is authorized to grant Options and Stock Appreciation Rights to Eligible Individuals from time to time, in its sole discretion, on such terms and conditions as it may determine, which shall not be inconsistent with the Plan.</w:t>
      </w:r>
    </w:p>
    <w:p>
      <w:pPr>
        <w:spacing w:after="0" w:line="76" w:lineRule="exact"/>
        <w:rPr>
          <w:sz w:val="20"/>
          <w:szCs w:val="20"/>
          <w:color w:val="auto"/>
        </w:rPr>
      </w:pPr>
    </w:p>
    <w:p>
      <w:pPr>
        <w:jc w:val="both"/>
        <w:ind w:left="4" w:right="160" w:firstLine="440"/>
        <w:spacing w:after="0" w:line="26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Option and Stock Appreciation Right Exercise Price</w:t>
      </w:r>
      <w:r>
        <w:rPr>
          <w:rFonts w:ascii="Arial" w:cs="Arial" w:eastAsia="Arial" w:hAnsi="Arial"/>
          <w:sz w:val="18"/>
          <w:szCs w:val="18"/>
          <w:color w:val="auto"/>
        </w:rPr>
        <w:t>. The exercise price per Share subject to each Option and Stock Appreciation Right shall be set by the Administrator, but shall not be less than 100% of the Fair Market Value of a Share on the date the Option or Stock Appreciation Right, as applicable, is granted.</w:t>
      </w:r>
    </w:p>
    <w:p>
      <w:pPr>
        <w:spacing w:after="0" w:line="76" w:lineRule="exact"/>
        <w:rPr>
          <w:sz w:val="20"/>
          <w:szCs w:val="20"/>
          <w:color w:val="auto"/>
        </w:rPr>
      </w:pPr>
    </w:p>
    <w:p>
      <w:pPr>
        <w:jc w:val="both"/>
        <w:ind w:left="4" w:right="160" w:firstLine="440"/>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Option and SAR Term</w:t>
      </w:r>
      <w:r>
        <w:rPr>
          <w:rFonts w:ascii="Arial" w:cs="Arial" w:eastAsia="Arial" w:hAnsi="Arial"/>
          <w:sz w:val="16"/>
          <w:szCs w:val="16"/>
          <w:color w:val="auto"/>
        </w:rPr>
        <w:t>. The term of each Option (the “</w:t>
      </w:r>
      <w:r>
        <w:rPr>
          <w:rFonts w:ascii="Arial" w:cs="Arial" w:eastAsia="Arial" w:hAnsi="Arial"/>
          <w:sz w:val="16"/>
          <w:szCs w:val="16"/>
          <w:u w:val="single" w:color="auto"/>
          <w:color w:val="auto"/>
        </w:rPr>
        <w:t>Option Term</w:t>
      </w:r>
      <w:r>
        <w:rPr>
          <w:rFonts w:ascii="Arial" w:cs="Arial" w:eastAsia="Arial" w:hAnsi="Arial"/>
          <w:sz w:val="16"/>
          <w:szCs w:val="16"/>
          <w:color w:val="auto"/>
        </w:rPr>
        <w:t>”) and the term of each Stock Appreciation Right (the “</w:t>
      </w:r>
      <w:r>
        <w:rPr>
          <w:rFonts w:ascii="Arial" w:cs="Arial" w:eastAsia="Arial" w:hAnsi="Arial"/>
          <w:sz w:val="16"/>
          <w:szCs w:val="16"/>
          <w:u w:val="single" w:color="auto"/>
          <w:color w:val="auto"/>
        </w:rPr>
        <w:t>SAR Term</w:t>
      </w:r>
      <w:r>
        <w:rPr>
          <w:rFonts w:ascii="Arial" w:cs="Arial" w:eastAsia="Arial" w:hAnsi="Arial"/>
          <w:sz w:val="16"/>
          <w:szCs w:val="16"/>
          <w:color w:val="auto"/>
        </w:rPr>
        <w:t xml:space="preserve">”) shall be set by the Administrator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Option Term or SAR Term, as applicable, shall not be more than ten</w:t>
      </w:r>
    </w:p>
    <w:p>
      <w:pPr>
        <w:ind w:left="4" w:right="40" w:hanging="4"/>
        <w:spacing w:after="0" w:line="252" w:lineRule="auto"/>
        <w:tabs>
          <w:tab w:leader="none" w:pos="3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years from the date the Option or Stock Appreciation Right, as applicable, is granted to an Eligible Individual. Except as limited by the requirements of Section 409A and regulations and rulings thereunder or the first sentence of this Section 5.3 and without limiting the Company’s rights under Section 10.7, the Administrator may extend the Option Term of any outstanding Option or the SAR Term of any outstanding Stock Appreciation Right, and may extend the time period during which vested Options or Stock Appreciation Rights may be exercised, in connection with any Termination of Service of the Holder or otherwise, and may amend, subject to Section 10.7 and 12.1, any other term or condition of such Option or Stock Appreciation Right relating to such Termination of Service of the Holder or otherwise.</w:t>
      </w:r>
    </w:p>
    <w:p>
      <w:pPr>
        <w:spacing w:after="0" w:line="86"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Option and SAR Vesting</w:t>
      </w:r>
      <w:r>
        <w:rPr>
          <w:rFonts w:ascii="Arial" w:cs="Arial" w:eastAsia="Arial" w:hAnsi="Arial"/>
          <w:sz w:val="18"/>
          <w:szCs w:val="18"/>
          <w:color w:val="auto"/>
        </w:rPr>
        <w:t>. The period during which the right to exercise, in whole or in part, an Option or Stock Appreciation Right vests in the Holder shall be set by the Administrator and set forth in the applicable Award Agreement. Notwithstanding the foregoing and unless determined otherwise by the Company, in the event that on the last business day of the term of an Option or Stock Appreciation Right (a) the exercise of the Option or Stock Appreciation Right is prohibited by Applicable Law, as determined by the Company, or (b)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thirty (30) days after the end of the legal prohibition, black-out period or lock-up agreement, as determined by the Company; provided, however, in no event shall the extension</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0" w:name="page21"/>
    <w:bookmarkEnd w:id="20"/>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last beyond the ten year term of the applicable Option or Stock Appreciation Right. Unless otherwise determined by the Administrator in the Award Agreement, the applicable Program or by action of the Administrator following the grant of the Option or Stock Appreciation Right, (i) no portion of an Option or Stock Appreciation Right which is unexercisable at a Holder’s Termination of Service shall thereafter become exercisable and (ii) the portion of an Option or Stock Appreciation Right that is unexercisable at a Holder’s Termination of Service shall automatically expire thirty (30) days following such Termination of Service.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OF OPTIONS AND STOCK APPRECIATION RIGHTS</w:t>
      </w:r>
    </w:p>
    <w:p>
      <w:pPr>
        <w:spacing w:after="0" w:line="229"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Exercise and Payment</w:t>
      </w:r>
      <w:r>
        <w:rPr>
          <w:rFonts w:ascii="Arial" w:cs="Arial" w:eastAsia="Arial" w:hAnsi="Arial"/>
          <w:sz w:val="16"/>
          <w:szCs w:val="16"/>
          <w:color w:val="auto"/>
        </w:rPr>
        <w:t>. An exercisable Option or Stock Appreciation Right may be exercised in whole or in part. However, unless the Administrator otherwise determines, an Option or Stock Appreciation Right shall not be exercisable with respect to fractional Shares and the Administrator may require that, by the terms of the Option or Stock Appreciation Right, a partial exercise must be with respect to a minimum number of Shares. Payment of the amounts payable with respect to Stock Appreciation Rights pursuant to this Article 6 shall be in cash, Shares (based on its Fair Market Value as of the date the Stock Appreciation Right is exercised), or a combination of both, as determined by the Administrator.</w:t>
      </w:r>
    </w:p>
    <w:p>
      <w:pPr>
        <w:spacing w:after="0" w:line="53"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Manner of Exercise</w:t>
      </w:r>
      <w:r>
        <w:rPr>
          <w:rFonts w:ascii="Arial" w:cs="Arial" w:eastAsia="Arial" w:hAnsi="Arial"/>
          <w:sz w:val="18"/>
          <w:szCs w:val="18"/>
          <w:color w:val="auto"/>
        </w:rPr>
        <w:t>. All or a portion of an exercisable Option or Stock Appreciation Right shall be deemed exercised upon delivery of all of the following to the Secretary of the Company, the stock plan administrator of the Company or such other person or entity designated by the Administrator, or his, her or its office, as applicable:</w:t>
      </w:r>
    </w:p>
    <w:p>
      <w:pPr>
        <w:spacing w:after="0" w:line="76" w:lineRule="exact"/>
        <w:rPr>
          <w:sz w:val="20"/>
          <w:szCs w:val="20"/>
          <w:color w:val="auto"/>
        </w:rPr>
      </w:pPr>
    </w:p>
    <w:p>
      <w:pPr>
        <w:jc w:val="both"/>
        <w:ind w:right="460" w:firstLine="987"/>
        <w:spacing w:after="0" w:line="263" w:lineRule="auto"/>
        <w:tabs>
          <w:tab w:leader="none" w:pos="12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written notice of exercise in a form the Administrator approves (which may be electronic) complying with the applicable rules established by the Administrator. The notice shall be signed or otherwise acknowledge electronically by the Holder or other person then entitled to exercise the Option or Stock Appreciation Right or such portion thereof;</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Such representations and documents as the Administrator, in its sole discretion, deems necessary or advisable to effect compliance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Applicable Law.</w:t>
      </w:r>
    </w:p>
    <w:p>
      <w:pPr>
        <w:spacing w:after="0" w:line="102" w:lineRule="exact"/>
        <w:rPr>
          <w:rFonts w:ascii="Arial" w:cs="Arial" w:eastAsia="Arial" w:hAnsi="Arial"/>
          <w:sz w:val="16"/>
          <w:szCs w:val="16"/>
          <w:color w:val="auto"/>
        </w:rPr>
      </w:pPr>
    </w:p>
    <w:p>
      <w:pPr>
        <w:ind w:right="360" w:firstLine="987"/>
        <w:spacing w:after="0" w:line="263" w:lineRule="auto"/>
        <w:tabs>
          <w:tab w:leader="none" w:pos="12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event that the Option shall be exercised pursuant to Section 10.3 by any person or persons other than the Holder, appropriate proof of the right of such person or persons to exercise the Option or Stock Appreciation Right, as determined in the sole discretion of the Administrator; and</w:t>
      </w:r>
    </w:p>
    <w:p>
      <w:pPr>
        <w:spacing w:after="0" w:line="75" w:lineRule="exact"/>
        <w:rPr>
          <w:rFonts w:ascii="Arial" w:cs="Arial" w:eastAsia="Arial" w:hAnsi="Arial"/>
          <w:sz w:val="18"/>
          <w:szCs w:val="18"/>
          <w:color w:val="auto"/>
        </w:rPr>
      </w:pPr>
    </w:p>
    <w:p>
      <w:pPr>
        <w:ind w:right="800" w:firstLine="987"/>
        <w:spacing w:after="0" w:line="342" w:lineRule="auto"/>
        <w:tabs>
          <w:tab w:leader="none" w:pos="1246" w:val="left"/>
        </w:tabs>
        <w:numPr>
          <w:ilvl w:val="0"/>
          <w:numId w:val="13"/>
        </w:numPr>
        <w:rPr>
          <w:rFonts w:ascii="Arial" w:cs="Arial" w:eastAsia="Arial" w:hAnsi="Arial"/>
          <w:sz w:val="16"/>
          <w:szCs w:val="16"/>
          <w:color w:val="auto"/>
        </w:rPr>
      </w:pPr>
      <w:r>
        <w:rPr>
          <w:rFonts w:ascii="Arial" w:cs="Arial" w:eastAsia="Arial" w:hAnsi="Arial"/>
          <w:sz w:val="16"/>
          <w:szCs w:val="16"/>
          <w:color w:val="auto"/>
        </w:rPr>
        <w:t>Full payment of the exercise price and applicable withholding taxes for the Shares with respect to which the Option or Stock Appreciation Right, or portion thereof, is exercised, in a manner permitted by the Administrator in accordance with Sections 10.1 and 10.2.</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AWARD OF RESTRICTED STOCK</w:t>
      </w:r>
    </w:p>
    <w:p>
      <w:pPr>
        <w:spacing w:after="0" w:line="229"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Award of Restricted Stock</w:t>
      </w:r>
      <w:r>
        <w:rPr>
          <w:rFonts w:ascii="Arial" w:cs="Arial" w:eastAsia="Arial" w:hAnsi="Arial"/>
          <w:sz w:val="17"/>
          <w:szCs w:val="17"/>
          <w:color w:val="auto"/>
        </w:rPr>
        <w:t xml:space="preserve">. The Administrator is authorized to grant Restricted Stock, or the right to purchase Restricted Stock, to Eligible Individuals, and shall determine the terms and conditions, including the restrictions applicable to each award of Restricted Stock, which terms and conditions shall not be inconsistent with the Plan or any applicable Program, and may impose such conditions on the issuance of such Restricted Stock as it deems appropriate. At the time of grant, the Administrator shall specify the date or dates on which the Restricted Stock shall become fully vested and nonforfeitable, and may specify such conditions to vesting as it deems appropriate, including, without limitation, vesting based upon the Holder’s duration of service to the Company or any Affiliate or other specific criteria, in each case on a specified date or dates or over any period or periods, as determined by the Administrator. The Administrator shall establish the purchase price, if any, and form of payment for Restricted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spacing w:after="0" w:line="77"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Rights as Stockholders</w:t>
      </w:r>
      <w:r>
        <w:rPr>
          <w:rFonts w:ascii="Arial" w:cs="Arial" w:eastAsia="Arial" w:hAnsi="Arial"/>
          <w:sz w:val="18"/>
          <w:szCs w:val="18"/>
          <w:color w:val="auto"/>
        </w:rPr>
        <w:t xml:space="preserve">. Subject to Section 7.4, upon issuance of Restricted Stock, the Holder shall have, unless otherwise provided by the Administrator, all of the rights of a stockholder with respect to said Shares, subject to the restrictions in the Plan, any applicable Program and/or the applicable Award Agreement, including the right to receive all dividends and other distributions paid or made with respect to the Shares to the extent such dividends and other distributions have a record date that is on or after the date on which the Holder to whom such Restricted Stock are granted becomes the record holder of such Restricted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sole discretion of the Administrator, any extraordinary dividends or distributions with respect to the Shares may be subject to the restrictions set forth in Section 7.3. In addition, notwithstanding anything to the contrary herein, with respect to a share of Restricted Stock, dividends which are paid prior to vesting shall only be paid out to the Holder to the extent that the share of Restricted Stock vests.</w:t>
      </w:r>
    </w:p>
    <w:p>
      <w:pPr>
        <w:spacing w:after="0" w:line="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Restrictions</w:t>
      </w:r>
      <w:r>
        <w:rPr>
          <w:rFonts w:ascii="Arial" w:cs="Arial" w:eastAsia="Arial" w:hAnsi="Arial"/>
          <w:sz w:val="18"/>
          <w:szCs w:val="18"/>
          <w:color w:val="auto"/>
        </w:rPr>
        <w:t>. All shares of Restricted Stock (including any shares received by Holders thereof with respect to shares of Restricted Stock as a result of stock dividends, stock splits or any other form of recapitalization) and, unless the Administrator provides otherwise, any property (other than cash) transferred to Holders in connection with an extraordinary dividend or distribution shall be subject to such restrictions and vesting requirements as the Administrator shall provide in the applicable Program or Award Agreement.</w:t>
      </w:r>
    </w:p>
    <w:p>
      <w:pPr>
        <w:spacing w:after="0" w:line="7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Repurchase or Forfeiture of Restricted Stock</w:t>
      </w:r>
      <w:r>
        <w:rPr>
          <w:rFonts w:ascii="Arial" w:cs="Arial" w:eastAsia="Arial" w:hAnsi="Arial"/>
          <w:sz w:val="18"/>
          <w:szCs w:val="18"/>
          <w:color w:val="auto"/>
        </w:rPr>
        <w:t>. Except as otherwise determined by the Administrator or as otherwise provided in an Award Agreement,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on the date of such Termination of Service.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applicable Program or Award Agreement.</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0" w:right="479" w:bottom="1440" w:gutter="0" w:footer="0" w:header="0"/>
        </w:sectPr>
      </w:pPr>
    </w:p>
    <w:bookmarkStart w:id="22" w:name="page23"/>
    <w:bookmarkEnd w:id="22"/>
    <w:p>
      <w:pPr>
        <w:ind w:right="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7.5 </w:t>
      </w:r>
      <w:r>
        <w:rPr>
          <w:rFonts w:ascii="Arial" w:cs="Arial" w:eastAsia="Arial" w:hAnsi="Arial"/>
          <w:sz w:val="18"/>
          <w:szCs w:val="18"/>
          <w:u w:val="single" w:color="auto"/>
          <w:color w:val="auto"/>
        </w:rPr>
        <w:t>Section 83(b) Election</w:t>
      </w:r>
      <w:r>
        <w:rPr>
          <w:rFonts w:ascii="Arial" w:cs="Arial" w:eastAsia="Arial" w:hAnsi="Arial"/>
          <w:sz w:val="18"/>
          <w:szCs w:val="18"/>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along with proof of the timely filing thereof with the Internal Revenue Service.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OF RESTRICTED STOCK UNITS</w:t>
      </w:r>
    </w:p>
    <w:p>
      <w:pPr>
        <w:spacing w:after="0" w:line="229"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The Administrator is authorized to grant Awards of Restricted Stock Units to any Eligible Individual selected by the Administrator in such amounts and subject to such terms and conditions as determined by the Administrator. A Holder will have no rights of a stockholder with respect to Shares subject to any Restricted Stock Unit unless and until the Shares are delivered in settlement of the Restricted Stock Unit.</w:t>
      </w:r>
    </w:p>
    <w:p>
      <w:pPr>
        <w:spacing w:after="0" w:line="79" w:lineRule="exact"/>
        <w:rPr>
          <w:sz w:val="20"/>
          <w:szCs w:val="20"/>
          <w:color w:val="auto"/>
        </w:rPr>
      </w:pPr>
    </w:p>
    <w:p>
      <w:pPr>
        <w:ind w:right="140" w:firstLine="440"/>
        <w:spacing w:after="0" w:line="291"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Vesting of Restricted Stock Units</w:t>
      </w:r>
      <w:r>
        <w:rPr>
          <w:rFonts w:ascii="Arial" w:cs="Arial" w:eastAsia="Arial" w:hAnsi="Arial"/>
          <w:sz w:val="16"/>
          <w:szCs w:val="16"/>
          <w:color w:val="auto"/>
        </w:rPr>
        <w:t xml:space="preserve">.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Affiliate or other specific criteria, in each case on a specified date or dates or over any period or periods, as determined by the Administrator. An Award of Restricted Stock Units shall only be eligible to vest while the Holder is an Employee;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Administrator, in its sole discretion, may provide (in an Award Agreement or otherwise) that a Restricted Stock Unit award may become vested subsequent to a Termination of Service in the event of the occurrence of certain events, including a Change in Control, the Holder’s death, retirement or disability or any other specified Termination of Service, subject to Section 11.7.</w:t>
      </w:r>
    </w:p>
    <w:p>
      <w:pPr>
        <w:spacing w:after="0" w:line="58"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Maturity and Payment</w:t>
      </w:r>
      <w:r>
        <w:rPr>
          <w:rFonts w:ascii="Arial" w:cs="Arial" w:eastAsia="Arial" w:hAnsi="Arial"/>
          <w:sz w:val="16"/>
          <w:szCs w:val="16"/>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otherwise determined by the Administrator, and subject to compliance with Section 409A, in no event shall the maturity date relating to each Restricted Stock Unit occur following the later of (a) the 15</w:t>
      </w:r>
      <w:r>
        <w:rPr>
          <w:rFonts w:ascii="Arial" w:cs="Arial" w:eastAsia="Arial" w:hAnsi="Arial"/>
          <w:sz w:val="13"/>
          <w:szCs w:val="13"/>
          <w:color w:val="auto"/>
        </w:rPr>
        <w:t>th</w:t>
      </w:r>
      <w:r>
        <w:rPr>
          <w:rFonts w:ascii="Arial" w:cs="Arial" w:eastAsia="Arial" w:hAnsi="Arial"/>
          <w:sz w:val="16"/>
          <w:szCs w:val="16"/>
          <w:color w:val="auto"/>
        </w:rPr>
        <w:t xml:space="preserve"> day of the third month following the end of the calendar year in which the applicable portion of the Restricted Stock Unit vests; and (b) the 15</w:t>
      </w:r>
      <w:r>
        <w:rPr>
          <w:rFonts w:ascii="Arial" w:cs="Arial" w:eastAsia="Arial" w:hAnsi="Arial"/>
          <w:sz w:val="13"/>
          <w:szCs w:val="13"/>
          <w:color w:val="auto"/>
        </w:rPr>
        <w:t>th</w:t>
      </w:r>
      <w:r>
        <w:rPr>
          <w:rFonts w:ascii="Arial" w:cs="Arial" w:eastAsia="Arial" w:hAnsi="Arial"/>
          <w:sz w:val="16"/>
          <w:szCs w:val="16"/>
          <w:color w:val="auto"/>
        </w:rPr>
        <w:t xml:space="preserve"> day of the third month following the end of the Company’s fiscal year in which the applicable portion of the Restricted Stock Unit vests. On the maturity date, the Company shall, in accordance with the applicable Award Agreement and subject to Section 10.4(f),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OF OTHER STOCK OR CASH BASED AWARDS AND DIVIDEND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EQUIVALENTS</w:t>
      </w:r>
    </w:p>
    <w:p>
      <w:pPr>
        <w:spacing w:after="0" w:line="21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Other Stock or Cash Based Awards</w:t>
      </w:r>
      <w:r>
        <w:rPr>
          <w:rFonts w:ascii="Arial" w:cs="Arial" w:eastAsia="Arial" w:hAnsi="Arial"/>
          <w:sz w:val="17"/>
          <w:szCs w:val="17"/>
          <w:color w:val="auto"/>
        </w:rPr>
        <w:t>. The Administrator is authorized to grant Other Stock or Cash Based Awards, including awards entitling a Holder to receive Shares or cash to be delivered immediately or in the future, to any Eligible Individual. Subject to the provisions of the Plan and any applicable Program, the Administrator shall determine the terms and conditions of each Other Stock or Cash Based Award, including the term of the Award, any exercise or purchase price, transfer restrictions, vesting conditions and other terms and conditions applicable thereto, which shall be set forth in the applicable Award Agreement. Other Stock or Cash Based Awards may be paid in cash, Shares, or a combination of cash and Shares, as determined by the Administrator, and may be available as a form of payment in the settlement of other Awards granted under the Plan, as stand-alone payments, as a part of a bonus, deferred bonus, deferred compensation or other arrangement, and/or as payment in lieu of compensation to which an Eligible Individual is otherwise entitled.</w:t>
      </w:r>
    </w:p>
    <w:p>
      <w:pPr>
        <w:spacing w:after="0" w:line="70"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Dividend Equivalents</w:t>
      </w:r>
      <w:r>
        <w:rPr>
          <w:rFonts w:ascii="Arial" w:cs="Arial" w:eastAsia="Arial" w:hAnsi="Arial"/>
          <w:sz w:val="17"/>
          <w:szCs w:val="17"/>
          <w:color w:val="auto"/>
        </w:rPr>
        <w:t>. Dividend Equivalents may be granted by the Administrator, either alone or in tandem with another Award, based on dividends declared on the Common Stock, to be credited as of dividend payment dates during the period between the date the Dividend Equivalents are granted to a Holder and the date such Dividend Equivalents terminate or expire, as determined by the Administrator. Such Dividend Equivalents shall be converted to cash or additional Shares by such formula and at such time and subject to such restrictions and limitations as may be determined by the Administrator. In addition, Dividend Equivalents with respect to an Award that are based on dividends paid prior to the vesting of such Award shall only be paid out to the Holder to the extent that the vesting conditions are subsequently satisfied and the Award vests. Notwithstanding the foregoing, no Dividend Equivalents shall be payable with respect to Options or Stock Appreciation Rights.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ADDITIONAL TERMS OF AWARDS</w:t>
      </w:r>
    </w:p>
    <w:p>
      <w:pPr>
        <w:spacing w:after="0" w:line="229"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Payment</w:t>
      </w:r>
      <w:r>
        <w:rPr>
          <w:rFonts w:ascii="Arial" w:cs="Arial" w:eastAsia="Arial" w:hAnsi="Arial"/>
          <w:sz w:val="18"/>
          <w:szCs w:val="18"/>
          <w:color w:val="auto"/>
        </w:rPr>
        <w:t>. The Administrator shall determine the method or methods by which payments by any Holder with respect to any Awards granted under the Plan shall be made, including, without limitation: (a) cash, wire transfer of immediately available funds or check, (b) Shares (including, in the case of payment of the exercise price of an Award, Shares issuable pursuant to the exercise of the Award) or Shares held for such minimum period of time as may be established by the Administrator, in each case, having a Fair Market Value on the date of delivery equal to the aggregate payments required, (c) delivery of a written or electronic notice that the Holder has placed a market sell order with a broker acceptable to the Company with respect to Shares then issuable upon exercise or vesting of an Award, and that the broker has been directed to pay a sufficient portion of the net proceeds of the sale to the Company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24" w:name="page25"/>
    <w:bookmarkEnd w:id="24"/>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satisfaction of the aggregate payments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payment of such proceeds is then made to the Company upon settlement of such sale,</w:t>
      </w:r>
    </w:p>
    <w:p>
      <w:pPr>
        <w:spacing w:after="0" w:line="46" w:lineRule="exact"/>
        <w:rPr>
          <w:sz w:val="20"/>
          <w:szCs w:val="20"/>
          <w:color w:val="auto"/>
        </w:rPr>
      </w:pPr>
    </w:p>
    <w:p>
      <w:pPr>
        <w:ind w:left="4" w:right="40" w:hanging="4"/>
        <w:spacing w:after="0" w:line="253" w:lineRule="auto"/>
        <w:tabs>
          <w:tab w:leader="none" w:pos="2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form of legal consideration acceptable to the Administrator in its sole discretion, or (e) any combination of the above permitted forms of payment.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83"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Tax Withholding</w:t>
      </w:r>
      <w:r>
        <w:rPr>
          <w:rFonts w:ascii="Arial" w:cs="Arial" w:eastAsia="Arial" w:hAnsi="Arial"/>
          <w:sz w:val="17"/>
          <w:szCs w:val="17"/>
          <w:color w:val="auto"/>
        </w:rPr>
        <w:t>. The Company or any Affiliate shall have the authority and the right to deduct or withhold, or require a Holder to remit to the Company, an amount sufficient to satisfy federal, state, local and foreign taxes (including the Holder’s FICA, employment tax or other social security contribution obligation) required by law to be withheld with respect to any taxable event concerning a Holder arising as a result of the Plan or any Award. The Administrator may, in its sole discretion and in satisfaction of the foregoing requirement, or in satisfaction of such additional withholding obligations as a Holder may have elected, allow a Holder to satisfy such obligations by any payment means described in Section 10.1 hereof, including without limitation, by allowing such Holder to elect to have the Company or any Affiliate withhold Shares otherwise issuable under an Award (or allow the surrender of Shares). The number of Shares that may be so withheld or surrendered shall be limited to the number of Shares that have a Fair Market Value on the date of withholding or repurchase no greater than the aggregate amount of such liabilities based on the maximum statutory withholding rates in such Holder’s applicable jurisdictions for federal, state, local and foreign income tax and payroll tax purposes that are applicable to such taxable income.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w:t>
      </w:r>
    </w:p>
    <w:p>
      <w:pPr>
        <w:spacing w:after="0" w:line="117" w:lineRule="exact"/>
        <w:rPr>
          <w:sz w:val="20"/>
          <w:szCs w:val="20"/>
          <w:color w:val="auto"/>
        </w:rPr>
      </w:pPr>
    </w:p>
    <w:p>
      <w:pPr>
        <w:ind w:left="1244" w:hanging="253"/>
        <w:spacing w:after="0"/>
        <w:tabs>
          <w:tab w:leader="none" w:pos="12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otherwise provided in Sections 10.3(b) and 10.3(c):</w:t>
      </w:r>
    </w:p>
    <w:p>
      <w:pPr>
        <w:spacing w:after="0" w:line="117" w:lineRule="exact"/>
        <w:rPr>
          <w:rFonts w:ascii="Arial" w:cs="Arial" w:eastAsia="Arial" w:hAnsi="Arial"/>
          <w:sz w:val="18"/>
          <w:szCs w:val="18"/>
          <w:color w:val="auto"/>
        </w:rPr>
      </w:pPr>
    </w:p>
    <w:p>
      <w:pPr>
        <w:ind w:left="4" w:right="260" w:firstLine="1428"/>
        <w:spacing w:after="0" w:line="286" w:lineRule="auto"/>
        <w:tabs>
          <w:tab w:leader="none" w:pos="1651" w:val="left"/>
        </w:tabs>
        <w:numPr>
          <w:ilvl w:val="1"/>
          <w:numId w:val="15"/>
        </w:numPr>
        <w:rPr>
          <w:rFonts w:ascii="Arial" w:cs="Arial" w:eastAsia="Arial" w:hAnsi="Arial"/>
          <w:sz w:val="17"/>
          <w:szCs w:val="17"/>
          <w:color w:val="auto"/>
        </w:rPr>
      </w:pPr>
      <w:r>
        <w:rPr>
          <w:rFonts w:ascii="Arial" w:cs="Arial" w:eastAsia="Arial" w:hAnsi="Arial"/>
          <w:sz w:val="17"/>
          <w:szCs w:val="17"/>
          <w:color w:val="auto"/>
        </w:rPr>
        <w:t>No Award under the Plan may be sold, pledged, assigned or transferred in any manner other than (A) by will or the laws of descent and distribution or (B) subject to the consent of the Administrator, pursuant to a DRO, unless and until such Award has been exercised or the Shares underlying such Award have been issued, and all restrictions applicable to such Shares have lapsed;</w:t>
      </w:r>
    </w:p>
    <w:p>
      <w:pPr>
        <w:spacing w:after="0" w:line="57" w:lineRule="exact"/>
        <w:rPr>
          <w:rFonts w:ascii="Arial" w:cs="Arial" w:eastAsia="Arial" w:hAnsi="Arial"/>
          <w:sz w:val="17"/>
          <w:szCs w:val="17"/>
          <w:color w:val="auto"/>
        </w:rPr>
      </w:pPr>
    </w:p>
    <w:p>
      <w:pPr>
        <w:ind w:left="4" w:firstLine="1428"/>
        <w:spacing w:after="0" w:line="293" w:lineRule="auto"/>
        <w:tabs>
          <w:tab w:leader="none" w:pos="1701" w:val="left"/>
        </w:tabs>
        <w:numPr>
          <w:ilvl w:val="1"/>
          <w:numId w:val="15"/>
        </w:numPr>
        <w:rPr>
          <w:rFonts w:ascii="Arial" w:cs="Arial" w:eastAsia="Arial" w:hAnsi="Arial"/>
          <w:sz w:val="16"/>
          <w:szCs w:val="16"/>
          <w:color w:val="auto"/>
        </w:rPr>
      </w:pPr>
      <w:r>
        <w:rPr>
          <w:rFonts w:ascii="Arial" w:cs="Arial" w:eastAsia="Arial" w:hAnsi="Arial"/>
          <w:sz w:val="16"/>
          <w:szCs w:val="16"/>
          <w:color w:val="auto"/>
        </w:rPr>
        <w:t>No Award or interest or right therein shall be liable for or otherwise subject to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Section 10.3(a)(i); and</w:t>
      </w:r>
    </w:p>
    <w:p>
      <w:pPr>
        <w:spacing w:after="0" w:line="2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25" w:name="page26"/>
    <w:bookmarkEnd w:id="25"/>
    <w:p>
      <w:pPr>
        <w:ind w:right="260" w:firstLine="1428"/>
        <w:spacing w:after="0" w:line="301" w:lineRule="auto"/>
        <w:tabs>
          <w:tab w:leader="none" w:pos="1747" w:val="left"/>
        </w:tabs>
        <w:numPr>
          <w:ilvl w:val="1"/>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lifetime of the Holder, only the Holder may exercise any exercisable portion of an Award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then-applicable laws of descent and distribution.</w:t>
      </w:r>
    </w:p>
    <w:p>
      <w:pPr>
        <w:spacing w:after="0" w:line="49" w:lineRule="exact"/>
        <w:rPr>
          <w:rFonts w:ascii="Arial" w:cs="Arial" w:eastAsia="Arial" w:hAnsi="Arial"/>
          <w:sz w:val="16"/>
          <w:szCs w:val="16"/>
          <w:color w:val="auto"/>
        </w:rPr>
      </w:pPr>
    </w:p>
    <w:p>
      <w:pPr>
        <w:ind w:firstLine="987"/>
        <w:spacing w:after="0" w:line="253" w:lineRule="auto"/>
        <w:tabs>
          <w:tab w:leader="none" w:pos="12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Notwithstanding Section 10.3(a), the Administrator, in its sole discretion, may determine to permit a Holder or a Permitted Transferee of such Holder to transfer an Award to any one or more Permitted Transferees of such Holder, subject to the following terms and conditions: (i) an Award transferred to a Permitted Transferee shall not be assignable or transferable by the Permitted Transferee other than (A) to another Permitted Transferee of the applicable Holder or (B) by will or the laws of descent and distribution or, subject to the consent of the Administrator, pursuant to a DRO; (ii) an Award transferred to a Permitted Transferee shall continue to be subject to all the terms and conditions of the Award as applicable to the original Holder (other than the ability to further transfer the Award to any person other than another Permitted Transferee of the applicable Holder); (iii) the Holder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and (iv) the transfer of an Award to a Permitted Transferee shall be without consideration.</w:t>
      </w:r>
    </w:p>
    <w:p>
      <w:pPr>
        <w:spacing w:after="0" w:line="86" w:lineRule="exact"/>
        <w:rPr>
          <w:rFonts w:ascii="Arial" w:cs="Arial" w:eastAsia="Arial" w:hAnsi="Arial"/>
          <w:sz w:val="18"/>
          <w:szCs w:val="18"/>
          <w:color w:val="auto"/>
        </w:rPr>
      </w:pPr>
    </w:p>
    <w:p>
      <w:pPr>
        <w:ind w:right="80" w:firstLine="987"/>
        <w:spacing w:after="0" w:line="269" w:lineRule="auto"/>
        <w:tabs>
          <w:tab w:leader="none" w:pos="12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Notwithstanding Section 10.3(a),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and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the Holder’s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change or revocation is delivered in writing to the Administrator prior to the Holder’s death.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6" w:name="page27"/>
    <w:bookmarkEnd w:id="2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10.4 </w:t>
      </w:r>
      <w:r>
        <w:rPr>
          <w:rFonts w:ascii="Arial" w:cs="Arial" w:eastAsia="Arial" w:hAnsi="Arial"/>
          <w:sz w:val="18"/>
          <w:szCs w:val="18"/>
          <w:u w:val="single" w:color="auto"/>
          <w:color w:val="auto"/>
        </w:rPr>
        <w:t>Conditions to Issuance of Shares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3" w:lineRule="auto"/>
        <w:tabs>
          <w:tab w:leader="none" w:pos="12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Administrator shall determine the methods by which Shares shall be delivered or deemed to be delivered to Holders. Notwithstanding anything herein to the contrary, the Company shall not be required to issue or deliver any certificates or make any book entries evidencing Shares pursuant to the exercise of any Award, unless and until the Administrator has determined that the issuance of such Shares is in compliance with Applicable Law and the Shares are covered by an effective registration statement or applicable exemption from registration. In addition to the terms and conditions provided herein, the Administrator may require that a Holder make such reasonable covenants, agreements and representations as the Administrator, in its sole discretion, deems advisable in order to comply with Applicable Law.</w:t>
      </w:r>
    </w:p>
    <w:p>
      <w:pPr>
        <w:spacing w:after="0" w:line="69" w:lineRule="exact"/>
        <w:rPr>
          <w:rFonts w:ascii="Arial" w:cs="Arial" w:eastAsia="Arial" w:hAnsi="Arial"/>
          <w:sz w:val="17"/>
          <w:szCs w:val="17"/>
          <w:color w:val="auto"/>
        </w:rPr>
      </w:pPr>
    </w:p>
    <w:p>
      <w:pPr>
        <w:ind w:right="160" w:firstLine="987"/>
        <w:spacing w:after="0" w:line="259" w:lineRule="auto"/>
        <w:tabs>
          <w:tab w:leader="none" w:pos="12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 (including, without limitation, restrictions applicable to Restricted Stock).</w:t>
      </w:r>
    </w:p>
    <w:p>
      <w:pPr>
        <w:spacing w:after="0" w:line="78" w:lineRule="exact"/>
        <w:rPr>
          <w:rFonts w:ascii="Arial" w:cs="Arial" w:eastAsia="Arial" w:hAnsi="Arial"/>
          <w:sz w:val="18"/>
          <w:szCs w:val="18"/>
          <w:color w:val="auto"/>
        </w:rPr>
      </w:pPr>
    </w:p>
    <w:p>
      <w:pPr>
        <w:ind w:right="140" w:firstLine="987"/>
        <w:spacing w:after="0" w:line="342" w:lineRule="auto"/>
        <w:tabs>
          <w:tab w:leader="none" w:pos="1236"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5" w:lineRule="exact"/>
        <w:rPr>
          <w:rFonts w:ascii="Arial" w:cs="Arial" w:eastAsia="Arial" w:hAnsi="Arial"/>
          <w:sz w:val="16"/>
          <w:szCs w:val="16"/>
          <w:color w:val="auto"/>
        </w:rPr>
      </w:pPr>
    </w:p>
    <w:p>
      <w:pPr>
        <w:ind w:right="140" w:firstLine="987"/>
        <w:spacing w:after="0" w:line="308" w:lineRule="auto"/>
        <w:tabs>
          <w:tab w:leader="none" w:pos="1246"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Unless the Administrator otherwise determines, no fractional Shares shall be issued and the Administrator, in its sole discretion, shall determine whether cash shall be given in lieu of fractional Shares or whether such fractional Shares shall be eliminated by rounding down.</w:t>
      </w:r>
    </w:p>
    <w:p>
      <w:pPr>
        <w:spacing w:after="0" w:line="38" w:lineRule="exact"/>
        <w:rPr>
          <w:rFonts w:ascii="Arial" w:cs="Arial" w:eastAsia="Arial" w:hAnsi="Arial"/>
          <w:sz w:val="17"/>
          <w:szCs w:val="17"/>
          <w:color w:val="auto"/>
        </w:rPr>
      </w:pPr>
    </w:p>
    <w:p>
      <w:pPr>
        <w:ind w:right="40" w:firstLine="987"/>
        <w:spacing w:after="0" w:line="259" w:lineRule="auto"/>
        <w:tabs>
          <w:tab w:leader="none" w:pos="12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in its sole discretion, may (i) retain physical possession of any stock certificate evidencing Shares until any restrictions thereon shall have lapsed and/or (ii) require that the stock certificates evidencing such Shares be held in custody by a designated escrow agent (which may but need not be the Company) until the restrictions thereon shall have lapsed, and that the Holder deliver a stock power, endorsed in blank, relating to such Shares.</w:t>
      </w:r>
    </w:p>
    <w:p>
      <w:pPr>
        <w:spacing w:after="0" w:line="78" w:lineRule="exact"/>
        <w:rPr>
          <w:rFonts w:ascii="Arial" w:cs="Arial" w:eastAsia="Arial" w:hAnsi="Arial"/>
          <w:sz w:val="18"/>
          <w:szCs w:val="18"/>
          <w:color w:val="auto"/>
        </w:rPr>
      </w:pPr>
    </w:p>
    <w:p>
      <w:pPr>
        <w:ind w:right="60" w:firstLine="987"/>
        <w:spacing w:after="0" w:line="263" w:lineRule="auto"/>
        <w:tabs>
          <w:tab w:leader="none" w:pos="1216"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76"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Forfeiture and Claw-Back Provisions</w:t>
      </w:r>
      <w:r>
        <w:rPr>
          <w:rFonts w:ascii="Arial" w:cs="Arial" w:eastAsia="Arial" w:hAnsi="Arial"/>
          <w:sz w:val="16"/>
          <w:szCs w:val="16"/>
          <w:color w:val="auto"/>
        </w:rPr>
        <w:t>. All Awards (including any proceeds, gains or other economic benefit actually or constructively received by a Holder upon any receipt or exercise of any Award or upon the receipt or resale of any Shares underlying the Award and any payments of a portion of an incentive-based bonus pool allocated to a Holder)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whether or not such claw-back policy was in place at the time of grant of an Award, to the extent set forth in such claw-back policy and/or in the applicable Award Agreement.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27" w:name="page28"/>
    <w:bookmarkEnd w:id="27"/>
    <w:p>
      <w:pPr>
        <w:ind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10.6 </w:t>
      </w:r>
      <w:r>
        <w:rPr>
          <w:rFonts w:ascii="Arial" w:cs="Arial" w:eastAsia="Arial" w:hAnsi="Arial"/>
          <w:sz w:val="16"/>
          <w:szCs w:val="16"/>
          <w:u w:val="single" w:color="auto"/>
          <w:color w:val="auto"/>
        </w:rPr>
        <w:t>Amendment of Awards</w:t>
      </w:r>
      <w:r>
        <w:rPr>
          <w:rFonts w:ascii="Arial" w:cs="Arial" w:eastAsia="Arial" w:hAnsi="Arial"/>
          <w:sz w:val="16"/>
          <w:szCs w:val="16"/>
          <w:color w:val="auto"/>
        </w:rPr>
        <w:t>. Subject to Applicable Law, the Administrator may amend, modify or terminate any outstanding Award, including but not limited to, substituting therefor another Award of the same or a different type and changing the date of exercise or settlement. The Holder’s consent to such action shall be required unless (a) the Administrator determines that the action, taking into account any related action, would not materially and adversely affect the Holder, or (b) the change is otherwise permitted under the Plan (including, without limitation, under Section 10.6, 12.2 or 12.10).</w:t>
      </w:r>
    </w:p>
    <w:p>
      <w:pPr>
        <w:spacing w:after="0" w:line="4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Lock-Up Period</w:t>
      </w:r>
      <w:r>
        <w:rPr>
          <w:rFonts w:ascii="Arial" w:cs="Arial" w:eastAsia="Arial" w:hAnsi="Arial"/>
          <w:sz w:val="18"/>
          <w:szCs w:val="18"/>
          <w:color w:val="auto"/>
        </w:rPr>
        <w:t>. The Company may, in connection with registering the offering of any Company securities under the Securities Act, prohibit Holders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 In order to enforce the foregoing, the Company shall have the right to place restrictive legends on the certificates of any securities of the Company held by the Holder and to impose stop transfer instructions with the Company’s transfer agent with respect to any securities of the Company held by the Holder until the end of such period.</w:t>
      </w:r>
    </w:p>
    <w:p>
      <w:pPr>
        <w:spacing w:after="0" w:line="84" w:lineRule="exact"/>
        <w:rPr>
          <w:sz w:val="20"/>
          <w:szCs w:val="20"/>
          <w:color w:val="auto"/>
        </w:rPr>
      </w:pPr>
    </w:p>
    <w:p>
      <w:pPr>
        <w:ind w:right="20" w:firstLine="440"/>
        <w:spacing w:after="0" w:line="267"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Data Privacy</w:t>
      </w:r>
      <w:r>
        <w:rPr>
          <w:rFonts w:ascii="Arial" w:cs="Arial" w:eastAsia="Arial" w:hAnsi="Arial"/>
          <w:sz w:val="17"/>
          <w:szCs w:val="17"/>
          <w:color w:val="auto"/>
        </w:rPr>
        <w:t>. As a condition of receipt of any Award, each Holder explicitly and unambiguously consents to the collection, use and transfer, in electronic or other form, of personal data as described in this Section 10.8 by and among, as applicable, the Company and its Affiliates for the exclusive purpose of implementing, administering and managing the Holder’s participation in the Plan. The Company and its Affiliates may hold certain personal information about a Holder, including but not limited to, the Holder’s name, home address and telephone number, date of birth, social security or insurance number or other identification number, salary, nationality, job title(s), any shares of stock held in the Company or any of its Affiliates, details of all Awards, in each case, for the purpose of implementing, managing and administering the Plan and Awards (the “</w:t>
      </w:r>
      <w:r>
        <w:rPr>
          <w:rFonts w:ascii="Arial" w:cs="Arial" w:eastAsia="Arial" w:hAnsi="Arial"/>
          <w:sz w:val="17"/>
          <w:szCs w:val="17"/>
          <w:u w:val="single" w:color="auto"/>
          <w:color w:val="auto"/>
        </w:rPr>
        <w:t>Data</w:t>
      </w:r>
      <w:r>
        <w:rPr>
          <w:rFonts w:ascii="Arial" w:cs="Arial" w:eastAsia="Arial" w:hAnsi="Arial"/>
          <w:sz w:val="17"/>
          <w:szCs w:val="17"/>
          <w:color w:val="auto"/>
        </w:rPr>
        <w:t>”). The Company and its Affiliates may transfer the Data amongst themselves as necessary for the purpose of implementation, administration and management of a Holder’s participation in the Plan, and the Company and its Affiliates may each further transfer the Data to any third parties assisting the Company and its Affiliates in the implementation, administration and management of the Plan. These recipients may be located in the Holder’s country, or elsewhere, and the Holder’s country may have different data privacy laws and protections than the recipients’ country. Through acceptance of an Award, each Holder authorizes such recipients to receive, possess, use, retain and transfer the Data, in electronic or other form, for the purposes of implementing, administering and managing the Holder’s participation in the Plan, including any requisite transfer of such Data as may be required to a broker or other third party with whom the Company or any of its Affiliates or the Holder may elect to deposit any Shares. The Data related to a Holder will be held only as long as is necessary to implement, administer, and manage the Holder’s participation in the Plan. A Holder may, at any time, view the Data held by the Company with respect to such Holder, request additional information about the storage and processing of the Data with respect to such Holder, recommend any necessary corrections to the Data with respect to the Holder or refuse or withdraw the consents herein in writing, in any case without cost, by contacting his or her local human resources representative. The Company may cancel the Holder’s ability to participate in the Plan and, in the Administrator’s discretion, the Holder may forfeit any outstanding Awards if the Holder refuses or withdraws his or her consents as described herein. For more information on the consequences of refusal to consent or withdrawal of consent, Holders may contact their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8" w:name="page29"/>
    <w:bookmarkEnd w:id="28"/>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11.</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Administrator</w:t>
      </w:r>
      <w:r>
        <w:rPr>
          <w:rFonts w:ascii="Arial" w:cs="Arial" w:eastAsia="Arial" w:hAnsi="Arial"/>
          <w:sz w:val="16"/>
          <w:szCs w:val="16"/>
          <w:color w:val="auto"/>
        </w:rPr>
        <w:t>. The Committee shall administer the Plan (except as otherwise permitted herein). To the extent required to comply with the provisions of Rule 16b-3, it is intended that each member of the Committee will be, at the time the Committee takes any action with respect to an Award that is subject to Rule 16b-3, a “non-employee director” within the meaning of Rule 16b-3. Except as may otherwise be provided in the Organizational Documents or as otherwise required by Applicable Law, (a) appointment of Committee members shall be effective upon acceptance of appointment,</w:t>
      </w:r>
    </w:p>
    <w:p>
      <w:pPr>
        <w:spacing w:after="0" w:line="1" w:lineRule="exact"/>
        <w:rPr>
          <w:sz w:val="20"/>
          <w:szCs w:val="20"/>
          <w:color w:val="auto"/>
        </w:rPr>
      </w:pPr>
    </w:p>
    <w:p>
      <w:pPr>
        <w:ind w:left="4" w:right="80" w:hanging="4"/>
        <w:spacing w:after="0" w:line="281" w:lineRule="auto"/>
        <w:tabs>
          <w:tab w:leader="none" w:pos="259"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Committee members may resign at any time by delivering written or electronic notice to the Board and (c) vacancies in the Committee may only be filled by the Board. The Board may abolish the Committee or re-vest in itself any previously delegated authority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action taken by the Board in connection with the administration of the Plan shall not be deemed approved by the Board unless such actions are approved by a majority of the Independent Directors. Notwithstanding anything in the Plan to the contrary, Awards under the Plan shall be approved by</w:t>
      </w:r>
    </w:p>
    <w:p>
      <w:pPr>
        <w:spacing w:after="0" w:line="2" w:lineRule="exact"/>
        <w:rPr>
          <w:rFonts w:ascii="Arial" w:cs="Arial" w:eastAsia="Arial" w:hAnsi="Arial"/>
          <w:sz w:val="16"/>
          <w:szCs w:val="16"/>
          <w:color w:val="auto"/>
        </w:rPr>
      </w:pPr>
    </w:p>
    <w:p>
      <w:pPr>
        <w:ind w:left="244" w:hanging="244"/>
        <w:spacing w:after="0"/>
        <w:tabs>
          <w:tab w:leader="none" w:pos="2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Committee comprised entirely of Independent Directors or (b) a majority of the Company’s Independent Directors.</w:t>
      </w:r>
    </w:p>
    <w:p>
      <w:pPr>
        <w:spacing w:after="0" w:line="103" w:lineRule="exact"/>
        <w:rPr>
          <w:sz w:val="20"/>
          <w:szCs w:val="20"/>
          <w:color w:val="auto"/>
        </w:rPr>
      </w:pPr>
    </w:p>
    <w:p>
      <w:pPr>
        <w:ind w:left="4" w:right="40" w:firstLine="440"/>
        <w:spacing w:after="0" w:line="269"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Duties and Powers of Administrator</w:t>
      </w:r>
      <w:r>
        <w:rPr>
          <w:rFonts w:ascii="Arial" w:cs="Arial" w:eastAsia="Arial" w:hAnsi="Arial"/>
          <w:sz w:val="17"/>
          <w:szCs w:val="17"/>
          <w:color w:val="auto"/>
        </w:rPr>
        <w:t xml:space="preserve">. It shall be the duty of the Administrator to conduct the general administration of the Plan in accordance with its provisions. The Administrator shall have the power to interpret the Plan, all Programs (including Exchange Programs) and Award Agreements, and to adopt such rules for the administration, interpretation and application of the Plan and any Program as are not inconsistent with the Plan, to interpret, amend or revoke any such rules and to amend the Plan or any Program or Award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rights or obligations of the Holder of the Award that is the subject of any such Program or Award Agreement are not materially and adversely affected by such amendment, unless the consent of the Holder is obtained or such amendment is otherwise permitted under Section 10.7 or Section 12.10. In its sole discretion, the Board may at any time and from time to time exercise any and all rights and duties of the Committee in its capacity as the Administrator under the Plan except with respect to matters which under Rule 16b-3 under the Exchange Act or any successor rule, or any regulations or rules issued thereunder, or the rules of any securities exchange or automated quotation system on which the Shares are listed, quoted or traded are required to be determined in the sole discretion of the Committee.</w:t>
      </w:r>
    </w:p>
    <w:p>
      <w:pPr>
        <w:spacing w:after="0" w:line="77"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Action by the Administrator</w:t>
      </w:r>
      <w:r>
        <w:rPr>
          <w:rFonts w:ascii="Arial" w:cs="Arial" w:eastAsia="Arial" w:hAnsi="Arial"/>
          <w:sz w:val="17"/>
          <w:szCs w:val="17"/>
          <w:color w:val="auto"/>
        </w:rPr>
        <w:t>. Unless otherwise established by the Board, set forth in any Organizational Documents or as required by Applicable Law, a majority of the Administrator shall constitute a quorum and the acts of a majority of the members present at any meeting at which a quorum is present, and acts approved in writing by all members of the Administrator in lieu of a meeting, shall be deemed the acts of the Administrator. Each member of the Administrator is entitled to, in good faith, rely or act upon any report or other information</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0" w:right="479" w:bottom="1440" w:gutter="0" w:footer="0" w:header="0"/>
        </w:sectPr>
      </w:pPr>
    </w:p>
    <w:bookmarkStart w:id="29" w:name="page30"/>
    <w:bookmarkEnd w:id="2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furnished to that member by any officer or other employee of the Company or any Affiliate, the Company’s independent certified public accountants, or any executive compensation consultant or other professional retained by the Company to assist in the administration of the Plan. Neither the Administrator nor any member or delegate thereof shall have any liability to any person (including any Holder) for any action taken or omitted to be taken or any determination made in good faith with respect to the Plan or any Award.</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Authority of Administrator</w:t>
      </w:r>
      <w:r>
        <w:rPr>
          <w:rFonts w:ascii="Arial" w:cs="Arial" w:eastAsia="Arial" w:hAnsi="Arial"/>
          <w:sz w:val="17"/>
          <w:szCs w:val="17"/>
          <w:color w:val="auto"/>
        </w:rPr>
        <w:t>. Subject to the Organizational Documents, any specific designation in the Plan and Applicable Law,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Administrator has the exclusive power, authority and sole discretion to:</w:t>
      </w:r>
    </w:p>
    <w:p>
      <w:pPr>
        <w:spacing w:after="0" w:line="103" w:lineRule="exact"/>
        <w:rPr>
          <w:sz w:val="20"/>
          <w:szCs w:val="20"/>
          <w:color w:val="auto"/>
        </w:rPr>
      </w:pPr>
    </w:p>
    <w:p>
      <w:pPr>
        <w:ind w:right="20" w:firstLine="987"/>
        <w:spacing w:after="0" w:line="275" w:lineRule="auto"/>
        <w:tabs>
          <w:tab w:leader="none" w:pos="12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Adopt procedures from time to time intended to ensure that an individual is an Eligible Individual prior to the granting of any Awards to such individual under the Plan (including, without limitation, a requirement that each such individual certify to the Company prior to the receipt of an Award under the Plan that he or she has not been previously employed by the Company or a parent of the Company or a Subsidiary, or, if previously employed, has had a bona fide period of non-employment, and that the grant of Awards under the Plan is an inducement material to his or her agreement to enter into employment with the Company or a parent of the Company or a Subsidiary);</w:t>
      </w:r>
    </w:p>
    <w:p>
      <w:pPr>
        <w:spacing w:after="0" w:line="68" w:lineRule="exact"/>
        <w:rPr>
          <w:rFonts w:ascii="Arial" w:cs="Arial" w:eastAsia="Arial" w:hAnsi="Arial"/>
          <w:sz w:val="17"/>
          <w:szCs w:val="17"/>
          <w:color w:val="auto"/>
        </w:rPr>
      </w:pPr>
    </w:p>
    <w:p>
      <w:pPr>
        <w:ind w:left="1240" w:hanging="253"/>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Designate Eligible Individuals to receive Awards;</w:t>
      </w:r>
    </w:p>
    <w:p>
      <w:pPr>
        <w:spacing w:after="0" w:line="117" w:lineRule="exact"/>
        <w:rPr>
          <w:rFonts w:ascii="Arial" w:cs="Arial" w:eastAsia="Arial" w:hAnsi="Arial"/>
          <w:sz w:val="18"/>
          <w:szCs w:val="18"/>
          <w:color w:val="auto"/>
        </w:rPr>
      </w:pPr>
    </w:p>
    <w:p>
      <w:pPr>
        <w:ind w:right="160" w:firstLine="987"/>
        <w:spacing w:after="0" w:line="277" w:lineRule="auto"/>
        <w:tabs>
          <w:tab w:leader="none" w:pos="12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Eligible Individual (including, without limitation, any Awards granted in tandem with another Award granted pursuant to the Plan);</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117" w:lineRule="exact"/>
        <w:rPr>
          <w:rFonts w:ascii="Arial" w:cs="Arial" w:eastAsia="Arial" w:hAnsi="Arial"/>
          <w:sz w:val="18"/>
          <w:szCs w:val="18"/>
          <w:color w:val="auto"/>
        </w:rPr>
      </w:pPr>
    </w:p>
    <w:p>
      <w:pPr>
        <w:ind w:right="140" w:firstLine="987"/>
        <w:spacing w:after="0" w:line="279" w:lineRule="auto"/>
        <w:tabs>
          <w:tab w:leader="none" w:pos="12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Determine the terms and conditions of any Award granted pursuant to the Plan, including, but not limited to, the exercise price, grant price, purchase price, any restrictions or limitations on the Award, any schedule for vesting, lapse of forfeiture restrictions or restrictions on the exercisability of an Award, and accelerations or waivers thereof, and any provisions related to non-competition and claw-back and recapture of gain on an Award, based in each case on such considerations as the Administrator in its sole discretion determines;</w:t>
      </w:r>
    </w:p>
    <w:p>
      <w:pPr>
        <w:spacing w:after="0" w:line="63" w:lineRule="exact"/>
        <w:rPr>
          <w:rFonts w:ascii="Arial" w:cs="Arial" w:eastAsia="Arial" w:hAnsi="Arial"/>
          <w:sz w:val="17"/>
          <w:szCs w:val="17"/>
          <w:color w:val="auto"/>
        </w:rPr>
      </w:pPr>
    </w:p>
    <w:p>
      <w:pPr>
        <w:ind w:firstLine="987"/>
        <w:spacing w:after="0" w:line="277" w:lineRule="auto"/>
        <w:tabs>
          <w:tab w:leader="none" w:pos="1216"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Shares, other Awards, or other property, or an Award may be canceled, forfeited, or surrendered;</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Holder;</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Institute and determine the terms and conditions of an Exchange Program;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0" w:name="page31"/>
    <w:bookmarkEnd w:id="30"/>
    <w:p>
      <w:pPr>
        <w:ind w:left="1200" w:hanging="213"/>
        <w:spacing w:after="0"/>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Establish, adopt, or revise any Programs, rules and regulations as it may deem necessary or advisable to administer the Plan;</w:t>
      </w:r>
    </w:p>
    <w:p>
      <w:pPr>
        <w:spacing w:after="0" w:line="128" w:lineRule="exact"/>
        <w:rPr>
          <w:rFonts w:ascii="Arial" w:cs="Arial" w:eastAsia="Arial" w:hAnsi="Arial"/>
          <w:sz w:val="17"/>
          <w:szCs w:val="17"/>
          <w:color w:val="auto"/>
        </w:rPr>
      </w:pPr>
    </w:p>
    <w:p>
      <w:pPr>
        <w:ind w:left="1240" w:hanging="253"/>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any Program or any Award Agreement; and</w:t>
      </w:r>
    </w:p>
    <w:p>
      <w:pPr>
        <w:spacing w:after="0" w:line="117" w:lineRule="exact"/>
        <w:rPr>
          <w:rFonts w:ascii="Arial" w:cs="Arial" w:eastAsia="Arial" w:hAnsi="Arial"/>
          <w:sz w:val="18"/>
          <w:szCs w:val="18"/>
          <w:color w:val="auto"/>
        </w:rPr>
      </w:pPr>
    </w:p>
    <w:p>
      <w:pPr>
        <w:ind w:right="440" w:firstLine="987"/>
        <w:spacing w:after="0" w:line="277" w:lineRule="auto"/>
        <w:tabs>
          <w:tab w:leader="none" w:pos="1206"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as the Administrator deems necessary or advisable to administer the Plan.</w:t>
      </w:r>
    </w:p>
    <w:p>
      <w:pPr>
        <w:spacing w:after="0" w:line="62" w:lineRule="exact"/>
        <w:rPr>
          <w:sz w:val="20"/>
          <w:szCs w:val="20"/>
          <w:color w:val="auto"/>
        </w:rPr>
      </w:pPr>
    </w:p>
    <w:p>
      <w:pPr>
        <w:ind w:right="440" w:firstLine="440"/>
        <w:spacing w:after="0" w:line="342"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Decisions Binding</w:t>
      </w:r>
      <w:r>
        <w:rPr>
          <w:rFonts w:ascii="Arial" w:cs="Arial" w:eastAsia="Arial" w:hAnsi="Arial"/>
          <w:sz w:val="16"/>
          <w:szCs w:val="16"/>
          <w:color w:val="auto"/>
        </w:rPr>
        <w:t>. The Administrator’s interpretation of the Plan, any Awards granted pursuant to the Plan, any Program or any Award Agreement and all decisions and determinations by the Administrator with respect to the Plan are final, binding and conclusive on all persons.</w:t>
      </w:r>
    </w:p>
    <w:p>
      <w:pPr>
        <w:spacing w:after="0" w:line="16"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Actions Required Upon Grant of Award</w:t>
      </w:r>
      <w:r>
        <w:rPr>
          <w:rFonts w:ascii="Arial" w:cs="Arial" w:eastAsia="Arial" w:hAnsi="Arial"/>
          <w:sz w:val="18"/>
          <w:szCs w:val="18"/>
          <w:color w:val="auto"/>
        </w:rPr>
        <w:t>. Following the issuance of any Award under the Plan, the Company shall, in accordance with the listing requirements of the applicable securities exchange, (a) promptly issue a press release disclosing the material terms of the grant, including the recipient(s) of the grant and the number of shares involved (and if the disclosure relates to an award to only one person, or to executive officers, or the award was individually negotiated, then the disclosure must include the identity of the recipient), and (b) notify the applicable securities exchange of such grant no later than the earlier to occur of (i) five calendar days after entering into the agreement to issue the Award or (ii) the date of the public announcement of the Award.</w:t>
      </w:r>
    </w:p>
    <w:p>
      <w:pPr>
        <w:spacing w:after="0" w:line="84"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u w:val="single" w:color="auto"/>
          <w:color w:val="auto"/>
        </w:rPr>
        <w:t>Acceleration</w:t>
      </w:r>
      <w:r>
        <w:rPr>
          <w:rFonts w:ascii="Arial" w:cs="Arial" w:eastAsia="Arial" w:hAnsi="Arial"/>
          <w:sz w:val="17"/>
          <w:szCs w:val="17"/>
          <w:color w:val="auto"/>
        </w:rPr>
        <w:t>. Subject to the Organizational Documents, any specific designation in the Plan and Applicable Law, the Administrator has the exclusive power, authority and sole discretion to accelerate, wholly or partially, the vesting or lapse of restrictions (and, if applicable, the Company shall cease to have a right of repurchase) of any Award or portion thereof at any time after the grant of an Award.</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59" w:lineRule="auto"/>
        <w:tabs>
          <w:tab w:leader="none" w:pos="12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Plan may be wholly or partially amended or otherwise modified, suspended or terminated at any time or from time to time by the Administrator;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provided in Section 10.7 and Section 12.10, no amendment, suspension or termination of the Plan shall, without the consent of the Holder, materially and adversely affect any rights or obligations under any Award theretofore granted or awarded, unless the Award itself otherwise expressly so provides.</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31" w:name="page32"/>
    <w:bookmarkEnd w:id="3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12.2 </w:t>
      </w:r>
      <w:r>
        <w:rPr>
          <w:rFonts w:ascii="Arial" w:cs="Arial" w:eastAsia="Arial" w:hAnsi="Arial"/>
          <w:sz w:val="18"/>
          <w:szCs w:val="18"/>
          <w:u w:val="single" w:color="auto"/>
          <w:color w:val="auto"/>
        </w:rPr>
        <w:t>Changes in Common Stock or Assets of the Company, Acquisition or Liquidation of the Company and Other Corporate Events</w:t>
      </w:r>
      <w:r>
        <w:rPr>
          <w:rFonts w:ascii="Arial" w:cs="Arial" w:eastAsia="Arial" w:hAnsi="Arial"/>
          <w:sz w:val="18"/>
          <w:szCs w:val="18"/>
          <w:color w:val="auto"/>
        </w:rPr>
        <w:t>.</w:t>
      </w:r>
    </w:p>
    <w:p>
      <w:pPr>
        <w:spacing w:after="0" w:line="117" w:lineRule="exact"/>
        <w:rPr>
          <w:sz w:val="20"/>
          <w:szCs w:val="20"/>
          <w:color w:val="auto"/>
        </w:rPr>
      </w:pPr>
    </w:p>
    <w:p>
      <w:pPr>
        <w:jc w:val="both"/>
        <w:ind w:left="4" w:right="180" w:firstLine="987"/>
        <w:spacing w:after="0" w:line="287" w:lineRule="auto"/>
        <w:tabs>
          <w:tab w:leader="none" w:pos="12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to reflect such change with respect to:</w:t>
      </w:r>
    </w:p>
    <w:p>
      <w:pPr>
        <w:spacing w:after="0" w:line="2" w:lineRule="exact"/>
        <w:rPr>
          <w:rFonts w:ascii="Arial" w:cs="Arial" w:eastAsia="Arial" w:hAnsi="Arial"/>
          <w:sz w:val="16"/>
          <w:szCs w:val="16"/>
          <w:color w:val="auto"/>
        </w:rPr>
      </w:pPr>
    </w:p>
    <w:p>
      <w:pPr>
        <w:ind w:left="4" w:right="460" w:hanging="4"/>
        <w:spacing w:after="0" w:line="255" w:lineRule="auto"/>
        <w:tabs>
          <w:tab w:leader="none" w:pos="2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number and kind of Shares that may be issued under the Plan; (ii) the number and kind of Shares (or other securities or property) subject to outstanding Awards; (iii) the terms and conditions of any outstanding Awards; and (iv) the grant or exercise price per share for any outstanding Awards under the Plan.</w:t>
      </w:r>
    </w:p>
    <w:p>
      <w:pPr>
        <w:spacing w:after="0" w:line="81" w:lineRule="exact"/>
        <w:rPr>
          <w:rFonts w:ascii="Arial" w:cs="Arial" w:eastAsia="Arial" w:hAnsi="Arial"/>
          <w:sz w:val="18"/>
          <w:szCs w:val="18"/>
          <w:color w:val="auto"/>
        </w:rPr>
      </w:pPr>
    </w:p>
    <w:p>
      <w:pPr>
        <w:ind w:left="4" w:firstLine="987"/>
        <w:spacing w:after="0" w:line="272" w:lineRule="auto"/>
        <w:tabs>
          <w:tab w:leader="none" w:pos="1250" w:val="left"/>
        </w:tabs>
        <w:numPr>
          <w:ilvl w:val="1"/>
          <w:numId w:val="25"/>
        </w:numPr>
        <w:rPr>
          <w:rFonts w:ascii="Arial" w:cs="Arial" w:eastAsia="Arial" w:hAnsi="Arial"/>
          <w:sz w:val="17"/>
          <w:szCs w:val="17"/>
          <w:color w:val="auto"/>
        </w:rPr>
      </w:pPr>
      <w:r>
        <w:rPr>
          <w:rFonts w:ascii="Arial" w:cs="Arial" w:eastAsia="Arial" w:hAnsi="Arial"/>
          <w:sz w:val="17"/>
          <w:szCs w:val="17"/>
          <w:color w:val="auto"/>
        </w:rPr>
        <w:t>In the event of any transaction or event described in Section 12.2(a) or any unusual or nonrecurring transactions or events affecting the Company, any Affiliate of the Company, or the financial statements of the Company or any Affiliate, or of changes in Applicable Law or Applicable Accounting Standards, the Administrator, in its sole discretion, and on such terms and conditions as it deems appropriate, either by the terms of the Award or by action taken prior to the occurrence of such transaction or event,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Applicable Law or Applicable Accounting Standards:</w:t>
      </w:r>
    </w:p>
    <w:p>
      <w:pPr>
        <w:spacing w:after="0" w:line="69" w:lineRule="exact"/>
        <w:rPr>
          <w:rFonts w:ascii="Arial" w:cs="Arial" w:eastAsia="Arial" w:hAnsi="Arial"/>
          <w:sz w:val="17"/>
          <w:szCs w:val="17"/>
          <w:color w:val="auto"/>
        </w:rPr>
      </w:pPr>
    </w:p>
    <w:p>
      <w:pPr>
        <w:ind w:left="4" w:right="20" w:firstLine="1428"/>
        <w:spacing w:after="0" w:line="257" w:lineRule="auto"/>
        <w:tabs>
          <w:tab w:leader="none" w:pos="1651" w:val="left"/>
        </w:tabs>
        <w:numPr>
          <w:ilvl w:val="2"/>
          <w:numId w:val="25"/>
        </w:numPr>
        <w:rPr>
          <w:rFonts w:ascii="Arial" w:cs="Arial" w:eastAsia="Arial" w:hAnsi="Arial"/>
          <w:sz w:val="18"/>
          <w:szCs w:val="18"/>
          <w:color w:val="auto"/>
        </w:rPr>
      </w:pPr>
      <w:r>
        <w:rPr>
          <w:rFonts w:ascii="Arial" w:cs="Arial" w:eastAsia="Arial" w:hAnsi="Arial"/>
          <w:sz w:val="18"/>
          <w:szCs w:val="18"/>
          <w:color w:val="auto"/>
        </w:rPr>
        <w:t>To provide for the termination of any such Award in exchange for an amount of cash and/or other property with a value equal to the amount that would have been attained upon the exercise of such Award or realization of the Holder’s rights (and, for the avoidance of doubt, if as of the date of the occurrence of the transaction or event described in this Section 12.2 the Administrator determines in good faith that no amount would have been attained upon the exercise of such Award or realization of the Holder’s rights, then such Award may be terminated by the Company without payment);</w:t>
      </w:r>
    </w:p>
    <w:p>
      <w:pPr>
        <w:spacing w:after="0" w:line="79" w:lineRule="exact"/>
        <w:rPr>
          <w:rFonts w:ascii="Arial" w:cs="Arial" w:eastAsia="Arial" w:hAnsi="Arial"/>
          <w:sz w:val="18"/>
          <w:szCs w:val="18"/>
          <w:color w:val="auto"/>
        </w:rPr>
      </w:pPr>
    </w:p>
    <w:p>
      <w:pPr>
        <w:jc w:val="both"/>
        <w:ind w:left="4" w:right="40" w:firstLine="1428"/>
        <w:spacing w:after="0" w:line="311" w:lineRule="auto"/>
        <w:tabs>
          <w:tab w:leader="none" w:pos="1701" w:val="left"/>
        </w:tabs>
        <w:numPr>
          <w:ilvl w:val="2"/>
          <w:numId w:val="25"/>
        </w:numPr>
        <w:rPr>
          <w:rFonts w:ascii="Arial" w:cs="Arial" w:eastAsia="Arial" w:hAnsi="Arial"/>
          <w:sz w:val="16"/>
          <w:szCs w:val="16"/>
          <w:color w:val="auto"/>
        </w:rPr>
      </w:pPr>
      <w:r>
        <w:rPr>
          <w:rFonts w:ascii="Arial" w:cs="Arial" w:eastAsia="Arial" w:hAnsi="Arial"/>
          <w:sz w:val="16"/>
          <w:szCs w:val="16"/>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applicable exercise or purchase price, in all cases, as determined by the Administrator;</w:t>
      </w:r>
    </w:p>
    <w:p>
      <w:pPr>
        <w:spacing w:after="0" w:line="40" w:lineRule="exact"/>
        <w:rPr>
          <w:rFonts w:ascii="Arial" w:cs="Arial" w:eastAsia="Arial" w:hAnsi="Arial"/>
          <w:sz w:val="16"/>
          <w:szCs w:val="16"/>
          <w:color w:val="auto"/>
        </w:rPr>
      </w:pPr>
    </w:p>
    <w:p>
      <w:pPr>
        <w:ind w:left="4" w:right="180" w:firstLine="1428"/>
        <w:spacing w:after="0" w:line="263" w:lineRule="auto"/>
        <w:tabs>
          <w:tab w:leader="none" w:pos="1751" w:val="left"/>
        </w:tabs>
        <w:numPr>
          <w:ilvl w:val="2"/>
          <w:numId w:val="25"/>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of the Company’s stock (or other securities or property) subject to outstanding Awards, and/or in the terms and conditions of (including the grant or exercise price), and the criteria included in, outstanding Awards and Awards which may be granted in the future;</w:t>
      </w:r>
    </w:p>
    <w:p>
      <w:pPr>
        <w:spacing w:after="0" w:line="75" w:lineRule="exact"/>
        <w:rPr>
          <w:rFonts w:ascii="Arial" w:cs="Arial" w:eastAsia="Arial" w:hAnsi="Arial"/>
          <w:sz w:val="18"/>
          <w:szCs w:val="18"/>
          <w:color w:val="auto"/>
        </w:rPr>
      </w:pPr>
    </w:p>
    <w:p>
      <w:pPr>
        <w:ind w:left="4" w:right="800" w:firstLine="1428"/>
        <w:spacing w:after="0" w:line="277" w:lineRule="auto"/>
        <w:tabs>
          <w:tab w:leader="none" w:pos="1741" w:val="left"/>
        </w:tabs>
        <w:numPr>
          <w:ilvl w:val="2"/>
          <w:numId w:val="25"/>
        </w:numPr>
        <w:rPr>
          <w:rFonts w:ascii="Arial" w:cs="Arial" w:eastAsia="Arial" w:hAnsi="Arial"/>
          <w:sz w:val="18"/>
          <w:szCs w:val="18"/>
          <w:color w:val="auto"/>
        </w:rPr>
      </w:pPr>
      <w:r>
        <w:rPr>
          <w:rFonts w:ascii="Arial" w:cs="Arial" w:eastAsia="Arial" w:hAnsi="Arial"/>
          <w:sz w:val="18"/>
          <w:szCs w:val="18"/>
          <w:color w:val="auto"/>
        </w:rPr>
        <w:t>To provide that such Award shall be exercisable or payable or fully vested with respect to all Shares covered thereby, notwithstanding anything to the contrary in the Plan or the applicable Program or Award Agreement;</w:t>
      </w:r>
    </w:p>
    <w:p>
      <w:pPr>
        <w:spacing w:after="0" w:line="62" w:lineRule="exact"/>
        <w:rPr>
          <w:rFonts w:ascii="Arial" w:cs="Arial" w:eastAsia="Arial" w:hAnsi="Arial"/>
          <w:sz w:val="18"/>
          <w:szCs w:val="18"/>
          <w:color w:val="auto"/>
        </w:rPr>
      </w:pPr>
    </w:p>
    <w:p>
      <w:pPr>
        <w:ind w:left="1684" w:hanging="252"/>
        <w:spacing w:after="0"/>
        <w:tabs>
          <w:tab w:leader="none" w:pos="1684" w:val="left"/>
        </w:tabs>
        <w:numPr>
          <w:ilvl w:val="2"/>
          <w:numId w:val="25"/>
        </w:numPr>
        <w:rPr>
          <w:rFonts w:ascii="Arial" w:cs="Arial" w:eastAsia="Arial" w:hAnsi="Arial"/>
          <w:sz w:val="18"/>
          <w:szCs w:val="18"/>
          <w:color w:val="auto"/>
        </w:rPr>
      </w:pPr>
      <w:r>
        <w:rPr>
          <w:rFonts w:ascii="Arial" w:cs="Arial" w:eastAsia="Arial" w:hAnsi="Arial"/>
          <w:sz w:val="18"/>
          <w:szCs w:val="18"/>
          <w:color w:val="auto"/>
        </w:rPr>
        <w:t>To replace such Award with other rights or property selected by the Administrator; and/or</w:t>
      </w:r>
    </w:p>
    <w:p>
      <w:pPr>
        <w:spacing w:after="0" w:line="117" w:lineRule="exact"/>
        <w:rPr>
          <w:rFonts w:ascii="Arial" w:cs="Arial" w:eastAsia="Arial" w:hAnsi="Arial"/>
          <w:sz w:val="18"/>
          <w:szCs w:val="18"/>
          <w:color w:val="auto"/>
        </w:rPr>
      </w:pPr>
    </w:p>
    <w:p>
      <w:pPr>
        <w:ind w:left="1744" w:hanging="312"/>
        <w:spacing w:after="0"/>
        <w:tabs>
          <w:tab w:leader="none" w:pos="1744" w:val="left"/>
        </w:tabs>
        <w:numPr>
          <w:ilvl w:val="2"/>
          <w:numId w:val="25"/>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4"/>
          </w:cols>
          <w:pgMar w:left="436" w:top="274" w:right="519" w:bottom="1440" w:gutter="0" w:footer="0" w:header="0"/>
        </w:sectPr>
      </w:pPr>
    </w:p>
    <w:bookmarkStart w:id="32" w:name="page33"/>
    <w:bookmarkEnd w:id="32"/>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In connection with the occurrence of any Equity Restructuring, and notwithstanding anything to the contrary in Sections 12.2(a)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12.2(b):</w:t>
      </w:r>
    </w:p>
    <w:p>
      <w:pPr>
        <w:spacing w:after="0" w:line="103" w:lineRule="exact"/>
        <w:rPr>
          <w:sz w:val="20"/>
          <w:szCs w:val="20"/>
          <w:color w:val="auto"/>
        </w:rPr>
      </w:pPr>
    </w:p>
    <w:p>
      <w:pPr>
        <w:ind w:right="180" w:firstLine="1428"/>
        <w:spacing w:after="0" w:line="263" w:lineRule="auto"/>
        <w:tabs>
          <w:tab w:leader="none" w:pos="1647"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number and type of securities subject to each outstanding Award and the exercise price or grant price thereof, if applicable, shall be equitably adjusted (and the adjustments provided under this Section 12.2(c)(i) shall be nondiscretionary and shall be final and binding on the affected Holder and the Company); and/or</w:t>
      </w:r>
    </w:p>
    <w:p>
      <w:pPr>
        <w:spacing w:after="0" w:line="75" w:lineRule="exact"/>
        <w:rPr>
          <w:rFonts w:ascii="Arial" w:cs="Arial" w:eastAsia="Arial" w:hAnsi="Arial"/>
          <w:sz w:val="18"/>
          <w:szCs w:val="18"/>
          <w:color w:val="auto"/>
        </w:rPr>
      </w:pPr>
    </w:p>
    <w:p>
      <w:pPr>
        <w:ind w:right="760" w:firstLine="1428"/>
        <w:spacing w:after="0" w:line="342" w:lineRule="auto"/>
        <w:tabs>
          <w:tab w:leader="none" w:pos="1697"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Administrator shall make such equitable adjustments, if any, as the Administrator, in its sole discretion, may deem appropriate to reflect such Equity Restructuring with respect to the aggregate number and kind of Shares that may be issued under the Plan.</w:t>
      </w:r>
    </w:p>
    <w:p>
      <w:pPr>
        <w:spacing w:after="0" w:line="15" w:lineRule="exact"/>
        <w:rPr>
          <w:rFonts w:ascii="Arial" w:cs="Arial" w:eastAsia="Arial" w:hAnsi="Arial"/>
          <w:sz w:val="16"/>
          <w:szCs w:val="16"/>
          <w:color w:val="auto"/>
        </w:rPr>
      </w:pPr>
    </w:p>
    <w:p>
      <w:pPr>
        <w:ind w:right="20" w:firstLine="987"/>
        <w:spacing w:after="0" w:line="291" w:lineRule="auto"/>
        <w:tabs>
          <w:tab w:leader="none" w:pos="1246"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Section 12.2, such Award shall continue in effect or be assumed or an equivalent Award (which may include, without limitation, an Award settled in cash) substituted by the successor corporation or a parent or subsidiary of the successor corporation. In the event an Award continues in effect or is assumed or an equivalent Award substituted, and a Holder incurs a Termination of Service without “cause” (as such term is defined in the sole discretion of the Administrator, or as set forth in the Award Agreement relating to such Award) upon or within twelve (12) months following the Change in Control, then such Holder shall be fully vested in such continued, assumed or substituted Award.</w:t>
      </w:r>
    </w:p>
    <w:p>
      <w:pPr>
        <w:spacing w:after="0" w:line="58" w:lineRule="exact"/>
        <w:rPr>
          <w:rFonts w:ascii="Arial" w:cs="Arial" w:eastAsia="Arial" w:hAnsi="Arial"/>
          <w:sz w:val="16"/>
          <w:szCs w:val="16"/>
          <w:color w:val="auto"/>
        </w:rPr>
      </w:pPr>
    </w:p>
    <w:p>
      <w:pPr>
        <w:ind w:firstLine="987"/>
        <w:spacing w:after="0" w:line="273" w:lineRule="auto"/>
        <w:tabs>
          <w:tab w:leader="none" w:pos="12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the event that the successor corporation in a Change in Control refuses to assume or substitute for an Award, the Administrator may cause (i) any or all of such Award (or portion thereof) to terminate in exchange for cash, rights or other property pursuant to Section 12.2(b)(i)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 (15) days from the date of such notice, contingent upon the occurrence of the Change in Control, and such Award shall terminate upon the expiration of such period.</w:t>
      </w:r>
    </w:p>
    <w:p>
      <w:pPr>
        <w:spacing w:after="0" w:line="69" w:lineRule="exact"/>
        <w:rPr>
          <w:rFonts w:ascii="Arial" w:cs="Arial" w:eastAsia="Arial" w:hAnsi="Arial"/>
          <w:sz w:val="17"/>
          <w:szCs w:val="17"/>
          <w:color w:val="auto"/>
        </w:rPr>
      </w:pPr>
    </w:p>
    <w:p>
      <w:pPr>
        <w:ind w:right="20" w:firstLine="987"/>
        <w:spacing w:after="0" w:line="271" w:lineRule="auto"/>
        <w:tabs>
          <w:tab w:leader="none" w:pos="12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For the purposes of this Section 12.2,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per-share consideration received by holders of Common Stock in the Change in Control.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3" w:name="page34"/>
    <w:bookmarkEnd w:id="33"/>
    <w:p>
      <w:pPr>
        <w:ind w:right="60" w:firstLine="987"/>
        <w:spacing w:after="0" w:line="277" w:lineRule="auto"/>
        <w:tabs>
          <w:tab w:leader="none" w:pos="1246"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Administrator, in its sole discretion, may include such further provisions and limitations in any Award, agreement or certificate, as it may deem equitable and in the best interests of the Company that are not inconsistent with the provisions of the Plan.</w:t>
      </w:r>
    </w:p>
    <w:p>
      <w:pPr>
        <w:spacing w:after="0" w:line="62" w:lineRule="exact"/>
        <w:rPr>
          <w:rFonts w:ascii="Arial" w:cs="Arial" w:eastAsia="Arial" w:hAnsi="Arial"/>
          <w:sz w:val="18"/>
          <w:szCs w:val="18"/>
          <w:color w:val="auto"/>
        </w:rPr>
      </w:pPr>
    </w:p>
    <w:p>
      <w:pPr>
        <w:ind w:right="20" w:firstLine="987"/>
        <w:spacing w:after="0" w:line="286" w:lineRule="auto"/>
        <w:tabs>
          <w:tab w:leader="none" w:pos="1246" w:val="left"/>
        </w:tabs>
        <w:numPr>
          <w:ilvl w:val="0"/>
          <w:numId w:val="28"/>
        </w:numPr>
        <w:rPr>
          <w:rFonts w:ascii="Arial" w:cs="Arial" w:eastAsia="Arial" w:hAnsi="Arial"/>
          <w:sz w:val="17"/>
          <w:szCs w:val="17"/>
          <w:color w:val="auto"/>
        </w:rPr>
      </w:pPr>
      <w:r>
        <w:rPr>
          <w:rFonts w:ascii="Arial" w:cs="Arial" w:eastAsia="Arial" w:hAnsi="Arial"/>
          <w:sz w:val="17"/>
          <w:szCs w:val="17"/>
          <w:color w:val="auto"/>
        </w:rPr>
        <w:t>Unless otherwise determined by the Administrator, no adjustment or action described in this Section 12.2 or in any other provision of the Plan shall be authorized to the extent it would (i) result in short-swing profits liability under Section 16 of the Exchange Act or violate the exemptive conditions of Rule 16b-3 of the Exchange Act, or (ii) cause an Award to fail to be exempt from or comply with Section 409A.</w:t>
      </w:r>
    </w:p>
    <w:p>
      <w:pPr>
        <w:spacing w:after="0" w:line="57" w:lineRule="exact"/>
        <w:rPr>
          <w:rFonts w:ascii="Arial" w:cs="Arial" w:eastAsia="Arial" w:hAnsi="Arial"/>
          <w:sz w:val="17"/>
          <w:szCs w:val="17"/>
          <w:color w:val="auto"/>
        </w:rPr>
      </w:pPr>
    </w:p>
    <w:p>
      <w:pPr>
        <w:ind w:right="60" w:firstLine="987"/>
        <w:spacing w:after="0" w:line="293" w:lineRule="auto"/>
        <w:tabs>
          <w:tab w:leader="none" w:pos="120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existence of the Plan, any Program, any Award Agreement and/or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56" w:lineRule="exact"/>
        <w:rPr>
          <w:rFonts w:ascii="Arial" w:cs="Arial" w:eastAsia="Arial" w:hAnsi="Arial"/>
          <w:sz w:val="16"/>
          <w:szCs w:val="16"/>
          <w:color w:val="auto"/>
        </w:rPr>
      </w:pPr>
    </w:p>
    <w:p>
      <w:pPr>
        <w:ind w:firstLine="987"/>
        <w:spacing w:after="0" w:line="279" w:lineRule="auto"/>
        <w:tabs>
          <w:tab w:leader="none" w:pos="1206"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Administrator, in its sole discretion, may refuse to permit the exercise of any Award during a period of up to thirty (30) days prior to the consummation of any such transaction.</w:t>
      </w:r>
    </w:p>
    <w:p>
      <w:pPr>
        <w:spacing w:after="0" w:line="63" w:lineRule="exact"/>
        <w:rPr>
          <w:sz w:val="20"/>
          <w:szCs w:val="20"/>
          <w:color w:val="auto"/>
        </w:rPr>
      </w:pPr>
    </w:p>
    <w:p>
      <w:pPr>
        <w:ind w:right="80" w:firstLine="440"/>
        <w:spacing w:after="0" w:line="268"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Stockholder Approval Not Required</w:t>
      </w:r>
      <w:r>
        <w:rPr>
          <w:rFonts w:ascii="Arial" w:cs="Arial" w:eastAsia="Arial" w:hAnsi="Arial"/>
          <w:sz w:val="17"/>
          <w:szCs w:val="17"/>
          <w:color w:val="auto"/>
        </w:rPr>
        <w:t>. It is expressly intended that approval of the Company’s stockholders not be required as a condition of the effectiveness of the Plan, and the Plan’s provisions shall be interpreted in a manner consistent with such intent for all purposes. Specifically, Nasdaq Stock Market Rule 5635(c) generally requires stockholder approval for stock option plans or other equity compensation arrangements adopted by companies whose securities are listed on the Nasdaq Stock Market pursuant to which stock awards or stock may be acquired by officers, directors, employees or consultants of such companies. Nasdaq Stock Market Rule 5635(c)(4) provides an exemption in certain circumstances for “employment inducement” awards (within the meaning of Nasdaq Stock Market Rule 5635(c)(4)). Notwithstanding anything to the contrary herein, if the Company’s securities are traded on the Nasdaq Stock Market, then Awards under the Plan may only be made to Employees who have not previously been an Employee or Director of the Company or a parent of the Company or a Subsidiary, or following a bona fide period of nonemployment by the Company or a parent of the Company or a Subsidiary, in each case as an inducement material to the Employee’s entering into employment with the Company or a parent of the Company or a Subsidiary. Awards under the Plan will be approved by (a) the Company’s Compensation Committee comprised entirely of Independent Directors or (b) a majority of the Company’s Independent Directors. Accordingly, pursuant to Nasdaq Stock Market Rule 5635(c)(4), the issuance of Awards and the shares of Stock issuable upon exercise or vesting of such Awards pursuant to the Plan are not subject to the approval of the Company’s stockholders.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4" w:name="page35"/>
    <w:bookmarkEnd w:id="34"/>
    <w:p>
      <w:pPr>
        <w:ind w:right="10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12.4 </w:t>
      </w:r>
      <w:r>
        <w:rPr>
          <w:rFonts w:ascii="Arial" w:cs="Arial" w:eastAsia="Arial" w:hAnsi="Arial"/>
          <w:sz w:val="17"/>
          <w:szCs w:val="17"/>
          <w:u w:val="single" w:color="auto"/>
          <w:color w:val="auto"/>
        </w:rPr>
        <w:t>No Stockholders Rights</w:t>
      </w:r>
      <w:r>
        <w:rPr>
          <w:rFonts w:ascii="Arial" w:cs="Arial" w:eastAsia="Arial" w:hAnsi="Arial"/>
          <w:sz w:val="17"/>
          <w:szCs w:val="17"/>
          <w:color w:val="auto"/>
        </w:rPr>
        <w:t>. Except as otherwise provided herein or in an applicable Program or Award Agreement, a Holder shall have none of the rights of a stockholder with respect to Shares covered by any Award until the Holder becomes the record owner of such Shares.</w:t>
      </w:r>
    </w:p>
    <w:p>
      <w:pPr>
        <w:spacing w:after="0" w:line="38"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u w:val="single" w:color="auto"/>
          <w:color w:val="auto"/>
        </w:rPr>
        <w:t>Paperless Administration</w:t>
      </w:r>
      <w:r>
        <w:rPr>
          <w:rFonts w:ascii="Arial" w:cs="Arial" w:eastAsia="Arial" w:hAnsi="Arial"/>
          <w:sz w:val="17"/>
          <w:szCs w:val="17"/>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5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Effect of Plan upon Other Compensation Plans</w:t>
      </w:r>
      <w:r>
        <w:rPr>
          <w:rFonts w:ascii="Arial" w:cs="Arial" w:eastAsia="Arial" w:hAnsi="Arial"/>
          <w:sz w:val="18"/>
          <w:szCs w:val="18"/>
          <w:color w:val="auto"/>
        </w:rPr>
        <w:t>.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Eligible Individuals or other service providers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84"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The Administrator, in its sole discretion, may take whatever actions it deems necessary or appropriate to effect compliance with Applicable Law, including, without limitation, placing legends on share certificates and issuing stop-transfer notices to agents and registrars. Notwithstanding anything to the contrary herein, the Administrator may not take any actions hereunder, and no Awards shall be granted, that would violate Applicable Law. To the extent permitted by Applicable Law, the Plan and Awards granted or awarded hereunder shall be deemed amended to the extent necessary to conform to Applicable Law.</w:t>
      </w:r>
    </w:p>
    <w:p>
      <w:pPr>
        <w:spacing w:after="0" w:line="60" w:lineRule="exact"/>
        <w:rPr>
          <w:sz w:val="20"/>
          <w:szCs w:val="20"/>
          <w:color w:val="auto"/>
        </w:rPr>
      </w:pPr>
    </w:p>
    <w:p>
      <w:pPr>
        <w:ind w:right="480" w:firstLine="440"/>
        <w:spacing w:after="0" w:line="263"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Titles and Headings, References to Sections of the Code or Exchange Act</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76"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any Programs and Award Agreements hereunder shall be administered, interpreted and enforced under the internal laws of the State of Delaware without regard to conflicts of laws thereof or of any other jurisdiction.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5" w:name="page36"/>
    <w:bookmarkEnd w:id="35"/>
    <w:p>
      <w:pPr>
        <w:ind w:left="4"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12.10 </w:t>
      </w:r>
      <w:r>
        <w:rPr>
          <w:rFonts w:ascii="Arial" w:cs="Arial" w:eastAsia="Arial" w:hAnsi="Arial"/>
          <w:sz w:val="16"/>
          <w:szCs w:val="16"/>
          <w:u w:val="single" w:color="auto"/>
          <w:color w:val="auto"/>
        </w:rPr>
        <w:t>Section 409A</w:t>
      </w:r>
      <w:r>
        <w:rPr>
          <w:rFonts w:ascii="Arial" w:cs="Arial" w:eastAsia="Arial" w:hAnsi="Arial"/>
          <w:sz w:val="16"/>
          <w:szCs w:val="16"/>
          <w:color w:val="auto"/>
        </w:rPr>
        <w:t>. To the extent that the Administrator determines that any Award granted under the Plan is subject to Section 409A, the Plan, the Program pursuant to which such Award is granted and the Award Agreement evidencing such Award shall incorporate the terms and conditions required by Section 409A. In that regard, to the extent any Award under the Plan or any other compensatory plan or arrangement of the Company or any of its Affiliates is subject to Section 409A, and such Award or other amount is payable on account of a Holder’s Termination of Service (or any similarly defined term), then (a) such Award or amount shall only be paid to the extent such Termination of Service qualifies as a “separation from service” as defined in Section 409A, and (b) if such Award or amount is payable to a “specified employee” as defined in Section 409A then to the extent required in order to avoid a prohibited distribution under Section 409A, such Award or other compensatory payment shall not be payable prior to the earlier of</w:t>
      </w:r>
    </w:p>
    <w:p>
      <w:pPr>
        <w:spacing w:after="0" w:line="2" w:lineRule="exact"/>
        <w:rPr>
          <w:sz w:val="20"/>
          <w:szCs w:val="20"/>
          <w:color w:val="auto"/>
        </w:rPr>
      </w:pPr>
    </w:p>
    <w:p>
      <w:pPr>
        <w:ind w:left="4" w:right="100" w:hanging="4"/>
        <w:spacing w:after="0" w:line="285" w:lineRule="auto"/>
        <w:tabs>
          <w:tab w:leader="none" w:pos="21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expiration of the six-month period measured from the date of the Holder’s Termination of Service, or (ii) the date of the Holder’s death. To the extent applicable, the Plan, the Program and any Award Agreements shall be interpreted in accordance with Section 409A. Notwithstanding any provision of the Plan to the contrary, in the event that following the Effective Date the Administrator determines that any Award may be subject to Section 409A, the Administrator may (but is not obligated to), without a Holder’s consent,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and/or preserve the intended tax treatment of the benefits provided with respect to the Award, or (B) comply with the requirements of Section 409A and thereby avoid the application of any penalty taxes under Section 409A. The Company makes no representations or warranties as to the tax treatment of any Award under Section 409A or otherwise. The Company shall have no obligation under this Section 12.10 or otherwise to take any action (whether or not described herein) to avoid the imposition of taxes, penalties or interest under Section 409A with respect to any Award and shall have no liability to any Holder or any other person if any Award, compensation or other benefits under the Plan are determined to constitute non-compliant, “nonqualified deferred compensation” subject to the imposition of taxes, penalties and/or interest under Section 409A.</w:t>
      </w:r>
    </w:p>
    <w:p>
      <w:pPr>
        <w:spacing w:after="0" w:line="64"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spacing w:after="0" w:line="76"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 xml:space="preserve">12.12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To the extent permitted under Applicable Law and the Organizational Documents, each member of the Administrator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or any Award Agreement and against and from any and all amounts paid by him or her, with the Board’s approval, in satisfaction of judgment in such action, suit, or proceeding against him or her;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he or she gives the Company an opportunity, at its own expense, to handle and defend the same before he or she undertakes to handle and defend it on his or her own behalf and, once the Company gives notice of its intent to assume such defense, the Company shall have sole control over such defense with counsel of the</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4"/>
          </w:cols>
          <w:pgMar w:left="436" w:top="274" w:right="479" w:bottom="1440" w:gutter="0" w:footer="0" w:header="0"/>
        </w:sectPr>
      </w:pPr>
    </w:p>
    <w:bookmarkStart w:id="36" w:name="page37"/>
    <w:bookmarkEnd w:id="36"/>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Company’s choosing. The foregoing right of indemnification shall not be available to the extent that a court of competent jurisdiction in a final judgment or other final adjudication, in either case not subject to further appeal, determines that the acts or omissions of the person seeking indemnity giving rise to the indemnification claim resulted from such person’s bad faith, fraud or willful criminal act or omission. The foregoing right of indemnification shall not be exclusive of any other rights of indemnification to which such persons may be entitled pursuant to the Organizational Documents, as a matter of law, or otherwise, or any power that the Company may have to indemnify them or hold them harmless.</w:t>
      </w:r>
    </w:p>
    <w:p>
      <w:pPr>
        <w:spacing w:after="0" w:line="68"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u w:val="single" w:color="auto"/>
          <w:color w:val="auto"/>
        </w:rPr>
        <w:t>Expenses</w:t>
      </w:r>
      <w:r>
        <w:rPr>
          <w:rFonts w:ascii="Arial" w:cs="Arial" w:eastAsia="Arial" w:hAnsi="Arial"/>
          <w:sz w:val="18"/>
          <w:szCs w:val="18"/>
          <w:color w:val="auto"/>
        </w:rPr>
        <w:t>. The expenses of administering the Plan shall be borne by the Company and its Affiliates.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hereby certify that the foregoing Plan was duly adopted by the Board of Directors of GoHealth, Inc. on ____________ __, 2021.</w:t>
      </w:r>
    </w:p>
    <w:p>
      <w:pPr>
        <w:spacing w:after="0" w:line="24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 * * * *</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Executed on this ____ day of _______________,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263525</wp:posOffset>
            </wp:positionV>
            <wp:extent cx="31705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317055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Corporate Secretary</w:t>
      </w:r>
    </w:p>
    <w:p>
      <w:pPr>
        <w:spacing w:after="0" w:line="17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019"/>
          </w:cols>
          <w:pgMar w:left="440" w:top="274"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ind w:left="1180"/>
              <w:spacing w:after="0"/>
              <w:rPr>
                <w:sz w:val="20"/>
                <w:szCs w:val="20"/>
                <w:color w:val="auto"/>
              </w:rPr>
            </w:pPr>
            <w:r>
              <w:rPr>
                <w:rFonts w:ascii="Arial" w:cs="Arial" w:eastAsia="Arial" w:hAnsi="Arial"/>
                <w:sz w:val="18"/>
                <w:szCs w:val="18"/>
                <w:b w:val="1"/>
                <w:bCs w:val="1"/>
                <w:color w:val="auto"/>
                <w:w w:val="91"/>
              </w:rPr>
              <w:t>Exhibit 99.2</w:t>
            </w:r>
          </w:p>
        </w:tc>
      </w:tr>
      <w:tr>
        <w:trPr>
          <w:trHeight w:val="414"/>
        </w:trPr>
        <w:tc>
          <w:tcPr>
            <w:tcW w:w="3500" w:type="dxa"/>
            <w:vAlign w:val="bottom"/>
          </w:tcPr>
          <w:p>
            <w:pPr>
              <w:spacing w:after="0"/>
              <w:rPr>
                <w:sz w:val="24"/>
                <w:szCs w:val="24"/>
                <w:color w:val="auto"/>
              </w:rPr>
            </w:pPr>
          </w:p>
        </w:tc>
        <w:tc>
          <w:tcPr>
            <w:tcW w:w="7520" w:type="dxa"/>
            <w:vAlign w:val="bottom"/>
            <w:gridSpan w:val="3"/>
          </w:tcPr>
          <w:p>
            <w:pPr>
              <w:jc w:val="center"/>
              <w:ind w:right="3410"/>
              <w:spacing w:after="0"/>
              <w:rPr>
                <w:sz w:val="20"/>
                <w:szCs w:val="20"/>
                <w:color w:val="auto"/>
              </w:rPr>
            </w:pPr>
            <w:r>
              <w:rPr>
                <w:rFonts w:ascii="Arial" w:cs="Arial" w:eastAsia="Arial" w:hAnsi="Arial"/>
                <w:sz w:val="18"/>
                <w:szCs w:val="18"/>
                <w:b w:val="1"/>
                <w:bCs w:val="1"/>
                <w:color w:val="auto"/>
              </w:rPr>
              <w:t>GOHEALTH, INC.</w:t>
            </w:r>
          </w:p>
        </w:tc>
      </w:tr>
      <w:tr>
        <w:trPr>
          <w:trHeight w:val="234"/>
        </w:trPr>
        <w:tc>
          <w:tcPr>
            <w:tcW w:w="3500" w:type="dxa"/>
            <w:vAlign w:val="bottom"/>
          </w:tcPr>
          <w:p>
            <w:pPr>
              <w:spacing w:after="0"/>
              <w:rPr>
                <w:sz w:val="20"/>
                <w:szCs w:val="20"/>
                <w:color w:val="auto"/>
              </w:rPr>
            </w:pPr>
          </w:p>
        </w:tc>
        <w:tc>
          <w:tcPr>
            <w:tcW w:w="7520" w:type="dxa"/>
            <w:vAlign w:val="bottom"/>
            <w:gridSpan w:val="3"/>
          </w:tcPr>
          <w:p>
            <w:pPr>
              <w:jc w:val="center"/>
              <w:ind w:right="3410"/>
              <w:spacing w:after="0"/>
              <w:rPr>
                <w:sz w:val="20"/>
                <w:szCs w:val="20"/>
                <w:color w:val="auto"/>
              </w:rPr>
            </w:pPr>
            <w:r>
              <w:rPr>
                <w:rFonts w:ascii="Arial" w:cs="Arial" w:eastAsia="Arial" w:hAnsi="Arial"/>
                <w:sz w:val="18"/>
                <w:szCs w:val="18"/>
                <w:b w:val="1"/>
                <w:bCs w:val="1"/>
                <w:color w:val="auto"/>
                <w:w w:val="98"/>
              </w:rPr>
              <w:t>2021 INDUCEMENT AWARD PLAN</w:t>
            </w:r>
          </w:p>
        </w:tc>
      </w:tr>
      <w:tr>
        <w:trPr>
          <w:trHeight w:val="432"/>
        </w:trPr>
        <w:tc>
          <w:tcPr>
            <w:tcW w:w="3500" w:type="dxa"/>
            <w:vAlign w:val="bottom"/>
          </w:tcPr>
          <w:p>
            <w:pPr>
              <w:spacing w:after="0"/>
              <w:rPr>
                <w:sz w:val="24"/>
                <w:szCs w:val="24"/>
                <w:color w:val="auto"/>
              </w:rPr>
            </w:pPr>
          </w:p>
        </w:tc>
        <w:tc>
          <w:tcPr>
            <w:tcW w:w="7520" w:type="dxa"/>
            <w:vAlign w:val="bottom"/>
            <w:gridSpan w:val="3"/>
          </w:tcPr>
          <w:p>
            <w:pPr>
              <w:jc w:val="center"/>
              <w:ind w:right="3430"/>
              <w:spacing w:after="0"/>
              <w:rPr>
                <w:sz w:val="20"/>
                <w:szCs w:val="20"/>
                <w:color w:val="auto"/>
              </w:rPr>
            </w:pPr>
            <w:r>
              <w:rPr>
                <w:rFonts w:ascii="Arial" w:cs="Arial" w:eastAsia="Arial" w:hAnsi="Arial"/>
                <w:sz w:val="18"/>
                <w:szCs w:val="18"/>
                <w:b w:val="1"/>
                <w:bCs w:val="1"/>
                <w:color w:val="auto"/>
              </w:rPr>
              <w:t>NOTICE OF STOCK OPTION GRANT</w:t>
            </w:r>
          </w:p>
        </w:tc>
      </w:tr>
      <w:tr>
        <w:trPr>
          <w:trHeight w:val="526"/>
        </w:trPr>
        <w:tc>
          <w:tcPr>
            <w:tcW w:w="3500" w:type="dxa"/>
            <w:vAlign w:val="bottom"/>
          </w:tcPr>
          <w:p>
            <w:pPr>
              <w:spacing w:after="0"/>
              <w:rPr>
                <w:sz w:val="20"/>
                <w:szCs w:val="20"/>
                <w:color w:val="auto"/>
              </w:rPr>
            </w:pPr>
            <w:r>
              <w:rPr>
                <w:rFonts w:ascii="Arial" w:cs="Arial" w:eastAsia="Arial" w:hAnsi="Arial"/>
                <w:sz w:val="18"/>
                <w:szCs w:val="18"/>
                <w:b w:val="1"/>
                <w:bCs w:val="1"/>
                <w:color w:val="auto"/>
              </w:rPr>
              <w:t>Name of Participant:</w:t>
            </w:r>
          </w:p>
        </w:tc>
        <w:tc>
          <w:tcPr>
            <w:tcW w:w="5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04"/>
        </w:trPr>
        <w:tc>
          <w:tcPr>
            <w:tcW w:w="3500" w:type="dxa"/>
            <w:vAlign w:val="bottom"/>
          </w:tcPr>
          <w:p>
            <w:pPr>
              <w:spacing w:after="0"/>
              <w:rPr>
                <w:sz w:val="20"/>
                <w:szCs w:val="20"/>
                <w:color w:val="auto"/>
              </w:rPr>
            </w:pPr>
            <w:r>
              <w:rPr>
                <w:rFonts w:ascii="Arial" w:cs="Arial" w:eastAsia="Arial" w:hAnsi="Arial"/>
                <w:sz w:val="18"/>
                <w:szCs w:val="18"/>
                <w:b w:val="1"/>
                <w:bCs w:val="1"/>
                <w:color w:val="auto"/>
              </w:rPr>
              <w:t>Address:</w:t>
            </w:r>
          </w:p>
        </w:tc>
        <w:tc>
          <w:tcPr>
            <w:tcW w:w="5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04"/>
        </w:trPr>
        <w:tc>
          <w:tcPr>
            <w:tcW w:w="350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5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04"/>
        </w:trPr>
        <w:tc>
          <w:tcPr>
            <w:tcW w:w="3500" w:type="dxa"/>
            <w:vAlign w:val="bottom"/>
          </w:tcPr>
          <w:p>
            <w:pPr>
              <w:spacing w:after="0"/>
              <w:rPr>
                <w:sz w:val="20"/>
                <w:szCs w:val="20"/>
                <w:color w:val="auto"/>
              </w:rPr>
            </w:pPr>
            <w:r>
              <w:rPr>
                <w:rFonts w:ascii="Arial" w:cs="Arial" w:eastAsia="Arial" w:hAnsi="Arial"/>
                <w:sz w:val="18"/>
                <w:szCs w:val="18"/>
                <w:b w:val="1"/>
                <w:bCs w:val="1"/>
                <w:color w:val="auto"/>
              </w:rPr>
              <w:t>Exercise Price per Share:</w:t>
            </w: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r>
      <w:tr>
        <w:trPr>
          <w:trHeight w:val="326"/>
        </w:trPr>
        <w:tc>
          <w:tcPr>
            <w:tcW w:w="3500" w:type="dxa"/>
            <w:vAlign w:val="bottom"/>
          </w:tcPr>
          <w:p>
            <w:pPr>
              <w:spacing w:after="0"/>
              <w:rPr>
                <w:sz w:val="20"/>
                <w:szCs w:val="20"/>
                <w:color w:val="auto"/>
              </w:rPr>
            </w:pPr>
            <w:r>
              <w:rPr>
                <w:rFonts w:ascii="Arial" w:cs="Arial" w:eastAsia="Arial" w:hAnsi="Arial"/>
                <w:sz w:val="18"/>
                <w:szCs w:val="18"/>
                <w:b w:val="1"/>
                <w:bCs w:val="1"/>
                <w:color w:val="auto"/>
              </w:rPr>
              <w:t>Total Number of Shares Subject to</w:t>
            </w:r>
          </w:p>
        </w:tc>
        <w:tc>
          <w:tcPr>
            <w:tcW w:w="5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94"/>
        </w:trPr>
        <w:tc>
          <w:tcPr>
            <w:tcW w:w="3500" w:type="dxa"/>
            <w:vAlign w:val="bottom"/>
          </w:tcPr>
          <w:p>
            <w:pPr>
              <w:ind w:left="180"/>
              <w:spacing w:after="0" w:line="194" w:lineRule="exact"/>
              <w:rPr>
                <w:sz w:val="20"/>
                <w:szCs w:val="20"/>
                <w:color w:val="auto"/>
              </w:rPr>
            </w:pPr>
            <w:r>
              <w:rPr>
                <w:rFonts w:ascii="Arial" w:cs="Arial" w:eastAsia="Arial" w:hAnsi="Arial"/>
                <w:sz w:val="18"/>
                <w:szCs w:val="18"/>
                <w:b w:val="1"/>
                <w:bCs w:val="1"/>
                <w:color w:val="auto"/>
              </w:rPr>
              <w:t>Option Granted:</w:t>
            </w:r>
          </w:p>
        </w:tc>
        <w:tc>
          <w:tcPr>
            <w:tcW w:w="5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345"/>
        </w:trPr>
        <w:tc>
          <w:tcPr>
            <w:tcW w:w="3500" w:type="dxa"/>
            <w:vAlign w:val="bottom"/>
          </w:tcPr>
          <w:p>
            <w:pPr>
              <w:spacing w:after="0"/>
              <w:rPr>
                <w:sz w:val="20"/>
                <w:szCs w:val="20"/>
                <w:color w:val="auto"/>
              </w:rPr>
            </w:pPr>
            <w:r>
              <w:rPr>
                <w:rFonts w:ascii="Arial" w:cs="Arial" w:eastAsia="Arial" w:hAnsi="Arial"/>
                <w:sz w:val="18"/>
                <w:szCs w:val="18"/>
                <w:b w:val="1"/>
                <w:bCs w:val="1"/>
                <w:color w:val="auto"/>
              </w:rPr>
              <w:t>Type of Option:</w:t>
            </w:r>
          </w:p>
        </w:tc>
        <w:tc>
          <w:tcPr>
            <w:tcW w:w="7520" w:type="dxa"/>
            <w:vAlign w:val="bottom"/>
            <w:gridSpan w:val="3"/>
          </w:tcPr>
          <w:p>
            <w:pPr>
              <w:spacing w:after="0"/>
              <w:rPr>
                <w:sz w:val="20"/>
                <w:szCs w:val="20"/>
                <w:color w:val="auto"/>
              </w:rPr>
            </w:pPr>
            <w:r>
              <w:rPr>
                <w:rFonts w:ascii="Arial" w:cs="Arial" w:eastAsia="Arial" w:hAnsi="Arial"/>
                <w:sz w:val="18"/>
                <w:szCs w:val="18"/>
                <w:color w:val="auto"/>
              </w:rPr>
              <w:t>Nonstatutory Stock Option</w:t>
            </w:r>
          </w:p>
        </w:tc>
      </w:tr>
      <w:tr>
        <w:trPr>
          <w:trHeight w:val="283"/>
        </w:trPr>
        <w:tc>
          <w:tcPr>
            <w:tcW w:w="350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5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04"/>
        </w:trPr>
        <w:tc>
          <w:tcPr>
            <w:tcW w:w="3500" w:type="dxa"/>
            <w:vAlign w:val="bottom"/>
          </w:tcPr>
          <w:p>
            <w:pPr>
              <w:spacing w:after="0"/>
              <w:rPr>
                <w:sz w:val="20"/>
                <w:szCs w:val="20"/>
                <w:color w:val="auto"/>
              </w:rPr>
            </w:pPr>
            <w:r>
              <w:rPr>
                <w:rFonts w:ascii="Arial" w:cs="Arial" w:eastAsia="Arial" w:hAnsi="Arial"/>
                <w:sz w:val="18"/>
                <w:szCs w:val="18"/>
                <w:b w:val="1"/>
                <w:bCs w:val="1"/>
                <w:color w:val="auto"/>
              </w:rPr>
              <w:t>Vesting Commencement Date:</w:t>
            </w:r>
          </w:p>
        </w:tc>
        <w:tc>
          <w:tcPr>
            <w:tcW w:w="5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44"/>
        </w:trPr>
        <w:tc>
          <w:tcPr>
            <w:tcW w:w="350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7520" w:type="dxa"/>
            <w:vAlign w:val="bottom"/>
            <w:gridSpan w:val="3"/>
          </w:tcPr>
          <w:p>
            <w:pPr>
              <w:spacing w:after="0"/>
              <w:rPr>
                <w:sz w:val="20"/>
                <w:szCs w:val="20"/>
                <w:color w:val="auto"/>
              </w:rPr>
            </w:pPr>
            <w:r>
              <w:rPr>
                <w:rFonts w:ascii="Arial" w:cs="Arial" w:eastAsia="Arial" w:hAnsi="Arial"/>
                <w:sz w:val="18"/>
                <w:szCs w:val="18"/>
                <w:color w:val="auto"/>
                <w:w w:val="98"/>
              </w:rPr>
              <w:t>This Option shall be exercisable, in whole or in part, according to the following vesting schedule:</w:t>
            </w:r>
          </w:p>
        </w:tc>
      </w:tr>
      <w:tr>
        <w:trPr>
          <w:trHeight w:val="310"/>
        </w:trPr>
        <w:tc>
          <w:tcPr>
            <w:tcW w:w="3500" w:type="dxa"/>
            <w:vAlign w:val="bottom"/>
          </w:tcPr>
          <w:p>
            <w:pPr>
              <w:spacing w:after="0"/>
              <w:rPr>
                <w:sz w:val="24"/>
                <w:szCs w:val="24"/>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9"/>
              </w:rPr>
              <w:t>Subject to the Participant’s continued status as an Eligible Individual, the Option shall vest and</w:t>
            </w:r>
          </w:p>
        </w:tc>
      </w:tr>
      <w:tr>
        <w:trPr>
          <w:trHeight w:val="216"/>
        </w:trPr>
        <w:tc>
          <w:tcPr>
            <w:tcW w:w="350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2"/>
              </w:rPr>
              <w:t>become exercisable with respect to one-third (1/3) of the Shares subject thereto (rounded down to the</w:t>
            </w:r>
          </w:p>
        </w:tc>
      </w:tr>
      <w:tr>
        <w:trPr>
          <w:trHeight w:val="216"/>
        </w:trPr>
        <w:tc>
          <w:tcPr>
            <w:tcW w:w="350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3"/>
              </w:rPr>
              <w:t>next whole number of Shares) on each of the first three anniversaries of the Vesting Commencement</w:t>
            </w:r>
          </w:p>
        </w:tc>
      </w:tr>
      <w:tr>
        <w:trPr>
          <w:trHeight w:val="216"/>
        </w:trPr>
        <w:tc>
          <w:tcPr>
            <w:tcW w:w="350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2"/>
              </w:rPr>
              <w:t>Date, so that all of the Shares shall be vested on the third anniversary of the Vesting Commencement</w:t>
            </w:r>
          </w:p>
        </w:tc>
      </w:tr>
      <w:tr>
        <w:trPr>
          <w:trHeight w:val="230"/>
        </w:trPr>
        <w:tc>
          <w:tcPr>
            <w:tcW w:w="3500" w:type="dxa"/>
            <w:vAlign w:val="bottom"/>
          </w:tcPr>
          <w:p>
            <w:pPr>
              <w:spacing w:after="0"/>
              <w:rPr>
                <w:sz w:val="20"/>
                <w:szCs w:val="20"/>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020"/>
          </w:cols>
          <w:pgMar w:left="440" w:top="121" w:right="439" w:bottom="1440" w:gutter="0" w:footer="0" w:header="0"/>
        </w:sectPr>
      </w:pPr>
    </w:p>
    <w:bookmarkStart w:id="39" w:name="page40"/>
    <w:bookmarkEnd w:id="39"/>
    <w:p>
      <w:pPr>
        <w:jc w:val="both"/>
        <w:ind w:right="2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the Participant acknowledge receipt of this Notice of Stock Option Grant and agree to the terms and conditions of the Stock Option Agreement attached hereto and incorporated by reference herein, the Company’s 2021 Inducement Award Plan and the terms of this Notice of Stock Option Grant as set forth above.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GOHEALTH, INC.</w:t>
            </w:r>
          </w:p>
        </w:tc>
        <w:tc>
          <w:tcPr>
            <w:tcW w:w="5660" w:type="dxa"/>
            <w:vAlign w:val="bottom"/>
            <w:gridSpan w:val="2"/>
          </w:tcPr>
          <w:p>
            <w:pPr>
              <w:ind w:left="440"/>
              <w:spacing w:after="0"/>
              <w:rPr>
                <w:sz w:val="20"/>
                <w:szCs w:val="20"/>
                <w:color w:val="auto"/>
              </w:rPr>
            </w:pPr>
            <w:r>
              <w:rPr>
                <w:rFonts w:ascii="Arial" w:cs="Arial" w:eastAsia="Arial" w:hAnsi="Arial"/>
                <w:sz w:val="18"/>
                <w:szCs w:val="18"/>
                <w:b w:val="1"/>
                <w:bCs w:val="1"/>
                <w:color w:val="auto"/>
              </w:rPr>
              <w:t>PARTICIPANT</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4"/>
                <w:szCs w:val="24"/>
                <w:color w:val="auto"/>
              </w:rPr>
            </w:pPr>
          </w:p>
        </w:tc>
        <w:tc>
          <w:tcPr>
            <w:tcW w:w="5660" w:type="dxa"/>
            <w:vAlign w:val="bottom"/>
            <w:gridSpan w:val="2"/>
          </w:tcPr>
          <w:p>
            <w:pPr>
              <w:ind w:left="440"/>
              <w:spacing w:after="0"/>
              <w:rPr>
                <w:sz w:val="20"/>
                <w:szCs w:val="20"/>
                <w:color w:val="auto"/>
              </w:rPr>
            </w:pPr>
            <w:r>
              <w:rPr>
                <w:rFonts w:ascii="Arial" w:cs="Arial" w:eastAsia="Arial" w:hAnsi="Arial"/>
                <w:sz w:val="18"/>
                <w:szCs w:val="18"/>
                <w:color w:val="auto"/>
              </w:rPr>
              <w:t>By:</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jc w:val="right"/>
              <w:ind w:right="4050"/>
              <w:spacing w:after="0"/>
              <w:rPr>
                <w:sz w:val="20"/>
                <w:szCs w:val="20"/>
                <w:color w:val="auto"/>
              </w:rPr>
            </w:pPr>
            <w:r>
              <w:rPr>
                <w:rFonts w:ascii="Arial" w:cs="Arial" w:eastAsia="Arial" w:hAnsi="Arial"/>
                <w:sz w:val="18"/>
                <w:szCs w:val="18"/>
                <w:color w:val="auto"/>
                <w:w w:val="93"/>
              </w:rPr>
              <w:t>[_____]</w:t>
            </w:r>
          </w:p>
        </w:tc>
        <w:tc>
          <w:tcPr>
            <w:tcW w:w="1140" w:type="dxa"/>
            <w:vAlign w:val="bottom"/>
          </w:tcPr>
          <w:p>
            <w:pPr>
              <w:ind w:left="440"/>
              <w:spacing w:after="0"/>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jc w:val="right"/>
              <w:ind w:right="3850"/>
              <w:spacing w:after="0"/>
              <w:rPr>
                <w:sz w:val="20"/>
                <w:szCs w:val="20"/>
                <w:color w:val="auto"/>
              </w:rPr>
            </w:pPr>
            <w:r>
              <w:rPr>
                <w:rFonts w:ascii="Arial" w:cs="Arial" w:eastAsia="Arial" w:hAnsi="Arial"/>
                <w:sz w:val="18"/>
                <w:szCs w:val="18"/>
                <w:color w:val="auto"/>
                <w:w w:val="93"/>
              </w:rPr>
              <w:t>[_____]</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jc w:val="right"/>
              <w:ind w:right="4050"/>
              <w:spacing w:after="0"/>
              <w:rPr>
                <w:sz w:val="20"/>
                <w:szCs w:val="20"/>
                <w:color w:val="auto"/>
              </w:rPr>
            </w:pPr>
            <w:r>
              <w:rPr>
                <w:rFonts w:ascii="Arial" w:cs="Arial" w:eastAsia="Arial" w:hAnsi="Arial"/>
                <w:sz w:val="18"/>
                <w:szCs w:val="18"/>
                <w:color w:val="auto"/>
                <w:w w:val="93"/>
              </w:rPr>
              <w:t>[_____]</w:t>
            </w:r>
          </w:p>
        </w:tc>
        <w:tc>
          <w:tcPr>
            <w:tcW w:w="1140" w:type="dxa"/>
            <w:vAlign w:val="bottom"/>
          </w:tcPr>
          <w:p>
            <w:pPr>
              <w:spacing w:after="0"/>
              <w:rPr>
                <w:sz w:val="20"/>
                <w:szCs w:val="20"/>
                <w:color w:val="auto"/>
              </w:rPr>
            </w:pPr>
          </w:p>
        </w:tc>
        <w:tc>
          <w:tcPr>
            <w:tcW w:w="4520" w:type="dxa"/>
            <w:vAlign w:val="bottom"/>
          </w:tcPr>
          <w:p>
            <w:pPr>
              <w:spacing w:after="0"/>
              <w:rPr>
                <w:sz w:val="20"/>
                <w:szCs w:val="20"/>
                <w:color w:val="auto"/>
              </w:rPr>
            </w:pPr>
          </w:p>
        </w:tc>
      </w:tr>
    </w:tbl>
    <w:p>
      <w:pPr>
        <w:sectPr>
          <w:pgSz w:w="11900" w:h="16838" w:orient="portrait"/>
          <w:cols w:equalWidth="0" w:num="1">
            <w:col w:w="11020"/>
          </w:cols>
          <w:pgMar w:left="440" w:top="274" w:right="4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OPTION AGREEMENT - INCORPORATED TERMS AND CONDITIONS</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b w:val="1"/>
          <w:bCs w:val="1"/>
          <w:i w:val="1"/>
          <w:iCs w:val="1"/>
          <w:color w:val="auto"/>
        </w:rPr>
        <w:t>Grant of Option</w:t>
      </w:r>
      <w:r>
        <w:rPr>
          <w:rFonts w:ascii="Arial" w:cs="Arial" w:eastAsia="Arial" w:hAnsi="Arial"/>
          <w:sz w:val="17"/>
          <w:szCs w:val="17"/>
          <w:color w:val="auto"/>
        </w:rPr>
        <w:t>. GoHealth, Inc. (the “</w:t>
      </w:r>
      <w:r>
        <w:rPr>
          <w:rFonts w:ascii="Arial" w:cs="Arial" w:eastAsia="Arial" w:hAnsi="Arial"/>
          <w:sz w:val="17"/>
          <w:szCs w:val="17"/>
          <w:b w:val="1"/>
          <w:bCs w:val="1"/>
          <w:color w:val="auto"/>
        </w:rPr>
        <w:t>Company</w:t>
      </w:r>
      <w:r>
        <w:rPr>
          <w:rFonts w:ascii="Arial" w:cs="Arial" w:eastAsia="Arial" w:hAnsi="Arial"/>
          <w:sz w:val="17"/>
          <w:szCs w:val="17"/>
          <w:color w:val="auto"/>
        </w:rPr>
        <w:t>”) hereby grants to the Participant (“</w:t>
      </w:r>
      <w:r>
        <w:rPr>
          <w:rFonts w:ascii="Arial" w:cs="Arial" w:eastAsia="Arial" w:hAnsi="Arial"/>
          <w:sz w:val="17"/>
          <w:szCs w:val="17"/>
          <w:b w:val="1"/>
          <w:bCs w:val="1"/>
          <w:color w:val="auto"/>
        </w:rPr>
        <w:t>Participant</w:t>
      </w:r>
      <w:r>
        <w:rPr>
          <w:rFonts w:ascii="Arial" w:cs="Arial" w:eastAsia="Arial" w:hAnsi="Arial"/>
          <w:sz w:val="17"/>
          <w:szCs w:val="17"/>
          <w:color w:val="auto"/>
        </w:rPr>
        <w:t>”) named in the Notice of Stock Option Grant (the “</w:t>
      </w:r>
      <w:r>
        <w:rPr>
          <w:rFonts w:ascii="Arial" w:cs="Arial" w:eastAsia="Arial" w:hAnsi="Arial"/>
          <w:sz w:val="17"/>
          <w:szCs w:val="17"/>
          <w:b w:val="1"/>
          <w:bCs w:val="1"/>
          <w:color w:val="auto"/>
        </w:rPr>
        <w:t>Notice of Stock Option Grant</w:t>
      </w:r>
      <w:r>
        <w:rPr>
          <w:rFonts w:ascii="Arial" w:cs="Arial" w:eastAsia="Arial" w:hAnsi="Arial"/>
          <w:sz w:val="17"/>
          <w:szCs w:val="17"/>
          <w:color w:val="auto"/>
        </w:rPr>
        <w:t>”), for good and valuable consideration, an option (the “</w:t>
      </w:r>
      <w:r>
        <w:rPr>
          <w:rFonts w:ascii="Arial" w:cs="Arial" w:eastAsia="Arial" w:hAnsi="Arial"/>
          <w:sz w:val="17"/>
          <w:szCs w:val="17"/>
          <w:b w:val="1"/>
          <w:bCs w:val="1"/>
          <w:color w:val="auto"/>
        </w:rPr>
        <w:t>Option</w:t>
      </w:r>
      <w:r>
        <w:rPr>
          <w:rFonts w:ascii="Arial" w:cs="Arial" w:eastAsia="Arial" w:hAnsi="Arial"/>
          <w:sz w:val="17"/>
          <w:szCs w:val="17"/>
          <w:color w:val="auto"/>
        </w:rPr>
        <w:t>”) to purchase the number of Shares set forth in the Notice of Stock Option Grant, at the exercise price per Share set forth in the Notice of Stock Option Grant (the “</w:t>
      </w:r>
      <w:r>
        <w:rPr>
          <w:rFonts w:ascii="Arial" w:cs="Arial" w:eastAsia="Arial" w:hAnsi="Arial"/>
          <w:sz w:val="17"/>
          <w:szCs w:val="17"/>
          <w:b w:val="1"/>
          <w:bCs w:val="1"/>
          <w:color w:val="auto"/>
        </w:rPr>
        <w:t>Exercise Price</w:t>
      </w:r>
      <w:r>
        <w:rPr>
          <w:rFonts w:ascii="Arial" w:cs="Arial" w:eastAsia="Arial" w:hAnsi="Arial"/>
          <w:sz w:val="17"/>
          <w:szCs w:val="17"/>
          <w:color w:val="auto"/>
        </w:rPr>
        <w:t>”), effective as of the date of grant set forth in the Notice of Stock Option Grant (the “</w:t>
      </w:r>
      <w:r>
        <w:rPr>
          <w:rFonts w:ascii="Arial" w:cs="Arial" w:eastAsia="Arial" w:hAnsi="Arial"/>
          <w:sz w:val="17"/>
          <w:szCs w:val="17"/>
          <w:b w:val="1"/>
          <w:bCs w:val="1"/>
          <w:color w:val="auto"/>
        </w:rPr>
        <w:t>Date of Grant</w:t>
      </w:r>
      <w:r>
        <w:rPr>
          <w:rFonts w:ascii="Arial" w:cs="Arial" w:eastAsia="Arial" w:hAnsi="Arial"/>
          <w:sz w:val="17"/>
          <w:szCs w:val="17"/>
          <w:color w:val="auto"/>
        </w:rPr>
        <w:t>”) and subject to the terms and conditions of the Company’s 2021 Inducement Award Plan (the “</w:t>
      </w:r>
      <w:r>
        <w:rPr>
          <w:rFonts w:ascii="Arial" w:cs="Arial" w:eastAsia="Arial" w:hAnsi="Arial"/>
          <w:sz w:val="17"/>
          <w:szCs w:val="17"/>
          <w:b w:val="1"/>
          <w:bCs w:val="1"/>
          <w:color w:val="auto"/>
        </w:rPr>
        <w:t>Plan</w:t>
      </w:r>
      <w:r>
        <w:rPr>
          <w:rFonts w:ascii="Arial" w:cs="Arial" w:eastAsia="Arial" w:hAnsi="Arial"/>
          <w:sz w:val="17"/>
          <w:szCs w:val="17"/>
          <w:color w:val="auto"/>
        </w:rPr>
        <w:t>”), which is incorporated herein by reference, and this Option Agreement. The Option shall be a Nonstatutory Stock Option and is intended to constitute an “employment inducement” award under Nasdaq Stock Market (“</w:t>
      </w:r>
      <w:r>
        <w:rPr>
          <w:rFonts w:ascii="Arial" w:cs="Arial" w:eastAsia="Arial" w:hAnsi="Arial"/>
          <w:sz w:val="17"/>
          <w:szCs w:val="17"/>
          <w:u w:val="single" w:color="auto"/>
          <w:color w:val="auto"/>
        </w:rPr>
        <w:t>Nasdaq</w:t>
      </w:r>
      <w:r>
        <w:rPr>
          <w:rFonts w:ascii="Arial" w:cs="Arial" w:eastAsia="Arial" w:hAnsi="Arial"/>
          <w:sz w:val="17"/>
          <w:szCs w:val="17"/>
          <w:color w:val="auto"/>
        </w:rPr>
        <w:t>”) Rule 5635(c)(4), and consequently is intended to be exemptfrom the Nasdaq rules regarding shareholder approval of stock option plans or other equity compensation arrangements. Subject to Sections 10.6 and 12.1 of the Plan, in the event of a conflict between the terms and conditions of the Plan and this Option Agreement, the terms and conditions of the Plan shall prevail.</w:t>
      </w:r>
    </w:p>
    <w:p>
      <w:pPr>
        <w:spacing w:after="0" w:line="178"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Unless otherwise defined herein or in the Notice of Stock Option Grant, the terms defined in the Plan shall have the same defined meanings in this Stock Option Agreement (the “</w:t>
      </w:r>
      <w:r>
        <w:rPr>
          <w:rFonts w:ascii="Arial" w:cs="Arial" w:eastAsia="Arial" w:hAnsi="Arial"/>
          <w:sz w:val="18"/>
          <w:szCs w:val="18"/>
          <w:b w:val="1"/>
          <w:bCs w:val="1"/>
          <w:color w:val="auto"/>
        </w:rPr>
        <w:t>Option Agreement</w:t>
      </w:r>
      <w:r>
        <w:rPr>
          <w:rFonts w:ascii="Arial" w:cs="Arial" w:eastAsia="Arial" w:hAnsi="Arial"/>
          <w:sz w:val="18"/>
          <w:szCs w:val="18"/>
          <w:color w:val="auto"/>
        </w:rPr>
        <w: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i w:val="1"/>
          <w:iCs w:val="1"/>
          <w:color w:val="auto"/>
        </w:rPr>
        <w:t>Termination Period.</w:t>
      </w:r>
    </w:p>
    <w:p>
      <w:pPr>
        <w:spacing w:after="0" w:line="225"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This Option shall be exercisable for three (3) months after Participant’s Termination of Service, unless such termination is due to Participant’s death or Disability, in which case this Option shall be exercisable for twelve (12) months after Participant’s Termination of Service, or such termination is by the Company for Cause, in which case the Option shall cease to be exercisable on the date of such Termination of Service. Notwithstanding the foregoing sentence, in no event may this Option be exercised after the Expiration Date as set forth in the Notice of Stock Option Grant and this Option may be subject to earlier termination as provided in Section 10.6 of the Plan.</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Exercise of Option</w:t>
      </w:r>
      <w:r>
        <w:rPr>
          <w:rFonts w:ascii="Arial" w:cs="Arial" w:eastAsia="Arial" w:hAnsi="Arial"/>
          <w:sz w:val="18"/>
          <w:szCs w:val="18"/>
          <w:color w:val="auto"/>
        </w:rPr>
        <w:t>.</w:t>
      </w:r>
    </w:p>
    <w:p>
      <w:pPr>
        <w:spacing w:after="0" w:line="117" w:lineRule="exact"/>
        <w:rPr>
          <w:sz w:val="20"/>
          <w:szCs w:val="20"/>
          <w:color w:val="auto"/>
        </w:rPr>
      </w:pPr>
    </w:p>
    <w:p>
      <w:pPr>
        <w:ind w:right="340" w:firstLine="987"/>
        <w:spacing w:after="0" w:line="277" w:lineRule="auto"/>
        <w:tabs>
          <w:tab w:leader="none" w:pos="124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This Option shall be exercisable during its term in accordance with the Vesting Schedule set out in the Notice of Stock Option Grant and with the applicable provisions of the Plan and this Option Agreement.</w:t>
      </w:r>
    </w:p>
    <w:p>
      <w:pPr>
        <w:spacing w:after="0" w:line="62" w:lineRule="exact"/>
        <w:rPr>
          <w:rFonts w:ascii="Arial" w:cs="Arial" w:eastAsia="Arial" w:hAnsi="Arial"/>
          <w:sz w:val="18"/>
          <w:szCs w:val="18"/>
          <w:color w:val="auto"/>
        </w:rPr>
      </w:pPr>
    </w:p>
    <w:p>
      <w:pPr>
        <w:ind w:right="140" w:firstLine="987"/>
        <w:spacing w:after="0" w:line="259" w:lineRule="auto"/>
        <w:tabs>
          <w:tab w:leader="none" w:pos="124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Duration of Exercisability</w:t>
      </w:r>
      <w:r>
        <w:rPr>
          <w:rFonts w:ascii="Arial" w:cs="Arial" w:eastAsia="Arial" w:hAnsi="Arial"/>
          <w:sz w:val="18"/>
          <w:szCs w:val="18"/>
          <w:color w:val="auto"/>
        </w:rPr>
        <w:t>. Unless otherwise determined by the Administrator, any portion of this Option that has not become vested and exercisable on or prior to the date of Participant’s Termination of Service (including, without limitation, pursuant to any employment or similar agreement by and between Participant and the Company) shall be forfeited on such date of Participant’s Termination of Service and shall not thereafter become vested or exercisable.</w:t>
      </w:r>
    </w:p>
    <w:p>
      <w:pPr>
        <w:sectPr>
          <w:pgSz w:w="11900" w:h="16838" w:orient="portrait"/>
          <w:cols w:equalWidth="0" w:num="1">
            <w:col w:w="11000"/>
          </w:cols>
          <w:pgMar w:left="440" w:top="270" w:right="459" w:bottom="1440" w:gutter="0" w:footer="0" w:header="0"/>
        </w:sectPr>
      </w:pPr>
    </w:p>
    <w:bookmarkStart w:id="41" w:name="page42"/>
    <w:bookmarkEnd w:id="41"/>
    <w:p>
      <w:pPr>
        <w:ind w:right="20" w:firstLine="987"/>
        <w:spacing w:after="0" w:line="272" w:lineRule="auto"/>
        <w:tabs>
          <w:tab w:leader="none" w:pos="1246"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Method of Exercise</w:t>
      </w:r>
      <w:r>
        <w:rPr>
          <w:rFonts w:ascii="Arial" w:cs="Arial" w:eastAsia="Arial" w:hAnsi="Arial"/>
          <w:sz w:val="17"/>
          <w:szCs w:val="17"/>
          <w:color w:val="auto"/>
        </w:rPr>
        <w:t xml:space="preserve">. This Option shall be exercisable by delivery of an exercise notice in the form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Exercise</w:t>
      </w:r>
      <w:r>
        <w:rPr>
          <w:rFonts w:ascii="Arial" w:cs="Arial" w:eastAsia="Arial" w:hAnsi="Arial"/>
          <w:sz w:val="17"/>
          <w:szCs w:val="17"/>
          <w:color w:val="auto"/>
        </w:rPr>
        <w:t xml:space="preserve"> </w:t>
      </w:r>
      <w:r>
        <w:rPr>
          <w:rFonts w:ascii="Arial" w:cs="Arial" w:eastAsia="Arial" w:hAnsi="Arial"/>
          <w:sz w:val="17"/>
          <w:szCs w:val="17"/>
          <w:b w:val="1"/>
          <w:bCs w:val="1"/>
          <w:color w:val="auto"/>
        </w:rPr>
        <w:t>Notice</w:t>
      </w:r>
      <w:r>
        <w:rPr>
          <w:rFonts w:ascii="Arial" w:cs="Arial" w:eastAsia="Arial" w:hAnsi="Arial"/>
          <w:sz w:val="17"/>
          <w:szCs w:val="17"/>
          <w:color w:val="auto"/>
        </w:rPr>
        <w:t>”) or in a manner and pursuant to such procedures as the Administrator may determine, which shall state the election to exercise the Option,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with respect to which the Option is being exercised (the “</w:t>
      </w:r>
      <w:r>
        <w:rPr>
          <w:rFonts w:ascii="Arial" w:cs="Arial" w:eastAsia="Arial" w:hAnsi="Arial"/>
          <w:sz w:val="17"/>
          <w:szCs w:val="17"/>
          <w:b w:val="1"/>
          <w:bCs w:val="1"/>
          <w:color w:val="auto"/>
        </w:rPr>
        <w:t>Exercised Shares</w:t>
      </w:r>
      <w:r>
        <w:rPr>
          <w:rFonts w:ascii="Arial" w:cs="Arial" w:eastAsia="Arial" w:hAnsi="Arial"/>
          <w:sz w:val="17"/>
          <w:szCs w:val="17"/>
          <w:color w:val="auto"/>
        </w:rPr>
        <w:t>”), and such other representations and agreements as may be required by the Company. The Exercise Notice shall be accompanied by payment of the aggregate Exercise Price as to all Exercised Shares, together with any applicable tax withholding. In the event this Option shall be exercised pursuant to the terms of the Plan by any person or persons other than Participant, appropriate proof of the right of such person or persons to exercise this Option shall also be required, as determined in the sole discretion of the Administrator. This Option shall be deemed to be exercised upon receipt by the Company of such fully executed Exercise Notice accompanied by the aggregate Exercise Price, together with any applicable tax withholding.</w:t>
      </w:r>
    </w:p>
    <w:p>
      <w:pPr>
        <w:spacing w:after="0" w:line="68" w:lineRule="exact"/>
        <w:rPr>
          <w:sz w:val="20"/>
          <w:szCs w:val="20"/>
          <w:color w:val="auto"/>
        </w:rPr>
      </w:pPr>
    </w:p>
    <w:p>
      <w:pPr>
        <w:ind w:right="360" w:firstLine="991"/>
        <w:spacing w:after="0" w:line="263" w:lineRule="auto"/>
        <w:rPr>
          <w:sz w:val="20"/>
          <w:szCs w:val="20"/>
          <w:color w:val="auto"/>
        </w:rPr>
      </w:pPr>
      <w:r>
        <w:rPr>
          <w:rFonts w:ascii="Arial" w:cs="Arial" w:eastAsia="Arial" w:hAnsi="Arial"/>
          <w:sz w:val="18"/>
          <w:szCs w:val="18"/>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b w:val="1"/>
          <w:bCs w:val="1"/>
          <w:i w:val="1"/>
          <w:iCs w:val="1"/>
          <w:color w:val="auto"/>
        </w:rPr>
        <w:t>Method of Payment</w:t>
      </w:r>
      <w:r>
        <w:rPr>
          <w:rFonts w:ascii="Arial" w:cs="Arial" w:eastAsia="Arial" w:hAnsi="Arial"/>
          <w:sz w:val="16"/>
          <w:szCs w:val="16"/>
          <w:color w:val="auto"/>
        </w:rPr>
        <w:t>. Payment of the Exercise Price shall be by any of the following, or a combination thereof, at the election of the Participant:</w:t>
      </w:r>
    </w:p>
    <w:p>
      <w:pPr>
        <w:spacing w:after="0" w:line="140" w:lineRule="exact"/>
        <w:rPr>
          <w:sz w:val="20"/>
          <w:szCs w:val="20"/>
          <w:color w:val="auto"/>
        </w:rPr>
      </w:pPr>
    </w:p>
    <w:p>
      <w:pPr>
        <w:ind w:left="1240" w:hanging="253"/>
        <w:spacing w:after="0"/>
        <w:tabs>
          <w:tab w:leader="none" w:pos="12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cash;</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check;</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consideration received by the Company under a formal cashless exercise program adopted by the Company (whether through a broker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otherwise);</w:t>
      </w:r>
    </w:p>
    <w:p>
      <w:pPr>
        <w:spacing w:after="0" w:line="102" w:lineRule="exact"/>
        <w:rPr>
          <w:rFonts w:ascii="Arial" w:cs="Arial" w:eastAsia="Arial" w:hAnsi="Arial"/>
          <w:sz w:val="16"/>
          <w:szCs w:val="16"/>
          <w:color w:val="auto"/>
        </w:rPr>
      </w:pPr>
    </w:p>
    <w:p>
      <w:pPr>
        <w:ind w:right="120" w:firstLine="987"/>
        <w:spacing w:after="0" w:line="259" w:lineRule="auto"/>
        <w:tabs>
          <w:tab w:leader="none" w:pos="1246" w:val="left"/>
        </w:tabs>
        <w:numPr>
          <w:ilvl w:val="1"/>
          <w:numId w:val="32"/>
        </w:numPr>
        <w:rPr>
          <w:rFonts w:ascii="Arial" w:cs="Arial" w:eastAsia="Arial" w:hAnsi="Arial"/>
          <w:sz w:val="18"/>
          <w:szCs w:val="18"/>
          <w:color w:val="auto"/>
        </w:rPr>
      </w:pPr>
      <w:r>
        <w:rPr>
          <w:rFonts w:ascii="Arial" w:cs="Arial" w:eastAsia="Arial" w:hAnsi="Arial"/>
          <w:sz w:val="18"/>
          <w:szCs w:val="18"/>
          <w:color w:val="auto"/>
        </w:rPr>
        <w:t>with the consent of the Administrator, surrender of other Shares which (i) shall be valued at their Fair Market Value on the date of exercise, which Fair Market Value must be equal to the aggregate exercise price of the Shares as to which this Option will be exercised and (ii) must be owned free and clear of any liens, claims, encumbrances or security interests, if accepting such Shares, in the sole discretion of the Administrator, shall not result in any adverse accounting consequences to the Company;</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with the consent of the Administrator, by net exercise of vested Shares otherwise issuable upon exercise of this Option; or</w:t>
      </w:r>
    </w:p>
    <w:p>
      <w:pPr>
        <w:spacing w:after="0" w:line="117" w:lineRule="exact"/>
        <w:rPr>
          <w:rFonts w:ascii="Arial" w:cs="Arial" w:eastAsia="Arial" w:hAnsi="Arial"/>
          <w:sz w:val="18"/>
          <w:szCs w:val="18"/>
          <w:color w:val="auto"/>
        </w:rPr>
      </w:pPr>
    </w:p>
    <w:p>
      <w:pPr>
        <w:ind w:right="720" w:firstLine="987"/>
        <w:spacing w:after="0" w:line="277" w:lineRule="auto"/>
        <w:tabs>
          <w:tab w:leader="none" w:pos="1246" w:val="left"/>
        </w:tabs>
        <w:numPr>
          <w:ilvl w:val="1"/>
          <w:numId w:val="32"/>
        </w:numPr>
        <w:rPr>
          <w:rFonts w:ascii="Arial" w:cs="Arial" w:eastAsia="Arial" w:hAnsi="Arial"/>
          <w:sz w:val="18"/>
          <w:szCs w:val="18"/>
          <w:color w:val="auto"/>
        </w:rPr>
      </w:pPr>
      <w:r>
        <w:rPr>
          <w:rFonts w:ascii="Arial" w:cs="Arial" w:eastAsia="Arial" w:hAnsi="Arial"/>
          <w:sz w:val="18"/>
          <w:szCs w:val="18"/>
          <w:color w:val="auto"/>
        </w:rPr>
        <w:t>with the consent of the Administrator, any other consideration and method of payment for the issuance of Shares to the extent permitted by Applicable Laws.</w:t>
      </w:r>
    </w:p>
    <w:p>
      <w:pPr>
        <w:spacing w:after="0" w:line="62" w:lineRule="exact"/>
        <w:rPr>
          <w:rFonts w:ascii="Arial" w:cs="Arial" w:eastAsia="Arial" w:hAnsi="Arial"/>
          <w:sz w:val="18"/>
          <w:szCs w:val="18"/>
          <w:color w:val="auto"/>
        </w:rPr>
      </w:pPr>
    </w:p>
    <w:p>
      <w:pPr>
        <w:ind w:left="640" w:hanging="204"/>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Non-Transferability of Option</w:t>
      </w:r>
      <w:r>
        <w:rPr>
          <w:rFonts w:ascii="Arial" w:cs="Arial" w:eastAsia="Arial" w:hAnsi="Arial"/>
          <w:sz w:val="17"/>
          <w:szCs w:val="17"/>
          <w:color w:val="auto"/>
        </w:rPr>
        <w:t>. This Option may not be transferred in any manner otherwise than by will or by the laws of descent or</w:t>
      </w:r>
    </w:p>
    <w:p>
      <w:pPr>
        <w:spacing w:after="0" w:line="34" w:lineRule="exact"/>
        <w:rPr>
          <w:rFonts w:ascii="Arial" w:cs="Arial" w:eastAsia="Arial" w:hAnsi="Arial"/>
          <w:sz w:val="17"/>
          <w:szCs w:val="17"/>
          <w:color w:val="auto"/>
        </w:rPr>
      </w:pPr>
    </w:p>
    <w:p>
      <w:pPr>
        <w:jc w:val="both"/>
        <w:ind w:right="100"/>
        <w:spacing w:after="0" w:line="255" w:lineRule="auto"/>
        <w:rPr>
          <w:rFonts w:ascii="Arial" w:cs="Arial" w:eastAsia="Arial" w:hAnsi="Arial"/>
          <w:sz w:val="17"/>
          <w:szCs w:val="17"/>
          <w:color w:val="auto"/>
        </w:rPr>
      </w:pPr>
      <w:r>
        <w:rPr>
          <w:rFonts w:ascii="Arial" w:cs="Arial" w:eastAsia="Arial" w:hAnsi="Arial"/>
          <w:sz w:val="18"/>
          <w:szCs w:val="18"/>
          <w:color w:val="auto"/>
        </w:rPr>
        <w:t>distribution or, subject to the consent of the Administrator, pursuant to a DRO, unless and until the Shares underlying this Option have been issued, and all restrictions applicable to such Shares have lapsed. This Option may be exercised during the lifetime of Participant only by Participant. The terms of the Plan and this Option</w:t>
      </w:r>
    </w:p>
    <w:p>
      <w:pPr>
        <w:sectPr>
          <w:pgSz w:w="11900" w:h="16838" w:orient="portrait"/>
          <w:cols w:equalWidth="0" w:num="1">
            <w:col w:w="11000"/>
          </w:cols>
          <w:pgMar w:left="440" w:top="270" w:right="459" w:bottom="1440" w:gutter="0" w:footer="0" w:header="0"/>
        </w:sectPr>
      </w:pPr>
    </w:p>
    <w:bookmarkStart w:id="42" w:name="page43"/>
    <w:bookmarkEnd w:id="42"/>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 shall be binding upon the executors, administrators, heirs, successors and assigns of Participant. Neither this Option nor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this </w:t>
      </w:r>
      <w:r>
        <w:rPr>
          <w:rFonts w:ascii="Arial" w:cs="Arial" w:eastAsia="Arial" w:hAnsi="Arial"/>
          <w:sz w:val="17"/>
          <w:szCs w:val="17"/>
          <w:u w:val="single" w:color="auto"/>
          <w:color w:val="auto"/>
        </w:rPr>
        <w:t>Section (E)</w:t>
      </w:r>
      <w:r>
        <w:rPr>
          <w:rFonts w:ascii="Arial" w:cs="Arial" w:eastAsia="Arial" w:hAnsi="Arial"/>
          <w:sz w:val="17"/>
          <w:szCs w:val="17"/>
          <w:color w:val="auto"/>
        </w:rPr>
        <w:t>. Notwithstanding the foregoing, with the consent of the Administrator, the Option may be transferred pursuant to Participant’s Permitted Transferees pursuant to any conditions and procedures the Administrator may require.</w:t>
      </w:r>
    </w:p>
    <w:p>
      <w:pPr>
        <w:spacing w:after="0" w:line="69"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i w:val="1"/>
          <w:iCs w:val="1"/>
          <w:color w:val="auto"/>
        </w:rPr>
        <w:t>Term of Option</w:t>
      </w:r>
      <w:r>
        <w:rPr>
          <w:rFonts w:ascii="Arial" w:cs="Arial" w:eastAsia="Arial" w:hAnsi="Arial"/>
          <w:sz w:val="18"/>
          <w:szCs w:val="18"/>
          <w:color w:val="auto"/>
        </w:rPr>
        <w:t>. This Option may be exercised only within the term set out in the Notice of Stock Option Grant, and may be exercised during such term only in accordance with the Plan and the terms of this Option Agreement. Once this Option becomes unexercisable under this Option Agreement, it shall be forfeited immediately.</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b w:val="1"/>
          <w:bCs w:val="1"/>
          <w:i w:val="1"/>
          <w:iCs w:val="1"/>
          <w:color w:val="auto"/>
        </w:rPr>
        <w:t>Tax Obligations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7" w:lineRule="auto"/>
        <w:tabs>
          <w:tab w:leader="none" w:pos="124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(or the Affiliate employing or retaining Participant) has the authority to deduct or withhold, or require Participant to remit to the applicable employing entity, an amount sufficient to satisfy any applicable Federal, state, local and foreign income and employment tax withholding requirements (including the employee portion of any FICA obligation) applicable to the exercise of this Option or with respect to any taxable event arising pursuant to this Option Agreement. The Company (or its Affiliate) may withhold or Participant may make such payment in one or more of the following forms:</w:t>
      </w:r>
    </w:p>
    <w:p>
      <w:pPr>
        <w:spacing w:after="0" w:line="79" w:lineRule="exact"/>
        <w:rPr>
          <w:rFonts w:ascii="Arial" w:cs="Arial" w:eastAsia="Arial" w:hAnsi="Arial"/>
          <w:sz w:val="18"/>
          <w:szCs w:val="18"/>
          <w:color w:val="auto"/>
        </w:rPr>
      </w:pPr>
    </w:p>
    <w:p>
      <w:pPr>
        <w:ind w:left="1600" w:hanging="212"/>
        <w:spacing w:after="0"/>
        <w:tabs>
          <w:tab w:leader="none" w:pos="1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by cash or check;</w:t>
      </w:r>
    </w:p>
    <w:p>
      <w:pPr>
        <w:spacing w:after="0" w:line="117" w:lineRule="exact"/>
        <w:rPr>
          <w:rFonts w:ascii="Arial" w:cs="Arial" w:eastAsia="Arial" w:hAnsi="Arial"/>
          <w:sz w:val="18"/>
          <w:szCs w:val="18"/>
          <w:color w:val="auto"/>
        </w:rPr>
      </w:pPr>
    </w:p>
    <w:p>
      <w:pPr>
        <w:jc w:val="both"/>
        <w:ind w:left="980" w:right="80" w:firstLine="408"/>
        <w:spacing w:after="0" w:line="279" w:lineRule="auto"/>
        <w:tabs>
          <w:tab w:leader="none" w:pos="1646" w:val="left"/>
        </w:tabs>
        <w:numPr>
          <w:ilvl w:val="1"/>
          <w:numId w:val="34"/>
        </w:numPr>
        <w:rPr>
          <w:rFonts w:ascii="Arial" w:cs="Arial" w:eastAsia="Arial" w:hAnsi="Arial"/>
          <w:sz w:val="17"/>
          <w:szCs w:val="17"/>
          <w:color w:val="auto"/>
        </w:rPr>
      </w:pPr>
      <w:r>
        <w:rPr>
          <w:rFonts w:ascii="Arial" w:cs="Arial" w:eastAsia="Arial" w:hAnsi="Arial"/>
          <w:sz w:val="17"/>
          <w:szCs w:val="17"/>
          <w:color w:val="auto"/>
        </w:rPr>
        <w:t>with the consent of the Administrator, by electing to have withheld the net number of vested Shares otherwise issuable upon the exercise of this Option having a then current Fair Market Value not exceeding the amount necessary to satisfy the withholding obligation of the Company (or its Affiliate) based on the maximum statutory withholding rates in Participant’s applicable jurisdictions for federal, state, local and foreign income tax and payroll tax purposes that are applicable to such taxable income;</w:t>
      </w:r>
    </w:p>
    <w:p>
      <w:pPr>
        <w:spacing w:after="0" w:line="63" w:lineRule="exact"/>
        <w:rPr>
          <w:rFonts w:ascii="Arial" w:cs="Arial" w:eastAsia="Arial" w:hAnsi="Arial"/>
          <w:sz w:val="17"/>
          <w:szCs w:val="17"/>
          <w:color w:val="auto"/>
        </w:rPr>
      </w:pPr>
    </w:p>
    <w:p>
      <w:pPr>
        <w:ind w:left="980" w:right="100" w:firstLine="408"/>
        <w:spacing w:after="0" w:line="257" w:lineRule="auto"/>
        <w:tabs>
          <w:tab w:leader="none" w:pos="1696" w:val="left"/>
        </w:tabs>
        <w:numPr>
          <w:ilvl w:val="1"/>
          <w:numId w:val="34"/>
        </w:numPr>
        <w:rPr>
          <w:rFonts w:ascii="Arial" w:cs="Arial" w:eastAsia="Arial" w:hAnsi="Arial"/>
          <w:sz w:val="18"/>
          <w:szCs w:val="18"/>
          <w:color w:val="auto"/>
        </w:rPr>
      </w:pPr>
      <w:r>
        <w:rPr>
          <w:rFonts w:ascii="Arial" w:cs="Arial" w:eastAsia="Arial" w:hAnsi="Arial"/>
          <w:sz w:val="18"/>
          <w:szCs w:val="18"/>
          <w:color w:val="auto"/>
        </w:rPr>
        <w:t>with the consent of the Administrator, by tendering to the Company vested Shares held for such period of time as may be required by the Administrator in order to avoid adverse accounting consequences and having a then current Fair Market Value not exceeding the amount necessary to satisfy the withholding obligation of the Company (or its Affiliate) based on the maximum statutory withholding rates in Participant’s applicable jurisdictions for federal, state, local and foreign income tax and payroll tax purposes that are applicable to such taxable income; or</w:t>
      </w:r>
    </w:p>
    <w:p>
      <w:pPr>
        <w:sectPr>
          <w:pgSz w:w="11900" w:h="16838" w:orient="portrait"/>
          <w:cols w:equalWidth="0" w:num="1">
            <w:col w:w="10940"/>
          </w:cols>
          <w:pgMar w:left="440" w:top="274" w:right="519" w:bottom="1440" w:gutter="0" w:footer="0" w:header="0"/>
        </w:sectPr>
      </w:pPr>
    </w:p>
    <w:bookmarkStart w:id="43" w:name="page44"/>
    <w:bookmarkEnd w:id="43"/>
    <w:p>
      <w:pPr>
        <w:ind w:left="980" w:right="80" w:firstLine="408"/>
        <w:spacing w:after="0" w:line="263" w:lineRule="auto"/>
        <w:tabs>
          <w:tab w:leader="none" w:pos="1686"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the consent of the Administrator, by selling a sufficient number of Shares otherwise deliverable to Participant through such means as the Administrator may determine in its sole discretion (whether through a broker or otherwise) equal to the amount required to satisfy such withholding taxes.</w:t>
      </w:r>
    </w:p>
    <w:p>
      <w:pPr>
        <w:spacing w:after="0" w:line="184" w:lineRule="exact"/>
        <w:rPr>
          <w:sz w:val="20"/>
          <w:szCs w:val="20"/>
          <w:color w:val="auto"/>
        </w:rPr>
      </w:pPr>
    </w:p>
    <w:p>
      <w:pPr>
        <w:ind w:right="280" w:firstLine="1432"/>
        <w:spacing w:after="0" w:line="277" w:lineRule="auto"/>
        <w:rPr>
          <w:sz w:val="20"/>
          <w:szCs w:val="20"/>
          <w:color w:val="auto"/>
        </w:rPr>
      </w:pPr>
      <w:r>
        <w:rPr>
          <w:rFonts w:ascii="Arial" w:cs="Arial" w:eastAsia="Arial" w:hAnsi="Arial"/>
          <w:sz w:val="18"/>
          <w:szCs w:val="18"/>
          <w:color w:val="auto"/>
        </w:rPr>
        <w:t>Participant acknowledges and agrees that the Company may refuse to honor the exercise and refuse to deliver the Shares issuable upon exercise of this Option if such withholding amounts are not delivered in full at the time of exercise.</w:t>
      </w:r>
    </w:p>
    <w:p>
      <w:pPr>
        <w:spacing w:after="0" w:line="62" w:lineRule="exact"/>
        <w:rPr>
          <w:sz w:val="20"/>
          <w:szCs w:val="20"/>
          <w:color w:val="auto"/>
        </w:rPr>
      </w:pPr>
    </w:p>
    <w:p>
      <w:pPr>
        <w:ind w:firstLine="987"/>
        <w:spacing w:after="0" w:line="254" w:lineRule="auto"/>
        <w:tabs>
          <w:tab w:leader="none" w:pos="1246"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This Option is not intended to constitute “nonqualified deferred compensation” within the meaning of Code Section 409A. However, notwithstanding any other provision of the Plan or this Option Agreement, if at any time the Administrator determines that this Option (or any portion thereof) may be subject to Code Section 409A, the Administrator shall have the right in its sole discretion (without any obligation to do so or to indemnify Participant or any other Person for failure to do so) to adopt such amendments to the Plan or this Option Agreement, or adopt other policies and procedures (including amendments, policies and procedures with retroactive effect), or take any other actions, as the Administrator determines are necessary or appropriate for this Option either to be exempt from the application of Code Section 409A or to comply with the requirements of Code Section 409A.</w:t>
      </w:r>
    </w:p>
    <w:p>
      <w:pPr>
        <w:spacing w:after="0" w:line="86" w:lineRule="exact"/>
        <w:rPr>
          <w:rFonts w:ascii="Arial" w:cs="Arial" w:eastAsia="Arial" w:hAnsi="Arial"/>
          <w:sz w:val="18"/>
          <w:szCs w:val="18"/>
          <w:color w:val="auto"/>
        </w:rPr>
      </w:pPr>
    </w:p>
    <w:p>
      <w:pPr>
        <w:ind w:right="80" w:firstLine="987"/>
        <w:spacing w:after="0" w:line="257" w:lineRule="auto"/>
        <w:tabs>
          <w:tab w:leader="none" w:pos="1246"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Liability</w:t>
      </w:r>
      <w:r>
        <w:rPr>
          <w:rFonts w:ascii="Arial" w:cs="Arial" w:eastAsia="Arial" w:hAnsi="Arial"/>
          <w:sz w:val="18"/>
          <w:szCs w:val="18"/>
          <w:color w:val="auto"/>
        </w:rPr>
        <w:t>. Participant is ultimately liable and responsible for all taxes owed in connection with this Option, regardless of any action the Company or any of its Affiliates takes with respect to any tax withholding obligations that arise in connection with this Option. Neither the Company nor any of its Affiliates makes any representation or undertaking regarding the treatment of any tax withholding in connection with the awarding, vesting or exercise of this Option or the subsequent sale of Shares. The Company and its Affiliates do not commit and are under no obligation to structure the Option to reduce or eliminate Participant’s tax liability.</w:t>
      </w:r>
    </w:p>
    <w:p>
      <w:pPr>
        <w:spacing w:after="0" w:line="79" w:lineRule="exact"/>
        <w:rPr>
          <w:rFonts w:ascii="Arial" w:cs="Arial" w:eastAsia="Arial" w:hAnsi="Arial"/>
          <w:sz w:val="18"/>
          <w:szCs w:val="18"/>
          <w:color w:val="auto"/>
        </w:rPr>
      </w:pPr>
    </w:p>
    <w:p>
      <w:pPr>
        <w:ind w:firstLine="436"/>
        <w:spacing w:after="0" w:line="290"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Restrictive Covenants; Forfeiture</w:t>
      </w:r>
      <w:r>
        <w:rPr>
          <w:rFonts w:ascii="Arial" w:cs="Arial" w:eastAsia="Arial" w:hAnsi="Arial"/>
          <w:sz w:val="16"/>
          <w:szCs w:val="16"/>
          <w:color w:val="auto"/>
        </w:rPr>
        <w:t>. Notwithstanding anything contained in this Agreement to the contrary, in the event the Participant breaches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restrictive covenant set forth in the Non-Disclosure, Invention Assignment, Non-Competition Agreement and Non-Solicitation Agreement or the Confidentiality, Non-Competition, and Non-Solicitation Agreement, as applicable, or any other written agreement between the Participant and the Company or any Affiliate of the Company, in addition to any other damages available at law or in equity, then (i) any portion of this Option that has not been exercised prior to the date of such breach shall thereupon be forfeited and (ii) the Participant shall be required to pay to the Company the amount of all Option Gain (as defined below). “</w:t>
      </w:r>
      <w:r>
        <w:rPr>
          <w:rFonts w:ascii="Arial" w:cs="Arial" w:eastAsia="Arial" w:hAnsi="Arial"/>
          <w:sz w:val="16"/>
          <w:szCs w:val="16"/>
          <w:b w:val="1"/>
          <w:bCs w:val="1"/>
          <w:i w:val="1"/>
          <w:iCs w:val="1"/>
          <w:color w:val="auto"/>
        </w:rPr>
        <w:t>Option Gain</w:t>
      </w:r>
      <w:r>
        <w:rPr>
          <w:rFonts w:ascii="Arial" w:cs="Arial" w:eastAsia="Arial" w:hAnsi="Arial"/>
          <w:sz w:val="16"/>
          <w:szCs w:val="16"/>
          <w:color w:val="auto"/>
        </w:rPr>
        <w:t>” with respect to any specified period of time shall mean the product of (i) the number of shares of Common Stock purchased upon the exercise of this Option during such period and (ii) the excess of (A) the Fair Market Value per share of Common Stock as of the date of such exercise over (B) the exercise price per share of Common Stock subject to such Options.</w:t>
      </w:r>
    </w:p>
    <w:p>
      <w:pPr>
        <w:spacing w:after="0" w:line="57" w:lineRule="exact"/>
        <w:rPr>
          <w:rFonts w:ascii="Arial" w:cs="Arial" w:eastAsia="Arial" w:hAnsi="Arial"/>
          <w:sz w:val="16"/>
          <w:szCs w:val="16"/>
          <w:color w:val="auto"/>
        </w:rPr>
      </w:pPr>
    </w:p>
    <w:p>
      <w:pPr>
        <w:ind w:right="60" w:firstLine="436"/>
        <w:spacing w:after="0" w:line="257" w:lineRule="auto"/>
        <w:tabs>
          <w:tab w:leader="none" w:pos="59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Entire Agreement; Governing Law</w:t>
      </w:r>
      <w:r>
        <w:rPr>
          <w:rFonts w:ascii="Arial" w:cs="Arial" w:eastAsia="Arial" w:hAnsi="Arial"/>
          <w:sz w:val="18"/>
          <w:szCs w:val="18"/>
          <w:color w:val="auto"/>
        </w:rPr>
        <w:t>. The Plan is incorporated herein by reference. The Plan and this Option Agreement constitute the entire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or as is otherwise permitted under the Plan. This Option Agreement is governed by the internal substantive laws but not the choice of law rules of Delaware.</w:t>
      </w:r>
    </w:p>
    <w:p>
      <w:pPr>
        <w:sectPr>
          <w:pgSz w:w="11900" w:h="16838" w:orient="portrait"/>
          <w:cols w:equalWidth="0" w:num="1">
            <w:col w:w="11000"/>
          </w:cols>
          <w:pgMar w:left="440" w:top="274" w:right="459" w:bottom="1440" w:gutter="0" w:footer="0" w:header="0"/>
        </w:sectPr>
      </w:pPr>
    </w:p>
    <w:bookmarkStart w:id="44" w:name="page45"/>
    <w:bookmarkEnd w:id="44"/>
    <w:p>
      <w:pPr>
        <w:ind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J. </w:t>
      </w:r>
      <w:r>
        <w:rPr>
          <w:rFonts w:ascii="Arial" w:cs="Arial" w:eastAsia="Arial" w:hAnsi="Arial"/>
          <w:sz w:val="18"/>
          <w:szCs w:val="18"/>
          <w:b w:val="1"/>
          <w:bCs w:val="1"/>
          <w:i w:val="1"/>
          <w:iCs w:val="1"/>
          <w:color w:val="auto"/>
        </w:rPr>
        <w:t>No Guarantee of Continued Service</w:t>
      </w:r>
      <w:r>
        <w:rPr>
          <w:rFonts w:ascii="Arial" w:cs="Arial" w:eastAsia="Arial" w:hAnsi="Arial"/>
          <w:sz w:val="18"/>
          <w:szCs w:val="18"/>
          <w:color w:val="auto"/>
        </w:rPr>
        <w:t>. PARTICIPANT ACKNOWLEDGES AND AGREES THAT THE VESTING OF SHARES PURSUANT TO THE VESTING SCHEDULE HEREOF IS EARNED ONLY BY CONTINUING AS A SERVICE PROVIDER AT THE WILL OF THE COMPANY (OR THE AFFILIATE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AFFILIATE EMPLOYING OR RETAINING PARTICIPANT) TO TERMINATE PARTICIPANT’S RELATIONSHIP AS A SERVICE PROVIDER AT ANY TIME, WITH OR WITHOUT CAUSE.</w:t>
      </w:r>
    </w:p>
    <w:p>
      <w:pPr>
        <w:spacing w:after="0" w:line="88"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 xml:space="preserve">K. </w:t>
      </w:r>
      <w:r>
        <w:rPr>
          <w:rFonts w:ascii="Arial" w:cs="Arial" w:eastAsia="Arial" w:hAnsi="Arial"/>
          <w:sz w:val="17"/>
          <w:szCs w:val="17"/>
          <w:b w:val="1"/>
          <w:bCs w:val="1"/>
          <w:i w:val="1"/>
          <w:iCs w:val="1"/>
          <w:color w:val="auto"/>
        </w:rPr>
        <w:t>Administration</w:t>
      </w:r>
      <w:r>
        <w:rPr>
          <w:rFonts w:ascii="Arial" w:cs="Arial" w:eastAsia="Arial" w:hAnsi="Arial"/>
          <w:sz w:val="17"/>
          <w:szCs w:val="17"/>
          <w:color w:val="auto"/>
        </w:rPr>
        <w:t>. The Administrator shall have the power to interpret the Plan and this Option Agreement, and to adopt such rules for the administration, interpretation and application of the Plan and this Option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or this Option Agreement.</w:t>
      </w:r>
    </w:p>
    <w:p>
      <w:pPr>
        <w:spacing w:after="0" w:line="68"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 The Administrator may accelerate the vesting of all or a portion of this Option in such circumstances as it, in its sole discretion, may determine. Participant acknowledges that this Option is subject to adjustment, modification and termination in certain events as provided in this Option Agreement and the Plan, including Section 12.2 of the Plan.</w:t>
      </w:r>
    </w:p>
    <w:p>
      <w:pPr>
        <w:spacing w:after="0" w:line="76" w:lineRule="exact"/>
        <w:rPr>
          <w:sz w:val="20"/>
          <w:szCs w:val="20"/>
          <w:color w:val="auto"/>
        </w:rPr>
      </w:pPr>
    </w:p>
    <w:p>
      <w:pPr>
        <w:jc w:val="both"/>
        <w:ind w:right="40" w:firstLine="440"/>
        <w:spacing w:after="0" w:line="287" w:lineRule="auto"/>
        <w:rPr>
          <w:sz w:val="20"/>
          <w:szCs w:val="20"/>
          <w:color w:val="auto"/>
        </w:rPr>
      </w:pPr>
      <w:r>
        <w:rPr>
          <w:rFonts w:ascii="Arial" w:cs="Arial" w:eastAsia="Arial" w:hAnsi="Arial"/>
          <w:sz w:val="16"/>
          <w:szCs w:val="16"/>
          <w:color w:val="auto"/>
        </w:rPr>
        <w:t xml:space="preserve">M. </w:t>
      </w:r>
      <w:r>
        <w:rPr>
          <w:rFonts w:ascii="Arial" w:cs="Arial" w:eastAsia="Arial" w:hAnsi="Arial"/>
          <w:sz w:val="16"/>
          <w:szCs w:val="16"/>
          <w:b w:val="1"/>
          <w:bCs w:val="1"/>
          <w:i w:val="1"/>
          <w:iCs w:val="1"/>
          <w:color w:val="auto"/>
        </w:rPr>
        <w:t>Notices</w:t>
      </w:r>
      <w:r>
        <w:rPr>
          <w:rFonts w:ascii="Arial" w:cs="Arial" w:eastAsia="Arial" w:hAnsi="Arial"/>
          <w:sz w:val="16"/>
          <w:szCs w:val="16"/>
          <w:color w:val="auto"/>
        </w:rPr>
        <w:t xml:space="preserve">. Any notice to be given under the terms of this Agreement to the Company shall be addressed to the Company in care of the Secretary of the Company at the Company’s principal office, and any notice to be given to Participant shall be addressed to Participant at Participant’s address set forth below. By a notice given pursuant to this </w:t>
      </w:r>
      <w:r>
        <w:rPr>
          <w:rFonts w:ascii="Arial" w:cs="Arial" w:eastAsia="Arial" w:hAnsi="Arial"/>
          <w:sz w:val="16"/>
          <w:szCs w:val="16"/>
          <w:u w:val="single" w:color="auto"/>
          <w:color w:val="auto"/>
        </w:rPr>
        <w:t>Section (L)</w:t>
      </w:r>
      <w:r>
        <w:rPr>
          <w:rFonts w:ascii="Arial" w:cs="Arial" w:eastAsia="Arial" w:hAnsi="Arial"/>
          <w:sz w:val="16"/>
          <w:szCs w:val="16"/>
          <w:color w:val="auto"/>
        </w:rPr>
        <w:t>, either party may hereafter designate a different address for notices to be given to that party.</w:t>
      </w:r>
    </w:p>
    <w:p>
      <w:pPr>
        <w:spacing w:after="0" w:line="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Any notice shall be deemed duly given when sent via email or when sent by certified mail (return receipt requested) and deposited (with postage prepaid) in a post office or branch post office regularly maintained by the United States Postal Service. Any notice which is required to be given to Participant shall, if Participant is then deceased, be given to the person entitled to exercise his or her Option by written notice under this Section L. Subject to the limitations set forth in Section 232(e)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Participant consents to the delivery of any notice to Participant given by the Company under the DGCL or the Company’s certificate of</w:t>
      </w:r>
    </w:p>
    <w:p>
      <w:pPr>
        <w:sectPr>
          <w:pgSz w:w="11900" w:h="16838" w:orient="portrait"/>
          <w:cols w:equalWidth="0" w:num="1">
            <w:col w:w="10960"/>
          </w:cols>
          <w:pgMar w:left="440" w:top="274" w:right="499" w:bottom="1440" w:gutter="0" w:footer="0" w:header="0"/>
        </w:sectPr>
      </w:pPr>
    </w:p>
    <w:bookmarkStart w:id="45" w:name="page46"/>
    <w:bookmarkEnd w:id="45"/>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or bylaws by (i) facsimile telecommunication to the facsimile number for Participant in the Company’s records, (ii) electronic mail to the electronic mail address for Participant in the Company’s records, (iii) posting on an electronic network together with separate notice to Participant of such specific posting or (iv) any other form of electronic transmission (as defined in the DGCL) directed to Participant. This consent may be revoked by Participant by written notice to the Company and may be deemed revoked in the circumstances specified in Section 232 of the DGCL.</w:t>
      </w:r>
    </w:p>
    <w:p>
      <w:pPr>
        <w:spacing w:after="0" w:line="49"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 xml:space="preserve">N. </w:t>
      </w:r>
      <w:r>
        <w:rPr>
          <w:rFonts w:ascii="Arial" w:cs="Arial" w:eastAsia="Arial" w:hAnsi="Arial"/>
          <w:sz w:val="16"/>
          <w:szCs w:val="16"/>
          <w:b w:val="1"/>
          <w:bCs w:val="1"/>
          <w:i w:val="1"/>
          <w:iCs w:val="1"/>
          <w:color w:val="auto"/>
        </w:rPr>
        <w:t>Conformity to Securities Laws</w:t>
      </w:r>
      <w:r>
        <w:rPr>
          <w:rFonts w:ascii="Arial" w:cs="Arial" w:eastAsia="Arial" w:hAnsi="Arial"/>
          <w:sz w:val="16"/>
          <w:szCs w:val="16"/>
          <w:color w:val="auto"/>
        </w:rPr>
        <w:t>. Participant acknowledges that the Plan and this Option Agreement are intended to conform to the extent necessary with all provisions of the Securities Act and the Exchange Act and any and all Applicable Law and regulations and rules promulgated by the Securities and Exchange Commission thereunder, and state securities laws and regulations. Notwithstanding anything herein to the contrary, the Plan shall be administered, and this Option is granted and may be exercised, only in such a manner as to conform to such Applicable Law.</w:t>
      </w:r>
    </w:p>
    <w:p>
      <w:pPr>
        <w:spacing w:after="0" w:line="4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i w:val="1"/>
          <w:iCs w:val="1"/>
          <w:color w:val="auto"/>
        </w:rPr>
        <w:t>Limitations Applicable to Section 16 Persons</w:t>
      </w:r>
      <w:r>
        <w:rPr>
          <w:rFonts w:ascii="Arial" w:cs="Arial" w:eastAsia="Arial" w:hAnsi="Arial"/>
          <w:sz w:val="18"/>
          <w:szCs w:val="18"/>
          <w:color w:val="auto"/>
        </w:rPr>
        <w:t>. Notwithstanding any other provision of the Plan or this Option Agreement, if Participant is subject to Section 16 of the Exchange Act, the Plan, this Option and this Option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Option Agreement shall be deemed amended to the extent necessary to conform to such applicable exemptive rule.</w:t>
      </w:r>
    </w:p>
    <w:p>
      <w:pPr>
        <w:spacing w:after="0" w:line="8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P. </w:t>
      </w:r>
      <w:r>
        <w:rPr>
          <w:rFonts w:ascii="Arial" w:cs="Arial" w:eastAsia="Arial" w:hAnsi="Arial"/>
          <w:sz w:val="18"/>
          <w:szCs w:val="18"/>
          <w:b w:val="1"/>
          <w:bCs w:val="1"/>
          <w:i w:val="1"/>
          <w:iCs w:val="1"/>
          <w:color w:val="auto"/>
        </w:rPr>
        <w:t>Successors and Assigns</w:t>
      </w:r>
      <w:r>
        <w:rPr>
          <w:rFonts w:ascii="Arial" w:cs="Arial" w:eastAsia="Arial" w:hAnsi="Arial"/>
          <w:sz w:val="18"/>
          <w:szCs w:val="18"/>
          <w:color w:val="auto"/>
        </w:rPr>
        <w:t xml:space="preserve">. The Company may assign any of its rights under this Option Agreement to single or multiple assignees, and this Agreement shall inure to the benefit of the successors and assigns of the Company. Subject to the restrictions on transfer set forth in </w:t>
      </w:r>
      <w:r>
        <w:rPr>
          <w:rFonts w:ascii="Arial" w:cs="Arial" w:eastAsia="Arial" w:hAnsi="Arial"/>
          <w:sz w:val="18"/>
          <w:szCs w:val="18"/>
          <w:u w:val="single" w:color="auto"/>
          <w:color w:val="auto"/>
        </w:rPr>
        <w:t>Section (E)</w:t>
      </w:r>
      <w:r>
        <w:rPr>
          <w:rFonts w:ascii="Arial" w:cs="Arial" w:eastAsia="Arial" w:hAnsi="Arial"/>
          <w:sz w:val="18"/>
          <w:szCs w:val="18"/>
          <w:color w:val="auto"/>
        </w:rPr>
        <w:t xml:space="preserve"> and the Plan, this Option Agreement shall be binding upon and inure to the benefit of the heirs, legatees, legal representatives, successors and assigns of the parties hereto.</w:t>
      </w:r>
    </w:p>
    <w:p>
      <w:pPr>
        <w:spacing w:after="0" w:line="7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Q. </w:t>
      </w:r>
      <w:r>
        <w:rPr>
          <w:rFonts w:ascii="Arial" w:cs="Arial" w:eastAsia="Arial" w:hAnsi="Arial"/>
          <w:sz w:val="18"/>
          <w:szCs w:val="18"/>
          <w:b w:val="1"/>
          <w:bCs w:val="1"/>
          <w:i w:val="1"/>
          <w:iCs w:val="1"/>
          <w:color w:val="auto"/>
        </w:rPr>
        <w:t>Limitation on Participant’s Rights</w:t>
      </w:r>
      <w:r>
        <w:rPr>
          <w:rFonts w:ascii="Arial" w:cs="Arial" w:eastAsia="Arial" w:hAnsi="Arial"/>
          <w:sz w:val="18"/>
          <w:szCs w:val="18"/>
          <w:color w:val="auto"/>
        </w:rPr>
        <w:t>. Participation in the Plan confers no rights or interests other than as herein provided. This Option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this Option.</w:t>
      </w:r>
    </w:p>
    <w:p>
      <w:pPr>
        <w:spacing w:after="0" w:line="79"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 xml:space="preserve">R. </w:t>
      </w:r>
      <w:r>
        <w:rPr>
          <w:rFonts w:ascii="Arial" w:cs="Arial" w:eastAsia="Arial" w:hAnsi="Arial"/>
          <w:sz w:val="17"/>
          <w:szCs w:val="17"/>
          <w:b w:val="1"/>
          <w:bCs w:val="1"/>
          <w:i w:val="1"/>
          <w:iCs w:val="1"/>
          <w:color w:val="auto"/>
        </w:rPr>
        <w:t>Rights as Stockholder</w:t>
      </w:r>
      <w:r>
        <w:rPr>
          <w:rFonts w:ascii="Arial" w:cs="Arial" w:eastAsia="Arial" w:hAnsi="Arial"/>
          <w:sz w:val="17"/>
          <w:szCs w:val="17"/>
          <w:color w:val="auto"/>
        </w:rPr>
        <w:t>. Neither Participant nor any Person claiming under or through Participant will have any of the rights or privileges of a stockholder of the Company in respect of any Shares deliverable hereunder upon exercise of this Option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w:t>
      </w:r>
    </w:p>
    <w:p>
      <w:pPr>
        <w:sectPr>
          <w:pgSz w:w="11900" w:h="16838" w:orient="portrait"/>
          <w:cols w:equalWidth="0" w:num="1">
            <w:col w:w="10960"/>
          </w:cols>
          <w:pgMar w:left="440" w:top="274" w:right="499" w:bottom="1440" w:gutter="0" w:footer="0" w:header="0"/>
        </w:sectPr>
      </w:pPr>
    </w:p>
    <w:bookmarkStart w:id="46" w:name="page47"/>
    <w:bookmarkEnd w:id="46"/>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 </w:t>
      </w:r>
      <w:r>
        <w:rPr>
          <w:rFonts w:ascii="Arial" w:cs="Arial" w:eastAsia="Arial" w:hAnsi="Arial"/>
          <w:sz w:val="18"/>
          <w:szCs w:val="18"/>
          <w:b w:val="1"/>
          <w:bCs w:val="1"/>
          <w:i w:val="1"/>
          <w:iCs w:val="1"/>
          <w:color w:val="auto"/>
        </w:rPr>
        <w:t>Lock-up Period.</w:t>
      </w:r>
      <w:r>
        <w:rPr>
          <w:rFonts w:ascii="Arial" w:cs="Arial" w:eastAsia="Arial" w:hAnsi="Arial"/>
          <w:sz w:val="18"/>
          <w:szCs w:val="18"/>
          <w:color w:val="auto"/>
        </w:rPr>
        <w:t xml:space="preserve"> Participant shall not offer, pledge, sell, contract to sell, sell any option or contract to purchase, purchase any option or contract to sell, grant any option, right or warrant to purchase, lend, or otherwise transfer or dispose of, directly or indirectly, any Shares (or other securities) of the Company or enter into any swap, hedging or other arrangement that transfers to another, in whole or in part, any of the economic consequences of ownership of any Shares (or other securities) of the Company held by Participant (other than those included in the registration) for a period specified by the representative of the underwriters of Common Stock (or other securities) of the Company not to exceed 180 days following the effective date of any registration statement of the Company filed under the Securities Act (or such other period as may be requested by the Company or the underwriters to accommodate regulatory restrictions).</w:t>
      </w:r>
    </w:p>
    <w:p>
      <w:pPr>
        <w:sectPr>
          <w:pgSz w:w="11900" w:h="16838" w:orient="portrait"/>
          <w:cols w:equalWidth="0" w:num="1">
            <w:col w:w="10940"/>
          </w:cols>
          <w:pgMar w:left="440" w:top="274" w:right="51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INDUCEMENT AWARD PLAN EXERCISE NOTICE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GoHealth, Inc.</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20" w:type="dxa"/>
            <w:vAlign w:val="bottom"/>
          </w:tcPr>
          <w:p>
            <w:pPr>
              <w:spacing w:after="0"/>
              <w:rPr>
                <w:sz w:val="18"/>
                <w:szCs w:val="18"/>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420" w:type="dxa"/>
            <w:vAlign w:val="bottom"/>
          </w:tcPr>
          <w:p>
            <w:pPr>
              <w:jc w:val="right"/>
              <w:ind w:right="251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420" w:type="dxa"/>
            <w:vAlign w:val="bottom"/>
          </w:tcPr>
          <w:p>
            <w:pPr>
              <w:jc w:val="right"/>
              <w:ind w:right="251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20" w:type="dxa"/>
            <w:vAlign w:val="bottom"/>
          </w:tcPr>
          <w:p>
            <w:pPr>
              <w:spacing w:after="0"/>
              <w:rPr>
                <w:sz w:val="20"/>
                <w:szCs w:val="20"/>
                <w:color w:val="auto"/>
              </w:rPr>
            </w:pPr>
          </w:p>
        </w:tc>
      </w:tr>
      <w:tr>
        <w:trPr>
          <w:trHeight w:val="432"/>
        </w:trPr>
        <w:tc>
          <w:tcPr>
            <w:tcW w:w="3660" w:type="dxa"/>
            <w:vAlign w:val="bottom"/>
            <w:gridSpan w:val="2"/>
          </w:tcPr>
          <w:p>
            <w:pPr>
              <w:spacing w:after="0"/>
              <w:rPr>
                <w:sz w:val="20"/>
                <w:szCs w:val="20"/>
                <w:color w:val="auto"/>
              </w:rPr>
            </w:pPr>
            <w:r>
              <w:rPr>
                <w:rFonts w:ascii="Arial" w:cs="Arial" w:eastAsia="Arial" w:hAnsi="Arial"/>
                <w:sz w:val="18"/>
                <w:szCs w:val="18"/>
                <w:color w:val="auto"/>
              </w:rPr>
              <w:t>Attention: Corporate Secretary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20" w:type="dxa"/>
            <w:vAlign w:val="bottom"/>
          </w:tcPr>
          <w:p>
            <w:pPr>
              <w:spacing w:after="0"/>
              <w:rPr>
                <w:sz w:val="24"/>
                <w:szCs w:val="24"/>
                <w:color w:val="auto"/>
              </w:rPr>
            </w:pPr>
          </w:p>
        </w:tc>
      </w:tr>
      <w:tr>
        <w:trPr>
          <w:trHeight w:val="283"/>
        </w:trPr>
        <w:tc>
          <w:tcPr>
            <w:tcW w:w="240" w:type="dxa"/>
            <w:vAlign w:val="bottom"/>
          </w:tcPr>
          <w:p>
            <w:pPr>
              <w:spacing w:after="0"/>
              <w:rPr>
                <w:sz w:val="24"/>
                <w:szCs w:val="24"/>
                <w:color w:val="auto"/>
              </w:rPr>
            </w:pPr>
          </w:p>
        </w:tc>
        <w:tc>
          <w:tcPr>
            <w:tcW w:w="3420" w:type="dxa"/>
            <w:vAlign w:val="bottom"/>
          </w:tcPr>
          <w:p>
            <w:pPr>
              <w:jc w:val="right"/>
              <w:spacing w:after="0"/>
              <w:rPr>
                <w:sz w:val="20"/>
                <w:szCs w:val="20"/>
                <w:color w:val="auto"/>
              </w:rPr>
            </w:pPr>
            <w:r>
              <w:rPr>
                <w:rFonts w:ascii="Arial" w:cs="Arial" w:eastAsia="Arial" w:hAnsi="Arial"/>
                <w:sz w:val="18"/>
                <w:szCs w:val="18"/>
                <w:color w:val="auto"/>
                <w:w w:val="95"/>
              </w:rPr>
              <w:t xml:space="preserve">1. </w:t>
            </w:r>
            <w:r>
              <w:rPr>
                <w:rFonts w:ascii="Arial" w:cs="Arial" w:eastAsia="Arial" w:hAnsi="Arial"/>
                <w:sz w:val="18"/>
                <w:szCs w:val="18"/>
                <w:b w:val="1"/>
                <w:bCs w:val="1"/>
                <w:color w:val="auto"/>
                <w:w w:val="95"/>
              </w:rPr>
              <w:t>Exercise of Option</w:t>
            </w:r>
            <w:r>
              <w:rPr>
                <w:rFonts w:ascii="Arial" w:cs="Arial" w:eastAsia="Arial" w:hAnsi="Arial"/>
                <w:sz w:val="18"/>
                <w:szCs w:val="18"/>
                <w:color w:val="auto"/>
                <w:w w:val="95"/>
              </w:rPr>
              <w:t>. Effective as of today,</w:t>
            </w:r>
          </w:p>
        </w:tc>
        <w:tc>
          <w:tcPr>
            <w:tcW w:w="720" w:type="dxa"/>
            <w:vAlign w:val="bottom"/>
            <w:tcBorders>
              <w:bottom w:val="single" w:sz="8" w:color="auto"/>
            </w:tcBorders>
          </w:tcPr>
          <w:p>
            <w:pPr>
              <w:spacing w:after="0"/>
              <w:rPr>
                <w:sz w:val="24"/>
                <w:szCs w:val="24"/>
                <w:color w:val="auto"/>
              </w:rPr>
            </w:pPr>
          </w:p>
        </w:tc>
        <w:tc>
          <w:tcPr>
            <w:tcW w:w="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220" w:type="dxa"/>
            <w:vAlign w:val="bottom"/>
          </w:tcPr>
          <w:p>
            <w:pPr>
              <w:ind w:left="220"/>
              <w:spacing w:after="0"/>
              <w:rPr>
                <w:sz w:val="20"/>
                <w:szCs w:val="20"/>
                <w:color w:val="auto"/>
              </w:rPr>
            </w:pPr>
            <w:r>
              <w:rPr>
                <w:rFonts w:ascii="Arial" w:cs="Arial" w:eastAsia="Arial" w:hAnsi="Arial"/>
                <w:sz w:val="18"/>
                <w:szCs w:val="18"/>
                <w:color w:val="auto"/>
                <w:w w:val="90"/>
              </w:rPr>
              <w:t>, the undersigned (“</w:t>
            </w:r>
            <w:r>
              <w:rPr>
                <w:rFonts w:ascii="Arial" w:cs="Arial" w:eastAsia="Arial" w:hAnsi="Arial"/>
                <w:sz w:val="18"/>
                <w:szCs w:val="18"/>
                <w:b w:val="1"/>
                <w:bCs w:val="1"/>
                <w:color w:val="auto"/>
                <w:w w:val="90"/>
              </w:rPr>
              <w:t>Participant</w:t>
            </w:r>
            <w:r>
              <w:rPr>
                <w:rFonts w:ascii="Arial" w:cs="Arial" w:eastAsia="Arial" w:hAnsi="Arial"/>
                <w:sz w:val="18"/>
                <w:szCs w:val="18"/>
                <w:color w:val="auto"/>
                <w:w w:val="90"/>
              </w:rPr>
              <w:t>”) hereby elects to exercise Participant’s option (the</w:t>
            </w:r>
          </w:p>
        </w:tc>
      </w:tr>
    </w:tbl>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to purchase ________________ shares of the Common Stock (the “</w:t>
      </w:r>
      <w:r>
        <w:rPr>
          <w:rFonts w:ascii="Arial" w:cs="Arial" w:eastAsia="Arial" w:hAnsi="Arial"/>
          <w:sz w:val="16"/>
          <w:szCs w:val="16"/>
          <w:b w:val="1"/>
          <w:bCs w:val="1"/>
          <w:color w:val="auto"/>
        </w:rPr>
        <w:t>Shares</w:t>
      </w:r>
      <w:r>
        <w:rPr>
          <w:rFonts w:ascii="Arial" w:cs="Arial" w:eastAsia="Arial" w:hAnsi="Arial"/>
          <w:sz w:val="16"/>
          <w:szCs w:val="16"/>
          <w:color w:val="auto"/>
        </w:rPr>
        <w:t>”) of GoHealth, Inc. (the “</w:t>
      </w:r>
      <w:r>
        <w:rPr>
          <w:rFonts w:ascii="Arial" w:cs="Arial" w:eastAsia="Arial" w:hAnsi="Arial"/>
          <w:sz w:val="16"/>
          <w:szCs w:val="16"/>
          <w:b w:val="1"/>
          <w:bCs w:val="1"/>
          <w:color w:val="auto"/>
        </w:rPr>
        <w:t>Company</w:t>
      </w:r>
      <w:r>
        <w:rPr>
          <w:rFonts w:ascii="Arial" w:cs="Arial" w:eastAsia="Arial" w:hAnsi="Arial"/>
          <w:sz w:val="16"/>
          <w:szCs w:val="16"/>
          <w:color w:val="auto"/>
        </w:rPr>
        <w:t>”) under and pursuant to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2021 Inducement Award Plan (the “</w:t>
      </w:r>
      <w:r>
        <w:rPr>
          <w:rFonts w:ascii="Arial" w:cs="Arial" w:eastAsia="Arial" w:hAnsi="Arial"/>
          <w:sz w:val="16"/>
          <w:szCs w:val="16"/>
          <w:b w:val="1"/>
          <w:bCs w:val="1"/>
          <w:color w:val="auto"/>
        </w:rPr>
        <w:t>Plan</w:t>
      </w:r>
      <w:r>
        <w:rPr>
          <w:rFonts w:ascii="Arial" w:cs="Arial" w:eastAsia="Arial" w:hAnsi="Arial"/>
          <w:sz w:val="16"/>
          <w:szCs w:val="16"/>
          <w:color w:val="auto"/>
        </w:rPr>
        <w:t>”) and the Stock Option Agreement dated _________________ (the “</w:t>
      </w:r>
      <w:r>
        <w:rPr>
          <w:rFonts w:ascii="Arial" w:cs="Arial" w:eastAsia="Arial" w:hAnsi="Arial"/>
          <w:sz w:val="16"/>
          <w:szCs w:val="16"/>
          <w:b w:val="1"/>
          <w:bCs w:val="1"/>
          <w:color w:val="auto"/>
        </w:rPr>
        <w:t>Option Agreement</w:t>
      </w:r>
      <w:r>
        <w:rPr>
          <w:rFonts w:ascii="Arial" w:cs="Arial" w:eastAsia="Arial" w:hAnsi="Arial"/>
          <w:sz w:val="16"/>
          <w:szCs w:val="16"/>
          <w:color w:val="auto"/>
        </w:rPr>
        <w:t>”). The Option is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Nonstatutory Stock Option.</w:t>
      </w:r>
    </w:p>
    <w:p>
      <w:pPr>
        <w:spacing w:after="0" w:line="99" w:lineRule="exact"/>
        <w:rPr>
          <w:sz w:val="20"/>
          <w:szCs w:val="20"/>
          <w:color w:val="auto"/>
        </w:rPr>
      </w:pPr>
    </w:p>
    <w:p>
      <w:pPr>
        <w:ind w:right="60" w:firstLine="436"/>
        <w:spacing w:after="0" w:line="282"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Delivery of Payment</w:t>
      </w:r>
      <w:r>
        <w:rPr>
          <w:rFonts w:ascii="Arial" w:cs="Arial" w:eastAsia="Arial" w:hAnsi="Arial"/>
          <w:sz w:val="18"/>
          <w:szCs w:val="18"/>
          <w:color w:val="auto"/>
        </w:rPr>
        <w:t>. Participant herewith delivers to the Company the total exercise price of the Shares, as set forth in the Option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and all withholding taxes due in connection with the exercise of the Option.</w:t>
      </w:r>
    </w:p>
    <w:p>
      <w:pPr>
        <w:spacing w:after="0" w:line="53" w:lineRule="exact"/>
        <w:rPr>
          <w:rFonts w:ascii="Arial" w:cs="Arial" w:eastAsia="Arial" w:hAnsi="Arial"/>
          <w:sz w:val="18"/>
          <w:szCs w:val="18"/>
          <w:color w:val="auto"/>
        </w:rPr>
      </w:pPr>
    </w:p>
    <w:p>
      <w:pPr>
        <w:ind w:right="740" w:firstLine="436"/>
        <w:spacing w:after="0" w:line="282"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Representations of Participant</w:t>
      </w:r>
      <w:r>
        <w:rPr>
          <w:rFonts w:ascii="Arial" w:cs="Arial" w:eastAsia="Arial" w:hAnsi="Arial"/>
          <w:sz w:val="18"/>
          <w:szCs w:val="18"/>
          <w:color w:val="auto"/>
        </w:rPr>
        <w:t>. Participant acknowledges that Participant has received, read and understood the Plan and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agrees to abide by and be bound by their terms and conditions.</w:t>
      </w:r>
    </w:p>
    <w:p>
      <w:pPr>
        <w:spacing w:after="0" w:line="53" w:lineRule="exact"/>
        <w:rPr>
          <w:rFonts w:ascii="Arial" w:cs="Arial" w:eastAsia="Arial" w:hAnsi="Arial"/>
          <w:sz w:val="18"/>
          <w:szCs w:val="18"/>
          <w:color w:val="auto"/>
        </w:rPr>
      </w:pPr>
    </w:p>
    <w:p>
      <w:pPr>
        <w:ind w:firstLine="436"/>
        <w:spacing w:after="0" w:line="258"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Rights as Stockholder</w:t>
      </w:r>
      <w:r>
        <w:rPr>
          <w:rFonts w:ascii="Arial" w:cs="Arial" w:eastAsia="Arial" w:hAnsi="Arial"/>
          <w:sz w:val="18"/>
          <w:szCs w:val="18"/>
          <w:color w:val="auto"/>
        </w:rPr>
        <w:t>. Until the issuance of the Shares (as evidenced by the appropriate entry on the books of the Company or of a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transfer agent of the Company), no right to vote or receive dividends or any other rights as a stockholder shall exist with respect to the Common Stock subject to an Award, notwithstanding the exercise of the Option. The Shares shall be issued to Participant as soon as practicable after the Option is exercised in accordance with the Option Agreement. No adjustment shall be made for a dividend or other right for which the record date is prior to the date of issuance except as provided in Section 12.2 of the Plan.</w:t>
      </w:r>
    </w:p>
    <w:p>
      <w:pPr>
        <w:spacing w:after="0" w:line="75" w:lineRule="exact"/>
        <w:rPr>
          <w:rFonts w:ascii="Arial" w:cs="Arial" w:eastAsia="Arial" w:hAnsi="Arial"/>
          <w:sz w:val="18"/>
          <w:szCs w:val="18"/>
          <w:color w:val="auto"/>
        </w:rPr>
      </w:pPr>
    </w:p>
    <w:p>
      <w:pPr>
        <w:ind w:right="200" w:firstLine="436"/>
        <w:spacing w:after="0" w:line="289"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Tax Consultation</w:t>
      </w:r>
      <w:r>
        <w:rPr>
          <w:rFonts w:ascii="Arial" w:cs="Arial" w:eastAsia="Arial" w:hAnsi="Arial"/>
          <w:sz w:val="17"/>
          <w:szCs w:val="17"/>
          <w:color w:val="auto"/>
        </w:rPr>
        <w:t>. Participant understands that Participant may suffer adverse tax consequences as a result of Participant’s purchase or</w:t>
      </w:r>
      <w:r>
        <w:rPr>
          <w:rFonts w:ascii="Arial" w:cs="Arial" w:eastAsia="Arial" w:hAnsi="Arial"/>
          <w:sz w:val="17"/>
          <w:szCs w:val="17"/>
          <w:b w:val="1"/>
          <w:bCs w:val="1"/>
          <w:color w:val="auto"/>
        </w:rPr>
        <w:t xml:space="preserve"> </w:t>
      </w:r>
      <w:r>
        <w:rPr>
          <w:rFonts w:ascii="Arial" w:cs="Arial" w:eastAsia="Arial" w:hAnsi="Arial"/>
          <w:sz w:val="17"/>
          <w:szCs w:val="17"/>
          <w:color w:val="auto"/>
        </w:rPr>
        <w:t>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49" w:lineRule="exact"/>
        <w:rPr>
          <w:rFonts w:ascii="Arial" w:cs="Arial" w:eastAsia="Arial" w:hAnsi="Arial"/>
          <w:sz w:val="17"/>
          <w:szCs w:val="17"/>
          <w:color w:val="auto"/>
        </w:rPr>
      </w:pPr>
    </w:p>
    <w:p>
      <w:pPr>
        <w:ind w:right="520" w:firstLine="436"/>
        <w:spacing w:after="0" w:line="314" w:lineRule="auto"/>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Successors and Assigns</w:t>
      </w:r>
      <w:r>
        <w:rPr>
          <w:rFonts w:ascii="Arial" w:cs="Arial" w:eastAsia="Arial" w:hAnsi="Arial"/>
          <w:sz w:val="16"/>
          <w:szCs w:val="16"/>
          <w:color w:val="auto"/>
        </w:rPr>
        <w:t>. The Company may assign any of its rights under this Exercise Notice to single or multiple assignees, and this</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Notice shall inure to the benefit of the successors and assigns of the Company. Subject to the restrictions on transfer herein set forth, this Exercise Notice shall be binding upon Participant and his or her heirs, executors, administrators, successors and assigns.</w:t>
      </w:r>
    </w:p>
    <w:p>
      <w:pPr>
        <w:sectPr>
          <w:pgSz w:w="11900" w:h="16838" w:orient="portrait"/>
          <w:cols w:equalWidth="0" w:num="1">
            <w:col w:w="11000"/>
          </w:cols>
          <w:pgMar w:left="440" w:top="270" w:right="459" w:bottom="1440" w:gutter="0" w:footer="0" w:header="0"/>
        </w:sectPr>
      </w:pPr>
    </w:p>
    <w:bookmarkStart w:id="48" w:name="page49"/>
    <w:bookmarkEnd w:id="48"/>
    <w:p>
      <w:pPr>
        <w:jc w:val="both"/>
        <w:ind w:firstLine="436"/>
        <w:spacing w:after="0" w:line="266"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Interpretation</w:t>
      </w:r>
      <w:r>
        <w:rPr>
          <w:rFonts w:ascii="Arial" w:cs="Arial" w:eastAsia="Arial" w:hAnsi="Arial"/>
          <w:sz w:val="18"/>
          <w:szCs w:val="18"/>
          <w:color w:val="auto"/>
        </w:rPr>
        <w:t>. Any dispute regarding the interpretation of this Exercise Notice shall be submitted by Participant or by the Company forthwith</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Administrator, which shall review such dispute at its next regular meeting. The resolution of such a dispute by the Administrator shall be final and binding on all parties.</w:t>
      </w:r>
    </w:p>
    <w:p>
      <w:pPr>
        <w:spacing w:after="0" w:line="67" w:lineRule="exact"/>
        <w:rPr>
          <w:rFonts w:ascii="Arial" w:cs="Arial" w:eastAsia="Arial" w:hAnsi="Arial"/>
          <w:sz w:val="18"/>
          <w:szCs w:val="18"/>
          <w:color w:val="auto"/>
        </w:rPr>
      </w:pPr>
    </w:p>
    <w:p>
      <w:pPr>
        <w:ind w:right="60" w:firstLine="436"/>
        <w:spacing w:after="0" w:line="266"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Governing Law; Severability</w:t>
      </w:r>
      <w:r>
        <w:rPr>
          <w:rFonts w:ascii="Arial" w:cs="Arial" w:eastAsia="Arial" w:hAnsi="Arial"/>
          <w:sz w:val="18"/>
          <w:szCs w:val="18"/>
          <w:color w:val="auto"/>
        </w:rPr>
        <w:t>. This Exercise Notice is governed by the internal substantive laws, but not the choice of law rules,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any provision hereof becomes or is declared by a court of competent jurisdiction to be illegal, unenforceable or void, this Exercise Notice shall continue in full force and effect.</w:t>
      </w:r>
    </w:p>
    <w:p>
      <w:pPr>
        <w:spacing w:after="0" w:line="67" w:lineRule="exact"/>
        <w:rPr>
          <w:rFonts w:ascii="Arial" w:cs="Arial" w:eastAsia="Arial" w:hAnsi="Arial"/>
          <w:sz w:val="18"/>
          <w:szCs w:val="18"/>
          <w:color w:val="auto"/>
        </w:rPr>
      </w:pPr>
    </w:p>
    <w:p>
      <w:pPr>
        <w:ind w:firstLine="436"/>
        <w:spacing w:after="0" w:line="261"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The Plan and Option Agreement are incorporated herein by reference. This Exercise Notice, the Plan and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ectPr>
          <w:pgSz w:w="11900" w:h="16838" w:orient="portrait"/>
          <w:cols w:equalWidth="0" w:num="1">
            <w:col w:w="10980"/>
          </w:cols>
          <w:pgMar w:left="440" w:top="270" w:right="47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175260</wp:posOffset>
            </wp:positionV>
            <wp:extent cx="34290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34290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717550</wp:posOffset>
            </wp:positionV>
            <wp:extent cx="34290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3429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1086485</wp:posOffset>
            </wp:positionV>
            <wp:extent cx="34290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GOHEALTH,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167640</wp:posOffset>
            </wp:positionV>
            <wp:extent cx="32829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84" w:lineRule="exact"/>
        <w:rPr>
          <w:sz w:val="20"/>
          <w:szCs w:val="20"/>
          <w:color w:val="auto"/>
        </w:rPr>
      </w:pPr>
    </w:p>
    <w:p>
      <w:pPr>
        <w:jc w:val="center"/>
        <w:ind w:right="49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168910</wp:posOffset>
            </wp:positionV>
            <wp:extent cx="32829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86" w:lineRule="exact"/>
        <w:rPr>
          <w:sz w:val="20"/>
          <w:szCs w:val="20"/>
          <w:color w:val="auto"/>
        </w:rPr>
      </w:pPr>
    </w:p>
    <w:p>
      <w:pPr>
        <w:jc w:val="center"/>
        <w:ind w:right="4320"/>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32829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8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53" w:lineRule="exact"/>
        <w:rPr>
          <w:sz w:val="20"/>
          <w:szCs w:val="20"/>
          <w:color w:val="auto"/>
        </w:rPr>
      </w:pPr>
    </w:p>
    <w:p>
      <w:pPr>
        <w:jc w:val="center"/>
        <w:ind w:right="4500"/>
        <w:spacing w:after="0"/>
        <w:rPr>
          <w:sz w:val="20"/>
          <w:szCs w:val="20"/>
          <w:color w:val="auto"/>
        </w:rPr>
      </w:pPr>
      <w:r>
        <w:rPr>
          <w:rFonts w:ascii="Arial" w:cs="Arial" w:eastAsia="Arial" w:hAnsi="Arial"/>
          <w:sz w:val="16"/>
          <w:szCs w:val="16"/>
          <w:color w:val="auto"/>
        </w:rPr>
        <w:t>Address:</w:t>
      </w:r>
    </w:p>
    <w:p>
      <w:pPr>
        <w:spacing w:after="0" w:line="181" w:lineRule="exact"/>
        <w:rPr>
          <w:sz w:val="20"/>
          <w:szCs w:val="20"/>
          <w:color w:val="auto"/>
        </w:rPr>
      </w:pPr>
    </w:p>
    <w:p>
      <w:pPr>
        <w:ind w:left="820" w:hanging="819"/>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820" w:hanging="819"/>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168910</wp:posOffset>
            </wp:positionV>
            <wp:extent cx="32829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140"/>
          </w:cols>
          <w:pgMar w:left="440" w:top="270" w:right="479" w:bottom="1440" w:gutter="0" w:footer="0" w:header="0"/>
          <w:type w:val="continuous"/>
        </w:sectPr>
      </w:pPr>
    </w:p>
    <w:p>
      <w:pPr>
        <w:spacing w:after="0" w:line="105"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Date Received:</w:t>
      </w:r>
    </w:p>
    <w:p>
      <w:pPr>
        <w:sectPr>
          <w:pgSz w:w="11900" w:h="16838" w:orient="portrait"/>
          <w:cols w:equalWidth="0" w:num="1">
            <w:col w:w="10980"/>
          </w:cols>
          <w:pgMar w:left="440" w:top="270" w:right="479" w:bottom="1440" w:gutter="0" w:footer="0" w:header="0"/>
          <w:type w:val="continuous"/>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INDUCEMENT AWARD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GRANT NOTICE AND RESTRICTED STOCK UNIT AGREEMENT</w:t>
      </w:r>
    </w:p>
    <w:p>
      <w:pPr>
        <w:spacing w:after="0" w:line="121" w:lineRule="exact"/>
        <w:rPr>
          <w:sz w:val="20"/>
          <w:szCs w:val="20"/>
          <w:color w:val="auto"/>
        </w:rPr>
      </w:pPr>
    </w:p>
    <w:p>
      <w:pPr>
        <w:ind w:right="300" w:firstLine="440"/>
        <w:spacing w:after="0" w:line="275" w:lineRule="auto"/>
        <w:rPr>
          <w:sz w:val="20"/>
          <w:szCs w:val="20"/>
          <w:color w:val="auto"/>
        </w:rPr>
      </w:pPr>
      <w:r>
        <w:rPr>
          <w:rFonts w:ascii="Arial" w:cs="Arial" w:eastAsia="Arial" w:hAnsi="Arial"/>
          <w:sz w:val="17"/>
          <w:szCs w:val="17"/>
          <w:color w:val="auto"/>
        </w:rPr>
        <w:t>GoHealth,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pursuant to its 2021 Inducement Award Plan, as amended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hereby grants to the holder listed below (“</w:t>
      </w:r>
      <w:r>
        <w:rPr>
          <w:rFonts w:ascii="Arial" w:cs="Arial" w:eastAsia="Arial" w:hAnsi="Arial"/>
          <w:sz w:val="17"/>
          <w:szCs w:val="17"/>
          <w:u w:val="single" w:color="auto"/>
          <w:color w:val="auto"/>
        </w:rPr>
        <w:t>Participant</w:t>
      </w:r>
      <w:r>
        <w:rPr>
          <w:rFonts w:ascii="Arial" w:cs="Arial" w:eastAsia="Arial" w:hAnsi="Arial"/>
          <w:sz w:val="17"/>
          <w:szCs w:val="17"/>
          <w:color w:val="auto"/>
        </w:rPr>
        <w:t>”) the number of Restricted Stock Units set forth below (the “</w:t>
      </w:r>
      <w:r>
        <w:rPr>
          <w:rFonts w:ascii="Arial" w:cs="Arial" w:eastAsia="Arial" w:hAnsi="Arial"/>
          <w:sz w:val="17"/>
          <w:szCs w:val="17"/>
          <w:u w:val="single" w:color="auto"/>
          <w:color w:val="auto"/>
        </w:rPr>
        <w:t>RSUs</w:t>
      </w:r>
      <w:r>
        <w:rPr>
          <w:rFonts w:ascii="Arial" w:cs="Arial" w:eastAsia="Arial" w:hAnsi="Arial"/>
          <w:sz w:val="17"/>
          <w:szCs w:val="17"/>
          <w:color w:val="auto"/>
        </w:rPr>
        <w:t>”). The RSUs are subject to the terms and conditions set forth in this Restricted Stock Unit Grant Notice (the “</w:t>
      </w:r>
      <w:r>
        <w:rPr>
          <w:rFonts w:ascii="Arial" w:cs="Arial" w:eastAsia="Arial" w:hAnsi="Arial"/>
          <w:sz w:val="17"/>
          <w:szCs w:val="17"/>
          <w:u w:val="single" w:color="auto"/>
          <w:color w:val="auto"/>
        </w:rPr>
        <w:t>Grant Notice</w:t>
      </w:r>
      <w:r>
        <w:rPr>
          <w:rFonts w:ascii="Arial" w:cs="Arial" w:eastAsia="Arial" w:hAnsi="Arial"/>
          <w:sz w:val="17"/>
          <w:szCs w:val="17"/>
          <w:color w:val="auto"/>
        </w:rPr>
        <w:t xml:space="preserve">”), the Restricted Stock Unit Agreement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Agreement</w:t>
      </w:r>
      <w:r>
        <w:rPr>
          <w:rFonts w:ascii="Arial" w:cs="Arial" w:eastAsia="Arial" w:hAnsi="Arial"/>
          <w:sz w:val="17"/>
          <w:szCs w:val="17"/>
          <w:color w:val="auto"/>
        </w:rPr>
        <w:t>”) and the Plan, each of which is incorporated herein by reference. Unless otherwise defined herein, the terms defined in the Plan shall have the same defined meanings in the Grant Notice and the Agreement.</w:t>
      </w:r>
    </w:p>
    <w:p>
      <w:pPr>
        <w:spacing w:after="0" w:line="186"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74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400" w:type="dxa"/>
            <w:vAlign w:val="bottom"/>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5340" w:type="dxa"/>
            <w:vAlign w:val="bottom"/>
          </w:tcPr>
          <w:p>
            <w:pPr>
              <w:spacing w:after="0"/>
              <w:rPr>
                <w:sz w:val="17"/>
                <w:szCs w:val="17"/>
                <w:color w:val="auto"/>
              </w:rPr>
            </w:pPr>
          </w:p>
        </w:tc>
      </w:tr>
      <w:tr>
        <w:trPr>
          <w:trHeight w:val="304"/>
        </w:trPr>
        <w:tc>
          <w:tcPr>
            <w:tcW w:w="274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400" w:type="dxa"/>
            <w:vAlign w:val="bottom"/>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340" w:type="dxa"/>
            <w:vAlign w:val="bottom"/>
          </w:tcPr>
          <w:p>
            <w:pPr>
              <w:spacing w:after="0"/>
              <w:rPr>
                <w:sz w:val="24"/>
                <w:szCs w:val="24"/>
                <w:color w:val="auto"/>
              </w:rPr>
            </w:pPr>
          </w:p>
        </w:tc>
      </w:tr>
      <w:tr>
        <w:trPr>
          <w:trHeight w:val="304"/>
        </w:trPr>
        <w:tc>
          <w:tcPr>
            <w:tcW w:w="2740" w:type="dxa"/>
            <w:vAlign w:val="bottom"/>
          </w:tcPr>
          <w:p>
            <w:pPr>
              <w:spacing w:after="0"/>
              <w:rPr>
                <w:sz w:val="20"/>
                <w:szCs w:val="20"/>
                <w:color w:val="auto"/>
              </w:rPr>
            </w:pPr>
            <w:r>
              <w:rPr>
                <w:rFonts w:ascii="Arial" w:cs="Arial" w:eastAsia="Arial" w:hAnsi="Arial"/>
                <w:sz w:val="18"/>
                <w:szCs w:val="18"/>
                <w:b w:val="1"/>
                <w:bCs w:val="1"/>
                <w:color w:val="auto"/>
              </w:rPr>
              <w:t>Vesting Commencement Date:</w:t>
            </w:r>
          </w:p>
        </w:tc>
        <w:tc>
          <w:tcPr>
            <w:tcW w:w="400" w:type="dxa"/>
            <w:vAlign w:val="bottom"/>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340" w:type="dxa"/>
            <w:vAlign w:val="bottom"/>
          </w:tcPr>
          <w:p>
            <w:pPr>
              <w:spacing w:after="0"/>
              <w:rPr>
                <w:sz w:val="24"/>
                <w:szCs w:val="24"/>
                <w:color w:val="auto"/>
              </w:rPr>
            </w:pPr>
          </w:p>
        </w:tc>
      </w:tr>
      <w:tr>
        <w:trPr>
          <w:trHeight w:val="344"/>
        </w:trPr>
        <w:tc>
          <w:tcPr>
            <w:tcW w:w="2740" w:type="dxa"/>
            <w:vAlign w:val="bottom"/>
          </w:tcPr>
          <w:p>
            <w:pPr>
              <w:spacing w:after="0"/>
              <w:rPr>
                <w:sz w:val="20"/>
                <w:szCs w:val="20"/>
                <w:color w:val="auto"/>
              </w:rPr>
            </w:pPr>
            <w:r>
              <w:rPr>
                <w:rFonts w:ascii="Arial" w:cs="Arial" w:eastAsia="Arial" w:hAnsi="Arial"/>
                <w:sz w:val="18"/>
                <w:szCs w:val="18"/>
                <w:b w:val="1"/>
                <w:bCs w:val="1"/>
                <w:color w:val="auto"/>
              </w:rPr>
              <w:t>Number of RSUs:</w:t>
            </w:r>
          </w:p>
        </w:tc>
        <w:tc>
          <w:tcPr>
            <w:tcW w:w="2600" w:type="dxa"/>
            <w:vAlign w:val="bottom"/>
            <w:gridSpan w:val="2"/>
          </w:tcPr>
          <w:p>
            <w:pPr>
              <w:ind w:left="400"/>
              <w:spacing w:after="0"/>
              <w:rPr>
                <w:sz w:val="20"/>
                <w:szCs w:val="20"/>
                <w:color w:val="auto"/>
              </w:rPr>
            </w:pPr>
            <w:r>
              <w:rPr>
                <w:rFonts w:ascii="Arial" w:cs="Arial" w:eastAsia="Arial" w:hAnsi="Arial"/>
                <w:sz w:val="18"/>
                <w:szCs w:val="18"/>
                <w:color w:val="auto"/>
              </w:rPr>
              <w:t>[_____]</w:t>
            </w:r>
          </w:p>
        </w:tc>
        <w:tc>
          <w:tcPr>
            <w:tcW w:w="5340" w:type="dxa"/>
            <w:vAlign w:val="bottom"/>
          </w:tcPr>
          <w:p>
            <w:pPr>
              <w:spacing w:after="0"/>
              <w:rPr>
                <w:sz w:val="24"/>
                <w:szCs w:val="24"/>
                <w:color w:val="auto"/>
              </w:rPr>
            </w:pPr>
          </w:p>
        </w:tc>
      </w:tr>
      <w:tr>
        <w:trPr>
          <w:trHeight w:val="324"/>
        </w:trPr>
        <w:tc>
          <w:tcPr>
            <w:tcW w:w="2740" w:type="dxa"/>
            <w:vAlign w:val="bottom"/>
          </w:tcPr>
          <w:p>
            <w:pPr>
              <w:spacing w:after="0"/>
              <w:rPr>
                <w:sz w:val="20"/>
                <w:szCs w:val="20"/>
                <w:color w:val="auto"/>
              </w:rPr>
            </w:pPr>
            <w:r>
              <w:rPr>
                <w:rFonts w:ascii="Arial" w:cs="Arial" w:eastAsia="Arial" w:hAnsi="Arial"/>
                <w:sz w:val="18"/>
                <w:szCs w:val="18"/>
                <w:b w:val="1"/>
                <w:bCs w:val="1"/>
                <w:color w:val="auto"/>
              </w:rPr>
              <w:t>Type of Shares Issuable:</w:t>
            </w:r>
          </w:p>
        </w:tc>
        <w:tc>
          <w:tcPr>
            <w:tcW w:w="7940" w:type="dxa"/>
            <w:vAlign w:val="bottom"/>
            <w:gridSpan w:val="3"/>
          </w:tcPr>
          <w:p>
            <w:pPr>
              <w:ind w:left="400"/>
              <w:spacing w:after="0"/>
              <w:rPr>
                <w:sz w:val="20"/>
                <w:szCs w:val="20"/>
                <w:color w:val="auto"/>
              </w:rPr>
            </w:pPr>
            <w:r>
              <w:rPr>
                <w:rFonts w:ascii="Arial" w:cs="Arial" w:eastAsia="Arial" w:hAnsi="Arial"/>
                <w:sz w:val="18"/>
                <w:szCs w:val="18"/>
                <w:color w:val="auto"/>
              </w:rPr>
              <w:t>Class A Common Stock</w:t>
            </w:r>
          </w:p>
        </w:tc>
      </w:tr>
      <w:tr>
        <w:trPr>
          <w:trHeight w:val="310"/>
        </w:trPr>
        <w:tc>
          <w:tcPr>
            <w:tcW w:w="274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7940" w:type="dxa"/>
            <w:vAlign w:val="bottom"/>
            <w:gridSpan w:val="3"/>
          </w:tcPr>
          <w:p>
            <w:pPr>
              <w:ind w:left="400"/>
              <w:spacing w:after="0"/>
              <w:rPr>
                <w:sz w:val="20"/>
                <w:szCs w:val="20"/>
                <w:color w:val="auto"/>
              </w:rPr>
            </w:pPr>
            <w:r>
              <w:rPr>
                <w:rFonts w:ascii="Arial" w:cs="Arial" w:eastAsia="Arial" w:hAnsi="Arial"/>
                <w:sz w:val="18"/>
                <w:szCs w:val="18"/>
                <w:color w:val="auto"/>
                <w:w w:val="90"/>
              </w:rPr>
              <w:t>Subject to the Participant’s continued status as an Eligible Individual, the RSUs shall vest with respect to</w:t>
            </w:r>
          </w:p>
        </w:tc>
      </w:tr>
      <w:tr>
        <w:trPr>
          <w:trHeight w:val="216"/>
        </w:trPr>
        <w:tc>
          <w:tcPr>
            <w:tcW w:w="2740" w:type="dxa"/>
            <w:vAlign w:val="bottom"/>
          </w:tcPr>
          <w:p>
            <w:pPr>
              <w:spacing w:after="0"/>
              <w:rPr>
                <w:sz w:val="18"/>
                <w:szCs w:val="18"/>
                <w:color w:val="auto"/>
              </w:rPr>
            </w:pPr>
          </w:p>
        </w:tc>
        <w:tc>
          <w:tcPr>
            <w:tcW w:w="7940" w:type="dxa"/>
            <w:vAlign w:val="bottom"/>
            <w:gridSpan w:val="3"/>
          </w:tcPr>
          <w:p>
            <w:pPr>
              <w:ind w:left="400"/>
              <w:spacing w:after="0"/>
              <w:rPr>
                <w:sz w:val="20"/>
                <w:szCs w:val="20"/>
                <w:color w:val="auto"/>
              </w:rPr>
            </w:pPr>
            <w:r>
              <w:rPr>
                <w:rFonts w:ascii="Arial" w:cs="Arial" w:eastAsia="Arial" w:hAnsi="Arial"/>
                <w:sz w:val="18"/>
                <w:szCs w:val="18"/>
                <w:color w:val="auto"/>
                <w:w w:val="89"/>
              </w:rPr>
              <w:t>one-third (1/3) of the Shares subject thereto (rounded down to the next whole number of Shares) on each</w:t>
            </w:r>
          </w:p>
        </w:tc>
      </w:tr>
      <w:tr>
        <w:trPr>
          <w:trHeight w:val="216"/>
        </w:trPr>
        <w:tc>
          <w:tcPr>
            <w:tcW w:w="2740" w:type="dxa"/>
            <w:vAlign w:val="bottom"/>
          </w:tcPr>
          <w:p>
            <w:pPr>
              <w:spacing w:after="0"/>
              <w:rPr>
                <w:sz w:val="18"/>
                <w:szCs w:val="18"/>
                <w:color w:val="auto"/>
              </w:rPr>
            </w:pPr>
          </w:p>
        </w:tc>
        <w:tc>
          <w:tcPr>
            <w:tcW w:w="7940" w:type="dxa"/>
            <w:vAlign w:val="bottom"/>
            <w:gridSpan w:val="3"/>
          </w:tcPr>
          <w:p>
            <w:pPr>
              <w:ind w:left="400"/>
              <w:spacing w:after="0"/>
              <w:rPr>
                <w:sz w:val="20"/>
                <w:szCs w:val="20"/>
                <w:color w:val="auto"/>
              </w:rPr>
            </w:pPr>
            <w:r>
              <w:rPr>
                <w:rFonts w:ascii="Arial" w:cs="Arial" w:eastAsia="Arial" w:hAnsi="Arial"/>
                <w:sz w:val="18"/>
                <w:szCs w:val="18"/>
                <w:color w:val="auto"/>
                <w:w w:val="94"/>
              </w:rPr>
              <w:t>of the first three anniversaries of the Vesting Commencement Date, so that all of the Shares shall be</w:t>
            </w:r>
          </w:p>
        </w:tc>
      </w:tr>
      <w:tr>
        <w:trPr>
          <w:trHeight w:val="230"/>
        </w:trPr>
        <w:tc>
          <w:tcPr>
            <w:tcW w:w="2740" w:type="dxa"/>
            <w:vAlign w:val="bottom"/>
          </w:tcPr>
          <w:p>
            <w:pPr>
              <w:spacing w:after="0"/>
              <w:rPr>
                <w:sz w:val="20"/>
                <w:szCs w:val="20"/>
                <w:color w:val="auto"/>
              </w:rPr>
            </w:pPr>
          </w:p>
        </w:tc>
        <w:tc>
          <w:tcPr>
            <w:tcW w:w="7940" w:type="dxa"/>
            <w:vAlign w:val="bottom"/>
            <w:gridSpan w:val="3"/>
          </w:tcPr>
          <w:p>
            <w:pPr>
              <w:ind w:left="400"/>
              <w:spacing w:after="0"/>
              <w:rPr>
                <w:sz w:val="20"/>
                <w:szCs w:val="20"/>
                <w:color w:val="auto"/>
              </w:rPr>
            </w:pPr>
            <w:r>
              <w:rPr>
                <w:rFonts w:ascii="Arial" w:cs="Arial" w:eastAsia="Arial" w:hAnsi="Arial"/>
                <w:sz w:val="18"/>
                <w:szCs w:val="18"/>
                <w:color w:val="auto"/>
              </w:rPr>
              <w:t>vested on the third anniversary of the Vesting Commencement Date.</w:t>
            </w:r>
          </w:p>
        </w:tc>
      </w:tr>
    </w:tbl>
    <w:p>
      <w:pPr>
        <w:spacing w:after="0" w:line="198" w:lineRule="exact"/>
        <w:rPr>
          <w:sz w:val="20"/>
          <w:szCs w:val="20"/>
          <w:color w:val="auto"/>
        </w:rPr>
      </w:pPr>
    </w:p>
    <w:p>
      <w:pPr>
        <w:ind w:right="100" w:firstLine="440"/>
        <w:spacing w:after="0" w:line="286" w:lineRule="auto"/>
        <w:rPr>
          <w:sz w:val="20"/>
          <w:szCs w:val="20"/>
          <w:color w:val="auto"/>
        </w:rPr>
      </w:pPr>
      <w:r>
        <w:rPr>
          <w:rFonts w:ascii="Arial" w:cs="Arial" w:eastAsia="Arial" w:hAnsi="Arial"/>
          <w:sz w:val="16"/>
          <w:szCs w:val="16"/>
          <w:b w:val="1"/>
          <w:bCs w:val="1"/>
          <w:color w:val="auto"/>
        </w:rPr>
        <w:t xml:space="preserve">Withholding Tax Election: </w:t>
      </w:r>
      <w:r>
        <w:rPr>
          <w:rFonts w:ascii="Arial" w:cs="Arial" w:eastAsia="Arial" w:hAnsi="Arial"/>
          <w:sz w:val="16"/>
          <w:szCs w:val="16"/>
          <w:color w:val="auto"/>
        </w:rPr>
        <w:t>By accepting this Award electronically through the Plan service provider’s online grant acceptance policy,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understands and agrees that as a condition of the grant of the RSUs hereunder, the Participant is required to, and hereby affirmatively elects to (the “</w:t>
      </w:r>
      <w:r>
        <w:rPr>
          <w:rFonts w:ascii="Arial" w:cs="Arial" w:eastAsia="Arial" w:hAnsi="Arial"/>
          <w:sz w:val="16"/>
          <w:szCs w:val="16"/>
          <w:u w:val="single" w:color="auto"/>
          <w:color w:val="auto"/>
        </w:rPr>
        <w:t>Sell to Cover Election</w:t>
      </w:r>
      <w:r>
        <w:rPr>
          <w:rFonts w:ascii="Arial" w:cs="Arial" w:eastAsia="Arial" w:hAnsi="Arial"/>
          <w:sz w:val="16"/>
          <w:szCs w:val="16"/>
          <w:color w:val="auto"/>
        </w:rPr>
        <w:t xml:space="preserve">”), (1) sell that number of Shares determined in accordance with Section 2.5 of the Agreement as may be necessary to satisfy all applicable withholding obligations with respect to any taxable event arising in connection with the RSUs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similarly sell such number of Shares as may be necessary to satisfy all applicable withholding obligations with respect to any other awards of restricted stock units granted to the Participant under the Plan or any other equity incentive plans of the Company or its predecessor, and (2) to allow the Agent (as defined in the Agreement) to remit the cash proceeds of such sale(s) to the Company. Furthermore, the Participant directs the Company to make a cash payment equal to the required tax withholding from the cash proceeds of such sale(s) directly to the appropriate taxing authorities. </w:t>
      </w:r>
      <w:r>
        <w:rPr>
          <w:rFonts w:ascii="Arial" w:cs="Arial" w:eastAsia="Arial" w:hAnsi="Arial"/>
          <w:sz w:val="16"/>
          <w:szCs w:val="16"/>
          <w:b w:val="1"/>
          <w:bCs w:val="1"/>
          <w:color w:val="auto"/>
        </w:rPr>
        <w:t>The Participant has carefully</w:t>
      </w:r>
      <w:r>
        <w:rPr>
          <w:rFonts w:ascii="Arial" w:cs="Arial" w:eastAsia="Arial" w:hAnsi="Arial"/>
          <w:sz w:val="16"/>
          <w:szCs w:val="16"/>
          <w:color w:val="auto"/>
        </w:rPr>
        <w:t xml:space="preserve"> </w:t>
      </w:r>
      <w:r>
        <w:rPr>
          <w:rFonts w:ascii="Arial" w:cs="Arial" w:eastAsia="Arial" w:hAnsi="Arial"/>
          <w:sz w:val="16"/>
          <w:szCs w:val="16"/>
          <w:b w:val="1"/>
          <w:bCs w:val="1"/>
          <w:color w:val="auto"/>
        </w:rPr>
        <w:t>reviewed Section 2.5 of the Agreement and the Participant hereby represents and warrants that on the date hereof he or she is not subject to any legal, regulatory or contractual restriction that would prevent the Agent from conducting sales, does not have, and will not attempt to exercise, authority, influence or control over any sales of Shares effected by the Agent pursuant to the Agreement, and is entering into the Agreement and this election to “sell to cover” in good faith and not as part of a plan or scheme to evade the prohibitions of Rule 10b5-1 (regarding trading of the Company’s securities on the basis of material nonpublic information) under the Securities Exchange Act of 1934, as amended (the “</w:t>
      </w:r>
      <w:r>
        <w:rPr>
          <w:rFonts w:ascii="Arial" w:cs="Arial" w:eastAsia="Arial" w:hAnsi="Arial"/>
          <w:sz w:val="16"/>
          <w:szCs w:val="16"/>
          <w:b w:val="1"/>
          <w:bCs w:val="1"/>
          <w:u w:val="single" w:color="auto"/>
          <w:color w:val="auto"/>
        </w:rPr>
        <w:t>Exchange Act</w:t>
      </w:r>
      <w:r>
        <w:rPr>
          <w:rFonts w:ascii="Arial" w:cs="Arial" w:eastAsia="Arial" w:hAnsi="Arial"/>
          <w:sz w:val="16"/>
          <w:szCs w:val="16"/>
          <w:b w:val="1"/>
          <w:bCs w:val="1"/>
          <w:color w:val="auto"/>
        </w:rPr>
        <w:t>”). It is the Participant’s intent that this election to “sell to cover” comply with the requirements of Rule 10b5-1(c)(1)(i)(B) under the Exchange Act and be interpreted to comply with the requirements of Rule 10b5-1(c) under the Exchange Act.</w:t>
      </w:r>
    </w:p>
    <w:p>
      <w:pPr>
        <w:sectPr>
          <w:pgSz w:w="11900" w:h="16838" w:orient="portrait"/>
          <w:cols w:equalWidth="0" w:num="1">
            <w:col w:w="11020"/>
          </w:cols>
          <w:pgMar w:left="440" w:top="121" w:right="439" w:bottom="1440" w:gutter="0" w:footer="0" w:header="0"/>
        </w:sectPr>
      </w:pPr>
    </w:p>
    <w:bookmarkStart w:id="50" w:name="page51"/>
    <w:bookmarkEnd w:id="50"/>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accepting this Award electronically through the Plan service provider’s online grant acceptance policy, Participant agrees to be bound by the terms and conditions of the Plan, the Agreement and the Grant Notice. Participant has reviewed the Agreement, the Plan and the Grant Notice in their entirety, has had an opportunity to obtain the advice of counsel prior to executing the Grant Notice and fully understands all provisions of the Grant Notice, the Agreement, and the Plan. Participant hereby agrees to accept as binding, conclusive and final all decisions or interpretations of the Administrator upon any questions arising under the Plan, the Grant Notice or the Agreement.</w:t>
      </w:r>
    </w:p>
    <w:p>
      <w:pPr>
        <w:sectPr>
          <w:pgSz w:w="11900" w:h="16838" w:orient="portrait"/>
          <w:cols w:equalWidth="0" w:num="1">
            <w:col w:w="10780"/>
          </w:cols>
          <w:pgMar w:left="440" w:top="274" w:right="67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RESTRICTED STOCK UNIT AWARD GRANT NOTICE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121"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Pursuant to the Grant Notice to which this Agreement is attached, the Company has granted to Participant the number of RSUs set forth in the Grant Notice.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u w:val="single" w:color="auto"/>
          <w:color w:val="auto"/>
        </w:rPr>
        <w:t>Section 1.1 Defined Terms</w:t>
      </w:r>
      <w:r>
        <w:rPr>
          <w:rFonts w:ascii="Arial" w:cs="Arial" w:eastAsia="Arial" w:hAnsi="Arial"/>
          <w:sz w:val="18"/>
          <w:szCs w:val="18"/>
          <w:color w:val="auto"/>
        </w:rPr>
        <w:t>. Capitalized terms not specifically defined herein shall have the meanings specified in the Plan or the Grant Notice. For purposes of this Agreement,</w:t>
      </w:r>
    </w:p>
    <w:p>
      <w:pPr>
        <w:spacing w:after="0" w:line="62" w:lineRule="exact"/>
        <w:rPr>
          <w:sz w:val="20"/>
          <w:szCs w:val="20"/>
          <w:color w:val="auto"/>
        </w:rPr>
      </w:pPr>
    </w:p>
    <w:p>
      <w:pPr>
        <w:ind w:right="40" w:firstLine="987"/>
        <w:spacing w:after="0" w:line="259" w:lineRule="auto"/>
        <w:tabs>
          <w:tab w:leader="none" w:pos="12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Controls, is Controlled by, or is under common Control with or of, such entity. The term “</w:t>
      </w:r>
      <w:r>
        <w:rPr>
          <w:rFonts w:ascii="Arial" w:cs="Arial" w:eastAsia="Arial" w:hAnsi="Arial"/>
          <w:sz w:val="18"/>
          <w:szCs w:val="18"/>
          <w:u w:val="single" w:color="auto"/>
          <w:color w:val="auto"/>
        </w:rPr>
        <w:t>Control</w:t>
      </w:r>
      <w:r>
        <w:rPr>
          <w:rFonts w:ascii="Arial" w:cs="Arial" w:eastAsia="Arial" w:hAnsi="Arial"/>
          <w:sz w:val="18"/>
          <w:szCs w:val="18"/>
          <w:color w:val="auto"/>
        </w:rPr>
        <w:t>” (including, with correlative meaning, the terms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as used with respect to any entity, means the possession, directly or indirectly, of the power to direct or cause the direction of the management and policies of such entity, whether through the ownership of voting securities, by contract or otherwise.</w:t>
      </w:r>
    </w:p>
    <w:p>
      <w:pPr>
        <w:spacing w:after="0" w:line="78" w:lineRule="exact"/>
        <w:rPr>
          <w:rFonts w:ascii="Arial" w:cs="Arial" w:eastAsia="Arial" w:hAnsi="Arial"/>
          <w:sz w:val="18"/>
          <w:szCs w:val="18"/>
          <w:color w:val="auto"/>
        </w:rPr>
      </w:pPr>
    </w:p>
    <w:p>
      <w:pPr>
        <w:ind w:right="60" w:firstLine="987"/>
        <w:spacing w:after="0" w:line="272" w:lineRule="auto"/>
        <w:tabs>
          <w:tab w:leader="none" w:pos="1246" w:val="left"/>
        </w:tabs>
        <w:numPr>
          <w:ilvl w:val="0"/>
          <w:numId w:val="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shall mean, unless such term or an equivalent term is otherwise defined by any employment agreement or offer letter between a Participant and a Participating Company, any of the following: (i) Participant’s material breach or substantial failure to perform any of the duties, responsibilities, representation, warranties, covenants or obligations under this Agreement (other than as a result of Participant’s death or disability), which failure continues unremedied and uncured for a period of thirty (30) days after written notice from the Company requesting such remedy or cure by Participant, (ii) Participant’s conviction for, or plea of guilty or no contest to, or confession of guilt of, any felony or gross misdemeanor (excluding minor traffic violations or similar offenses), (iii) Participant’s commission of any act of fraud, misappropriation, embezzlement, theft or gross malfeasance with respect to the Company or any of its affiliates or any of their assets.</w:t>
      </w:r>
    </w:p>
    <w:p>
      <w:pPr>
        <w:spacing w:after="0" w:line="69" w:lineRule="exact"/>
        <w:rPr>
          <w:rFonts w:ascii="Arial" w:cs="Arial" w:eastAsia="Arial" w:hAnsi="Arial"/>
          <w:sz w:val="17"/>
          <w:szCs w:val="17"/>
          <w:color w:val="auto"/>
        </w:rPr>
      </w:pPr>
    </w:p>
    <w:p>
      <w:pPr>
        <w:ind w:left="1240" w:hanging="253"/>
        <w:spacing w:after="0"/>
        <w:tabs>
          <w:tab w:leader="none" w:pos="12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Cessation Date</w:t>
      </w:r>
      <w:r>
        <w:rPr>
          <w:rFonts w:ascii="Arial" w:cs="Arial" w:eastAsia="Arial" w:hAnsi="Arial"/>
          <w:sz w:val="17"/>
          <w:szCs w:val="17"/>
          <w:color w:val="auto"/>
        </w:rPr>
        <w:t>” shall mean the date of Participant’s Termination of Service (regardless of the reason for such termination).</w:t>
      </w:r>
    </w:p>
    <w:p>
      <w:pPr>
        <w:spacing w:after="0" w:line="129" w:lineRule="exact"/>
        <w:rPr>
          <w:sz w:val="20"/>
          <w:szCs w:val="20"/>
          <w:color w:val="auto"/>
        </w:rPr>
      </w:pPr>
    </w:p>
    <w:p>
      <w:pPr>
        <w:ind w:left="1240" w:hanging="253"/>
        <w:spacing w:after="0"/>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shall mean the Company or any of its Affiliates.</w:t>
      </w:r>
    </w:p>
    <w:p>
      <w:pPr>
        <w:spacing w:after="0" w:line="117" w:lineRule="exact"/>
        <w:rPr>
          <w:rFonts w:ascii="Arial" w:cs="Arial" w:eastAsia="Arial" w:hAnsi="Arial"/>
          <w:sz w:val="18"/>
          <w:szCs w:val="18"/>
          <w:color w:val="auto"/>
        </w:rPr>
      </w:pPr>
    </w:p>
    <w:p>
      <w:pPr>
        <w:ind w:firstLine="987"/>
        <w:spacing w:after="0" w:line="259" w:lineRule="auto"/>
        <w:tabs>
          <w:tab w:leader="none" w:pos="1216"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joint venture, partnership, limited liability company, association, joint stock or other company, business trust, trust or other entity or organization, including any national, federal, state, territorial agency, local or foreign judicial, legislative, regulatory or administrative authority, commission, court, tribunal, any political or other subdivision, department or branch of any of the foregoing, and any self-regulatory organization or arbitrator.</w:t>
      </w:r>
    </w:p>
    <w:p>
      <w:pPr>
        <w:spacing w:after="0" w:line="18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u w:val="single" w:color="auto"/>
          <w:color w:val="auto"/>
        </w:rPr>
        <w:t>Section 1.2 Incorporation of Terms of Plan</w:t>
      </w:r>
      <w:r>
        <w:rPr>
          <w:rFonts w:ascii="Arial" w:cs="Arial" w:eastAsia="Arial" w:hAnsi="Arial"/>
          <w:sz w:val="18"/>
          <w:szCs w:val="18"/>
          <w:color w:val="auto"/>
        </w:rPr>
        <w:t>. The RSUs and the shares of Class A Common Stock issued to Participant hereunder (“</w:t>
      </w:r>
      <w:r>
        <w:rPr>
          <w:rFonts w:ascii="Arial" w:cs="Arial" w:eastAsia="Arial" w:hAnsi="Arial"/>
          <w:sz w:val="18"/>
          <w:szCs w:val="18"/>
          <w:u w:val="single" w:color="auto"/>
          <w:color w:val="auto"/>
        </w:rPr>
        <w:t>Shares</w:t>
      </w:r>
      <w:r>
        <w:rPr>
          <w:rFonts w:ascii="Arial" w:cs="Arial" w:eastAsia="Arial" w:hAnsi="Arial"/>
          <w:sz w:val="18"/>
          <w:szCs w:val="18"/>
          <w:color w:val="auto"/>
        </w:rPr>
        <w:t>”) are subject to the terms and conditions set forth in this Agreement and the Plan, which is incorporated herein by reference. In the event of any inconsistency between the Plan and this Agreement, the terms of the Plan shall control.</w:t>
      </w:r>
    </w:p>
    <w:p>
      <w:pPr>
        <w:sectPr>
          <w:pgSz w:w="11900" w:h="16838" w:orient="portrait"/>
          <w:cols w:equalWidth="0" w:num="1">
            <w:col w:w="11000"/>
          </w:cols>
          <w:pgMar w:left="440" w:top="270" w:right="45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OF RESTRICTED STOCK UNITS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2.1 Award of RSUs</w:t>
      </w:r>
    </w:p>
    <w:p>
      <w:pPr>
        <w:spacing w:after="0" w:line="117" w:lineRule="exact"/>
        <w:rPr>
          <w:sz w:val="20"/>
          <w:szCs w:val="20"/>
          <w:color w:val="auto"/>
        </w:rPr>
      </w:pPr>
    </w:p>
    <w:p>
      <w:pPr>
        <w:ind w:right="40" w:firstLine="987"/>
        <w:spacing w:after="0" w:line="270" w:lineRule="auto"/>
        <w:tabs>
          <w:tab w:leader="none" w:pos="1236" w:val="left"/>
        </w:tabs>
        <w:numPr>
          <w:ilvl w:val="0"/>
          <w:numId w:val="43"/>
        </w:numPr>
        <w:rPr>
          <w:rFonts w:ascii="Arial" w:cs="Arial" w:eastAsia="Arial" w:hAnsi="Arial"/>
          <w:sz w:val="17"/>
          <w:szCs w:val="17"/>
          <w:color w:val="auto"/>
        </w:rPr>
      </w:pPr>
      <w:r>
        <w:rPr>
          <w:rFonts w:ascii="Arial" w:cs="Arial" w:eastAsia="Arial" w:hAnsi="Arial"/>
          <w:sz w:val="17"/>
          <w:szCs w:val="17"/>
          <w:color w:val="auto"/>
        </w:rPr>
        <w:t>For other good and valuable consideration, receipt of which is acknowledged by the Company, effective as of the grant date set forth in the Grant Notice (the “</w:t>
      </w:r>
      <w:r>
        <w:rPr>
          <w:rFonts w:ascii="Arial" w:cs="Arial" w:eastAsia="Arial" w:hAnsi="Arial"/>
          <w:sz w:val="17"/>
          <w:szCs w:val="17"/>
          <w:u w:val="single" w:color="auto"/>
          <w:color w:val="auto"/>
        </w:rPr>
        <w:t>Grant Date</w:t>
      </w:r>
      <w:r>
        <w:rPr>
          <w:rFonts w:ascii="Arial" w:cs="Arial" w:eastAsia="Arial" w:hAnsi="Arial"/>
          <w:sz w:val="17"/>
          <w:szCs w:val="17"/>
          <w:color w:val="auto"/>
        </w:rPr>
        <w:t>”), the Company has granted to Participant the number of RSUs set forth in the Grant Notice, upon the terms and conditions set forth in the Grant Notice, the Plan and this Agreement, subject to adjustment as provided in Section 12.2 of the Plan. Each RSU represents the right to receive one Share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 The Award is intended to constitute an “employment inducement” award under Nasdaq Stock Market (“</w:t>
      </w:r>
      <w:r>
        <w:rPr>
          <w:rFonts w:ascii="Arial" w:cs="Arial" w:eastAsia="Arial" w:hAnsi="Arial"/>
          <w:sz w:val="17"/>
          <w:szCs w:val="17"/>
          <w:u w:val="single" w:color="auto"/>
          <w:color w:val="auto"/>
        </w:rPr>
        <w:t>Nasdaq</w:t>
      </w:r>
      <w:r>
        <w:rPr>
          <w:rFonts w:ascii="Arial" w:cs="Arial" w:eastAsia="Arial" w:hAnsi="Arial"/>
          <w:sz w:val="17"/>
          <w:szCs w:val="17"/>
          <w:color w:val="auto"/>
        </w:rPr>
        <w:t>”) Rule 5635(c)(4), and consequently is intended to be exempt from the Nasdaq rules regarding shareholder approval of stock option plans or other equity compensation arrangements. This Agreement and the terms and conditions of the Award shall be interpreted in accordance and consistent with such exemption.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2.2 Vesting of RSUs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3" w:lineRule="auto"/>
        <w:tabs>
          <w:tab w:leader="none" w:pos="12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Subject to Participant’s continued employment with or service to a Participating Company on each applicable vesting date and subject to the terms of this Agreement, including, without limitation, </w:t>
      </w:r>
      <w:r>
        <w:rPr>
          <w:rFonts w:ascii="Arial" w:cs="Arial" w:eastAsia="Arial" w:hAnsi="Arial"/>
          <w:sz w:val="18"/>
          <w:szCs w:val="18"/>
          <w:u w:val="single" w:color="auto"/>
          <w:color w:val="auto"/>
        </w:rPr>
        <w:t>Section 2.2(d)</w:t>
      </w:r>
      <w:r>
        <w:rPr>
          <w:rFonts w:ascii="Arial" w:cs="Arial" w:eastAsia="Arial" w:hAnsi="Arial"/>
          <w:sz w:val="18"/>
          <w:szCs w:val="18"/>
          <w:color w:val="auto"/>
        </w:rPr>
        <w:t>, the RSUs shall vest in such amounts and at such times as are set forth in the Grant Notice.</w:t>
      </w:r>
    </w:p>
    <w:p>
      <w:pPr>
        <w:spacing w:after="0" w:line="75" w:lineRule="exact"/>
        <w:rPr>
          <w:rFonts w:ascii="Arial" w:cs="Arial" w:eastAsia="Arial" w:hAnsi="Arial"/>
          <w:sz w:val="18"/>
          <w:szCs w:val="18"/>
          <w:color w:val="auto"/>
        </w:rPr>
      </w:pPr>
    </w:p>
    <w:p>
      <w:pPr>
        <w:ind w:right="140" w:firstLine="987"/>
        <w:spacing w:after="0" w:line="259" w:lineRule="auto"/>
        <w:tabs>
          <w:tab w:leader="none" w:pos="12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event Participant incurs a Termination of Service, except as may be otherwise provided herein or in the Plan or by the Administrator or as set forth in a written agreement between Participant and the Company, Participant shall immediately forfeit any and all RSUs granted under this Agreement that have not vested or do not vest on or prior to the date on which such Termination of Service occurs, and Participant’s rights in any such RSUs that are not so vested shall lapse and expire.</w:t>
      </w:r>
    </w:p>
    <w:p>
      <w:pPr>
        <w:spacing w:after="0" w:line="78" w:lineRule="exact"/>
        <w:rPr>
          <w:rFonts w:ascii="Arial" w:cs="Arial" w:eastAsia="Arial" w:hAnsi="Arial"/>
          <w:sz w:val="18"/>
          <w:szCs w:val="18"/>
          <w:color w:val="auto"/>
        </w:rPr>
      </w:pPr>
    </w:p>
    <w:p>
      <w:pPr>
        <w:ind w:right="160" w:firstLine="987"/>
        <w:spacing w:after="0" w:line="259" w:lineRule="auto"/>
        <w:tabs>
          <w:tab w:leader="none" w:pos="12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Notwithstanding the Grant Notice or the provisions of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2.2(b)</w:t>
      </w:r>
      <w:r>
        <w:rPr>
          <w:rFonts w:ascii="Arial" w:cs="Arial" w:eastAsia="Arial" w:hAnsi="Arial"/>
          <w:sz w:val="18"/>
          <w:szCs w:val="18"/>
          <w:color w:val="auto"/>
        </w:rPr>
        <w:t>, in the event Participant incurs a Termination of Service for Cause, except as may be otherwise provided by the Administrator or as set forth in a written agreement between Participant and the Company, Participant shall immediately forfeit any and all RSUs granted under this Agreement (whether or not vested), and Participant’s rights in any such RSUs shall lapse and expire.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2.3</w:t>
      </w:r>
    </w:p>
    <w:p>
      <w:pPr>
        <w:spacing w:after="0" w:line="117" w:lineRule="exact"/>
        <w:rPr>
          <w:sz w:val="20"/>
          <w:szCs w:val="20"/>
          <w:color w:val="auto"/>
        </w:rPr>
      </w:pPr>
    </w:p>
    <w:p>
      <w:pPr>
        <w:ind w:right="200" w:firstLine="987"/>
        <w:spacing w:after="0" w:line="273" w:lineRule="auto"/>
        <w:tabs>
          <w:tab w:leader="none" w:pos="1236"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Distribution or Payment of RSUs</w:t>
      </w:r>
      <w:r>
        <w:rPr>
          <w:rFonts w:ascii="Arial" w:cs="Arial" w:eastAsia="Arial" w:hAnsi="Arial"/>
          <w:sz w:val="17"/>
          <w:szCs w:val="17"/>
          <w:color w:val="auto"/>
        </w:rPr>
        <w:t xml:space="preserve">. Participant’s RSUs shall be distributed in Shares (either in book-entry form or otherwise) on or within two business days following each applicable vesting date. Notwithstanding the foregoing, the Company may delay a distribution or payment in settlement of RSUs if it reasonably determines that such payment or distribution will violate federal securities laws or any other Applicable Law,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distribution or payment shall be made at the earliest date at which the Company reasonably determines that the making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distribution or payment will not cause such violation, as required by Treasury Regulation Section 1.409A-2(b)(7)(ii),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 payment or distribution shall be delayed under this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if such delay will result in a violation of Section 409A.</w:t>
      </w:r>
    </w:p>
    <w:p>
      <w:pPr>
        <w:sectPr>
          <w:pgSz w:w="11900" w:h="16838" w:orient="portrait"/>
          <w:cols w:equalWidth="0" w:num="1">
            <w:col w:w="11000"/>
          </w:cols>
          <w:pgMar w:left="440" w:top="270" w:right="459" w:bottom="1440" w:gutter="0" w:footer="0" w:header="0"/>
        </w:sectPr>
      </w:pPr>
    </w:p>
    <w:bookmarkStart w:id="53" w:name="page54"/>
    <w:bookmarkEnd w:id="53"/>
    <w:p>
      <w:pPr>
        <w:ind w:right="60" w:firstLine="987"/>
        <w:spacing w:after="0" w:line="263" w:lineRule="auto"/>
        <w:tabs>
          <w:tab w:leader="none" w:pos="1246"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distributions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u w:val="single" w:color="auto"/>
          <w:color w:val="auto"/>
        </w:rPr>
        <w:t>Section 2.4 Conditions to Issuance of Certificates</w:t>
      </w:r>
      <w:r>
        <w:rPr>
          <w:rFonts w:ascii="Arial" w:cs="Arial" w:eastAsia="Arial" w:hAnsi="Arial"/>
          <w:sz w:val="17"/>
          <w:szCs w:val="17"/>
          <w:color w:val="auto"/>
        </w:rPr>
        <w:t xml:space="preserve">. The Company shall not be required to issue or deliver any certificate or certificates for any Shares or to cause any Shares to be held in book-entry form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(c) the obtaining of any approval or other clearance from any state or federal governmental agency that the Administrator shall, in its absolute discretion, determine to be necessary or advisable, (d) the receipt by the Company of full payment for such Shares, which may be in one or more of the forms of consideration permitted under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(e) the receipt of full payment of any applicable withholding tax in accordance with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by the Participating Company with respect to which the applicable withholding obligation arises.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2.5 Tax Withholding</w:t>
      </w:r>
      <w:r>
        <w:rPr>
          <w:rFonts w:ascii="Arial" w:cs="Arial" w:eastAsia="Arial" w:hAnsi="Arial"/>
          <w:sz w:val="18"/>
          <w:szCs w:val="18"/>
          <w:color w:val="auto"/>
        </w:rPr>
        <w:t>. Notwithstanding any other provision of this Agreement:</w:t>
      </w:r>
    </w:p>
    <w:p>
      <w:pPr>
        <w:spacing w:after="0" w:line="117" w:lineRule="exact"/>
        <w:rPr>
          <w:sz w:val="20"/>
          <w:szCs w:val="20"/>
          <w:color w:val="auto"/>
        </w:rPr>
      </w:pPr>
    </w:p>
    <w:p>
      <w:pPr>
        <w:ind w:right="40" w:firstLine="987"/>
        <w:spacing w:after="0" w:line="253" w:lineRule="auto"/>
        <w:tabs>
          <w:tab w:leader="none" w:pos="1236" w:val="left"/>
        </w:tabs>
        <w:numPr>
          <w:ilvl w:val="1"/>
          <w:numId w:val="47"/>
        </w:numPr>
        <w:rPr>
          <w:rFonts w:ascii="Arial" w:cs="Arial" w:eastAsia="Arial" w:hAnsi="Arial"/>
          <w:sz w:val="18"/>
          <w:szCs w:val="18"/>
          <w:color w:val="auto"/>
        </w:rPr>
      </w:pPr>
      <w:r>
        <w:rPr>
          <w:rFonts w:ascii="Arial" w:cs="Arial" w:eastAsia="Arial" w:hAnsi="Arial"/>
          <w:sz w:val="18"/>
          <w:szCs w:val="18"/>
          <w:color w:val="auto"/>
        </w:rPr>
        <w:t>As set forth in Section 10.2 of the Plan, the Company shall have the authority and the right to deduct or withhold, or to require the Participant to remit to the Company, an amount sufficient to satisfy all applicable federal, state and local taxes required by law to be withheld with respect to any taxable event arising in connection with the Restricted Stock Units. In satisfaction of such tax withholding obligations and in accordance with the Sell to Cover Election included in the Grant Notice, the Participant has irrevocably elected to sell the portion of the Shares to be delivered under the Restricted Stock Units necessary so as to satisfy the tax withholding obligations and shall execute any letter of instruction or agreement required by the Company’s transfer agent (together with any other party the Company determines necessary to execute the Sell to Cover Election, the “</w:t>
      </w:r>
      <w:r>
        <w:rPr>
          <w:rFonts w:ascii="Arial" w:cs="Arial" w:eastAsia="Arial" w:hAnsi="Arial"/>
          <w:sz w:val="18"/>
          <w:szCs w:val="18"/>
          <w:u w:val="single" w:color="auto"/>
          <w:color w:val="auto"/>
        </w:rPr>
        <w:t>Agent</w:t>
      </w:r>
      <w:r>
        <w:rPr>
          <w:rFonts w:ascii="Arial" w:cs="Arial" w:eastAsia="Arial" w:hAnsi="Arial"/>
          <w:sz w:val="18"/>
          <w:szCs w:val="18"/>
          <w:color w:val="auto"/>
        </w:rPr>
        <w:t>”) to cause the Agent to irrevocably commit to forward the proceeds necessary to satisfy the tax withholding obligations directly to the Company and/or its Affiliates. In accordance with Participant’s Sell to Cover Election pursuant to the Grant Notice, the Participant hereby acknowledges and agrees:</w:t>
      </w:r>
    </w:p>
    <w:p>
      <w:pPr>
        <w:spacing w:after="0" w:line="88" w:lineRule="exact"/>
        <w:rPr>
          <w:rFonts w:ascii="Arial" w:cs="Arial" w:eastAsia="Arial" w:hAnsi="Arial"/>
          <w:sz w:val="18"/>
          <w:szCs w:val="18"/>
          <w:color w:val="auto"/>
        </w:rPr>
      </w:pPr>
    </w:p>
    <w:p>
      <w:pPr>
        <w:ind w:left="440" w:right="60" w:firstLine="948"/>
        <w:spacing w:after="0" w:line="287" w:lineRule="auto"/>
        <w:tabs>
          <w:tab w:leader="none" w:pos="1607" w:val="left"/>
        </w:tabs>
        <w:numPr>
          <w:ilvl w:val="2"/>
          <w:numId w:val="47"/>
        </w:numPr>
        <w:rPr>
          <w:rFonts w:ascii="Arial" w:cs="Arial" w:eastAsia="Arial" w:hAnsi="Arial"/>
          <w:sz w:val="16"/>
          <w:szCs w:val="16"/>
          <w:color w:val="auto"/>
        </w:rPr>
      </w:pPr>
      <w:r>
        <w:rPr>
          <w:rFonts w:ascii="Arial" w:cs="Arial" w:eastAsia="Arial" w:hAnsi="Arial"/>
          <w:sz w:val="16"/>
          <w:szCs w:val="16"/>
          <w:color w:val="auto"/>
        </w:rPr>
        <w:t>The Participant hereby appoints the Agent as the Participant’s agent and authorizes the Agent to (1) sell on the open market at the then prevailing market price(s), on the Participant’s behalf, as soon as practicable on or after the Shares are issued upon the vesting of the Restricted Stock Units, that number (rounded up to the next whole number) of the Shares so issued necessary to generate proceeds to cover</w:t>
      </w:r>
    </w:p>
    <w:p>
      <w:pPr>
        <w:spacing w:after="0" w:line="2" w:lineRule="exact"/>
        <w:rPr>
          <w:rFonts w:ascii="Arial" w:cs="Arial" w:eastAsia="Arial" w:hAnsi="Arial"/>
          <w:sz w:val="16"/>
          <w:szCs w:val="16"/>
          <w:color w:val="auto"/>
        </w:rPr>
      </w:pPr>
    </w:p>
    <w:p>
      <w:pPr>
        <w:ind w:left="440" w:right="540" w:hanging="4"/>
        <w:spacing w:after="0" w:line="323" w:lineRule="auto"/>
        <w:tabs>
          <w:tab w:leader="none" w:pos="695"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tax withholding obligations incurred with respect to such vesting or issuance and (y) all applicable fees and commissions due to, or required to be collected by, the Agent with respect thereto and (2) apply any remaining funds to the Participant’s federal tax withholding.</w:t>
      </w:r>
    </w:p>
    <w:p>
      <w:pPr>
        <w:spacing w:after="0" w:line="30" w:lineRule="exact"/>
        <w:rPr>
          <w:rFonts w:ascii="Arial" w:cs="Arial" w:eastAsia="Arial" w:hAnsi="Arial"/>
          <w:sz w:val="16"/>
          <w:szCs w:val="16"/>
          <w:color w:val="auto"/>
        </w:rPr>
      </w:pPr>
    </w:p>
    <w:p>
      <w:pPr>
        <w:ind w:left="440" w:right="120" w:firstLine="948"/>
        <w:spacing w:after="0" w:line="277" w:lineRule="auto"/>
        <w:tabs>
          <w:tab w:leader="none" w:pos="1657"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Participant hereby authorizes the Company and the Agent to cooperate and communicate with one another to determine the number of Shares that must be sold pursuant to subsection (i) above.</w:t>
      </w:r>
    </w:p>
    <w:p>
      <w:pPr>
        <w:spacing w:after="0" w:line="62" w:lineRule="exact"/>
        <w:rPr>
          <w:rFonts w:ascii="Arial" w:cs="Arial" w:eastAsia="Arial" w:hAnsi="Arial"/>
          <w:sz w:val="18"/>
          <w:szCs w:val="18"/>
          <w:color w:val="auto"/>
        </w:rPr>
      </w:pPr>
    </w:p>
    <w:p>
      <w:pPr>
        <w:jc w:val="both"/>
        <w:ind w:left="440" w:right="20" w:firstLine="948"/>
        <w:spacing w:after="0" w:line="259" w:lineRule="auto"/>
        <w:tabs>
          <w:tab w:leader="none" w:pos="1707"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Participant understands that the Agent may effect sales as provided in subsection (i) above in one or more sales and that the average price for executions resulting from bunched orders will be assigned to the Participant’s account. In addition, the Participant acknowledges that it may not be possible to sell Shares as provided by subsection (i) above due to (1) a legal or contractual restriction applicable to the Participant or the Agent, (2) a market</w:t>
      </w:r>
    </w:p>
    <w:p>
      <w:pPr>
        <w:sectPr>
          <w:pgSz w:w="11900" w:h="16838" w:orient="portrait"/>
          <w:cols w:equalWidth="0" w:num="1">
            <w:col w:w="10980"/>
          </w:cols>
          <w:pgMar w:left="440" w:top="274" w:right="479" w:bottom="1440" w:gutter="0" w:footer="0" w:header="0"/>
        </w:sectPr>
      </w:pPr>
    </w:p>
    <w:bookmarkStart w:id="54" w:name="page55"/>
    <w:bookmarkEnd w:id="54"/>
    <w:p>
      <w:pPr>
        <w:ind w:left="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disruption, or (3) rules governing order execution priority on the national exchange where the Shares may be traded. The Participant further agrees and acknowledges that in the event the sale of Shares would result in material adverse harm to the Company, as determined by the Company in its sole discretion, the Company may instruct the Agent not to sell Shares as provided by subsection (i) above. In the event of the Agent’s inability to sell Shares, the Participant will continue to be responsible for the timely payment to the Company and/or its Affiliates of all federal, state, local and foreign taxes that are required by applicable laws and regulations to be withheld, including but not limited to those amounts specified in subsection (i) above.</w:t>
      </w:r>
    </w:p>
    <w:p>
      <w:pPr>
        <w:spacing w:after="0" w:line="84" w:lineRule="exact"/>
        <w:rPr>
          <w:sz w:val="20"/>
          <w:szCs w:val="20"/>
          <w:color w:val="auto"/>
        </w:rPr>
      </w:pPr>
    </w:p>
    <w:p>
      <w:pPr>
        <w:ind w:left="440" w:right="40" w:firstLine="948"/>
        <w:spacing w:after="0" w:line="286" w:lineRule="auto"/>
        <w:tabs>
          <w:tab w:leader="none" w:pos="1697"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Participant acknowledges that regardless of any other term or condition of this Section 2.5(a), the Agent will not be liable to the Participant for (1) special, indirect, punitive, exemplary, or consequential damages, or incidental losses or damages of any kind, or (2) any failure to perform or for any delay in performance that results from a cause or circumstance that is beyond its reasonable control.</w:t>
      </w:r>
    </w:p>
    <w:p>
      <w:pPr>
        <w:spacing w:after="0" w:line="57" w:lineRule="exact"/>
        <w:rPr>
          <w:rFonts w:ascii="Arial" w:cs="Arial" w:eastAsia="Arial" w:hAnsi="Arial"/>
          <w:sz w:val="17"/>
          <w:szCs w:val="17"/>
          <w:color w:val="auto"/>
        </w:rPr>
      </w:pPr>
    </w:p>
    <w:p>
      <w:pPr>
        <w:ind w:left="440" w:right="280" w:firstLine="948"/>
        <w:spacing w:after="0" w:line="263" w:lineRule="auto"/>
        <w:tabs>
          <w:tab w:leader="none" w:pos="1647"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Participant hereby agrees to execute and deliver to the Agent any other agreements or documents as the Agent reasonably deems necessary or appropriate to carry out the purposes and intent of this Section 2.5(a). The Agent is a third-party beneficiary of this Section 2.5(a).</w:t>
      </w:r>
    </w:p>
    <w:p>
      <w:pPr>
        <w:spacing w:after="0" w:line="75" w:lineRule="exact"/>
        <w:rPr>
          <w:rFonts w:ascii="Arial" w:cs="Arial" w:eastAsia="Arial" w:hAnsi="Arial"/>
          <w:sz w:val="18"/>
          <w:szCs w:val="18"/>
          <w:color w:val="auto"/>
        </w:rPr>
      </w:pPr>
    </w:p>
    <w:p>
      <w:pPr>
        <w:ind w:left="440" w:right="80" w:firstLine="948"/>
        <w:spacing w:after="0" w:line="277" w:lineRule="auto"/>
        <w:tabs>
          <w:tab w:leader="none" w:pos="1697"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This Section 2.5(a) shall terminate not later than the date on which all tax withholding obligations arising in connection with the vesting of the Award have been satisfied.</w:t>
      </w:r>
    </w:p>
    <w:p>
      <w:pPr>
        <w:spacing w:after="0" w:line="62" w:lineRule="exact"/>
        <w:rPr>
          <w:rFonts w:ascii="Arial" w:cs="Arial" w:eastAsia="Arial" w:hAnsi="Arial"/>
          <w:sz w:val="18"/>
          <w:szCs w:val="18"/>
          <w:color w:val="auto"/>
        </w:rPr>
      </w:pPr>
    </w:p>
    <w:p>
      <w:pPr>
        <w:ind w:right="60" w:firstLine="987"/>
        <w:spacing w:after="0" w:line="279" w:lineRule="auto"/>
        <w:tabs>
          <w:tab w:leader="none" w:pos="1246"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Company shall not be obligated to deliver any certificate representing Shares issuable with respect to the RSUs to, or 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w:t>
      </w:r>
    </w:p>
    <w:p>
      <w:pPr>
        <w:spacing w:after="0" w:line="63" w:lineRule="exact"/>
        <w:rPr>
          <w:rFonts w:ascii="Arial" w:cs="Arial" w:eastAsia="Arial" w:hAnsi="Arial"/>
          <w:sz w:val="17"/>
          <w:szCs w:val="17"/>
          <w:color w:val="auto"/>
        </w:rPr>
      </w:pPr>
    </w:p>
    <w:p>
      <w:pPr>
        <w:ind w:right="100" w:firstLine="987"/>
        <w:spacing w:after="0" w:line="257" w:lineRule="auto"/>
        <w:tabs>
          <w:tab w:leader="none" w:pos="12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Participant is ultimately liable and responsible for all taxes owed in connection with the RSUs, regardless of any action the Company or any other Participating Company takes with respect to any tax withholding obligations that arise in connection with the RSUs. No Participating Company makes any representation or undertaking regarding the treatment of any tax withholding in connection with the awarding, vesting or payment of the RSUs or the subsequent sale of Shares. The Participating Companies do not commit and are under no obligation to structure the RSUs to reduce or eliminate Participant’s tax liability.</w:t>
      </w:r>
    </w:p>
    <w:p>
      <w:pPr>
        <w:spacing w:after="0" w:line="188"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u w:val="single" w:color="auto"/>
          <w:color w:val="auto"/>
        </w:rPr>
        <w:t>Section 2.6 Rights as Stockholder</w:t>
      </w:r>
      <w:r>
        <w:rPr>
          <w:rFonts w:ascii="Arial" w:cs="Arial" w:eastAsia="Arial" w:hAnsi="Arial"/>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ectPr>
          <w:pgSz w:w="11900" w:h="16838" w:orient="portrait"/>
          <w:cols w:equalWidth="0" w:num="1">
            <w:col w:w="11000"/>
          </w:cols>
          <w:pgMar w:left="440" w:top="274" w:right="459" w:bottom="1440" w:gutter="0" w:footer="0" w:header="0"/>
        </w:sectPr>
      </w:pPr>
    </w:p>
    <w:bookmarkStart w:id="55" w:name="page56"/>
    <w:bookmarkEnd w:id="55"/>
    <w:p>
      <w:pPr>
        <w:ind w:firstLine="440"/>
        <w:spacing w:after="0" w:line="29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2.7 Restrictive Covenants; Forfeiture</w:t>
      </w:r>
      <w:r>
        <w:rPr>
          <w:rFonts w:ascii="Arial" w:cs="Arial" w:eastAsia="Arial" w:hAnsi="Arial"/>
          <w:sz w:val="16"/>
          <w:szCs w:val="16"/>
          <w:color w:val="auto"/>
        </w:rPr>
        <w:t>. Notwithstanding anything contained in this Agreement to the contrary, in the event the Participant breaches any restrictive covenant set forth in the Non-Disclosure, Invention Assignment, Non-Competition Agreement and Non-Solicitation Agreement or the Confidentiality, Non-Competition, and Non-Solicitation Agreement, as applicable, or any other written agreement between the Participant and any Participating Company, in addition to any other damages available at law or in equity, then, (i) any portion of the Award that has not been distributed to the Participant prior to the date of such violation shall thereupon be forfeited and (ii) the Participant shall be required to pay to the Company the amount of all RSU Gain (as defined below). “</w:t>
      </w:r>
      <w:r>
        <w:rPr>
          <w:rFonts w:ascii="Arial" w:cs="Arial" w:eastAsia="Arial" w:hAnsi="Arial"/>
          <w:sz w:val="16"/>
          <w:szCs w:val="16"/>
          <w:b w:val="1"/>
          <w:bCs w:val="1"/>
          <w:i w:val="1"/>
          <w:iCs w:val="1"/>
          <w:color w:val="auto"/>
        </w:rPr>
        <w:t>RSU Gain</w:t>
      </w:r>
      <w:r>
        <w:rPr>
          <w:rFonts w:ascii="Arial" w:cs="Arial" w:eastAsia="Arial" w:hAnsi="Arial"/>
          <w:sz w:val="16"/>
          <w:szCs w:val="16"/>
          <w:color w:val="auto"/>
        </w:rPr>
        <w:t>” shall mean an amount equal to the product of (i) the number of shares of Common Stock that are distributed pursuant to this RSU Award and (ii) the Fair Market Value per share of Common Stock on the date of such distribution.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PROVISIONS</w:t>
      </w:r>
    </w:p>
    <w:p>
      <w:pPr>
        <w:spacing w:after="0" w:line="229"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u w:val="single" w:color="auto"/>
          <w:color w:val="auto"/>
        </w:rPr>
        <w:t>Section 3.1 Administration</w:t>
      </w:r>
      <w:r>
        <w:rPr>
          <w:rFonts w:ascii="Arial" w:cs="Arial" w:eastAsia="Arial" w:hAnsi="Arial"/>
          <w:sz w:val="16"/>
          <w:szCs w:val="16"/>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61" w:lineRule="exact"/>
        <w:rPr>
          <w:sz w:val="20"/>
          <w:szCs w:val="20"/>
          <w:color w:val="auto"/>
        </w:rPr>
      </w:pPr>
    </w:p>
    <w:p>
      <w:pPr>
        <w:ind w:right="200" w:firstLine="440"/>
        <w:spacing w:after="0" w:line="290" w:lineRule="auto"/>
        <w:rPr>
          <w:sz w:val="20"/>
          <w:szCs w:val="20"/>
          <w:color w:val="auto"/>
        </w:rPr>
      </w:pPr>
      <w:r>
        <w:rPr>
          <w:rFonts w:ascii="Arial" w:cs="Arial" w:eastAsia="Arial" w:hAnsi="Arial"/>
          <w:sz w:val="16"/>
          <w:szCs w:val="16"/>
          <w:u w:val="single" w:color="auto"/>
          <w:color w:val="auto"/>
        </w:rPr>
        <w:t>Section 3.2 RSUs Not Transferable</w:t>
      </w:r>
      <w:r>
        <w:rPr>
          <w:rFonts w:ascii="Arial" w:cs="Arial" w:eastAsia="Arial" w:hAnsi="Arial"/>
          <w:sz w:val="16"/>
          <w:szCs w:val="16"/>
          <w:color w:val="auto"/>
        </w:rPr>
        <w:t>. The RSUs may not be sold, pledged, assigned or transferred in any manner other than by will or the laws of descent and distribution, unless and until the Shares underlying the RSUs have been issued, and all restrictions applicable to such Shares have lapsed. No RSUs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 with the consent of the Administrator, the RSUs may be transferred to Permitted Transferees, pursuant to any such conditions and procedures the Administrator may require.</w:t>
      </w:r>
    </w:p>
    <w:p>
      <w:pPr>
        <w:spacing w:after="0" w:line="165" w:lineRule="exact"/>
        <w:rPr>
          <w:sz w:val="20"/>
          <w:szCs w:val="20"/>
          <w:color w:val="auto"/>
        </w:rPr>
      </w:pPr>
    </w:p>
    <w:p>
      <w:pPr>
        <w:jc w:val="both"/>
        <w:ind w:right="440" w:firstLine="440"/>
        <w:spacing w:after="0" w:line="286" w:lineRule="auto"/>
        <w:rPr>
          <w:sz w:val="20"/>
          <w:szCs w:val="20"/>
          <w:color w:val="auto"/>
        </w:rPr>
      </w:pPr>
      <w:r>
        <w:rPr>
          <w:rFonts w:ascii="Arial" w:cs="Arial" w:eastAsia="Arial" w:hAnsi="Arial"/>
          <w:sz w:val="17"/>
          <w:szCs w:val="17"/>
          <w:u w:val="single" w:color="auto"/>
          <w:color w:val="auto"/>
        </w:rPr>
        <w:t>Section 3.3 Adjustments</w:t>
      </w:r>
      <w:r>
        <w:rPr>
          <w:rFonts w:ascii="Arial" w:cs="Arial" w:eastAsia="Arial" w:hAnsi="Arial"/>
          <w:sz w:val="17"/>
          <w:szCs w:val="17"/>
          <w:color w:val="auto"/>
        </w:rPr>
        <w:t>. The Administrator may accelerate the vesting of all or a portion of the RSUs in such circumstances as it, in its sole discretion, may determine. Participant acknowledges that the RSUs and the Shares subject to the RSUs are subject to adjustment, modification and termination in certain events as provided in this Agreement and the Plan, including Section 12.2 of the Plan.</w:t>
      </w:r>
    </w:p>
    <w:p>
      <w:pPr>
        <w:spacing w:after="0" w:line="165"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u w:val="single" w:color="auto"/>
          <w:color w:val="auto"/>
        </w:rPr>
        <w:t>Section 3.4 Notices</w:t>
      </w:r>
      <w:r>
        <w:rPr>
          <w:rFonts w:ascii="Arial" w:cs="Arial" w:eastAsia="Arial" w:hAnsi="Arial"/>
          <w:sz w:val="18"/>
          <w:szCs w:val="18"/>
          <w:color w:val="auto"/>
        </w:rPr>
        <w:t xml:space="preserve">.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w:t>
      </w:r>
      <w:r>
        <w:rPr>
          <w:rFonts w:ascii="Arial" w:cs="Arial" w:eastAsia="Arial" w:hAnsi="Arial"/>
          <w:sz w:val="18"/>
          <w:szCs w:val="18"/>
          <w:u w:val="single" w:color="auto"/>
          <w:color w:val="auto"/>
        </w:rPr>
        <w:t>Section 3.4</w:t>
      </w:r>
      <w:r>
        <w:rPr>
          <w:rFonts w:ascii="Arial" w:cs="Arial" w:eastAsia="Arial" w:hAnsi="Arial"/>
          <w:sz w:val="18"/>
          <w:szCs w:val="18"/>
          <w:color w:val="auto"/>
        </w:rPr>
        <w:t>,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 or similar foreign entity.</w:t>
      </w:r>
    </w:p>
    <w:p>
      <w:pPr>
        <w:spacing w:after="0" w:line="192"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u w:val="single" w:color="auto"/>
          <w:color w:val="auto"/>
        </w:rPr>
        <w:t>Section 3.5 Titles</w:t>
      </w:r>
      <w:r>
        <w:rPr>
          <w:rFonts w:ascii="Arial" w:cs="Arial" w:eastAsia="Arial" w:hAnsi="Arial"/>
          <w:sz w:val="18"/>
          <w:szCs w:val="18"/>
          <w:color w:val="auto"/>
        </w:rPr>
        <w:t>. Titles are provided herein for convenience only and are not to serve as a basis for interpretation or construction of this Agreement.</w:t>
      </w:r>
    </w:p>
    <w:p>
      <w:pPr>
        <w:sectPr>
          <w:pgSz w:w="11900" w:h="16838" w:orient="portrait"/>
          <w:cols w:equalWidth="0" w:num="1">
            <w:col w:w="11000"/>
          </w:cols>
          <w:pgMar w:left="440" w:top="274" w:right="459" w:bottom="1440" w:gutter="0" w:footer="0" w:header="0"/>
        </w:sectPr>
      </w:pPr>
    </w:p>
    <w:bookmarkStart w:id="56" w:name="page57"/>
    <w:bookmarkEnd w:id="56"/>
    <w:p>
      <w:pPr>
        <w:ind w:right="780" w:firstLine="440"/>
        <w:spacing w:after="0" w:line="34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3.6 Governing Law</w:t>
      </w:r>
      <w:r>
        <w:rPr>
          <w:rFonts w:ascii="Arial" w:cs="Arial" w:eastAsia="Arial" w:hAnsi="Arial"/>
          <w:sz w:val="16"/>
          <w:szCs w:val="16"/>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2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u w:val="single" w:color="auto"/>
          <w:color w:val="auto"/>
        </w:rPr>
        <w:t>Section 3.7 Conformity to Securities Laws</w:t>
      </w:r>
      <w:r>
        <w:rPr>
          <w:rFonts w:ascii="Arial" w:cs="Arial" w:eastAsia="Arial" w:hAnsi="Arial"/>
          <w:sz w:val="18"/>
          <w:szCs w:val="18"/>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RSUs are granted, only in such a manner as to conform to Applicable Law. To the extent permitted by Applicable Law, the Plan, the Grant Notice and this Agreement, shall be deemed amended to the extent necessary to conform to Applicable Law.</w:t>
      </w:r>
    </w:p>
    <w:p>
      <w:pPr>
        <w:spacing w:after="0" w:line="192" w:lineRule="exact"/>
        <w:rPr>
          <w:sz w:val="20"/>
          <w:szCs w:val="20"/>
          <w:color w:val="auto"/>
        </w:rPr>
      </w:pPr>
    </w:p>
    <w:p>
      <w:pPr>
        <w:jc w:val="both"/>
        <w:ind w:right="40" w:firstLine="440"/>
        <w:spacing w:after="0" w:line="259" w:lineRule="auto"/>
        <w:rPr>
          <w:sz w:val="20"/>
          <w:szCs w:val="20"/>
          <w:color w:val="auto"/>
        </w:rPr>
      </w:pPr>
      <w:r>
        <w:rPr>
          <w:rFonts w:ascii="Arial" w:cs="Arial" w:eastAsia="Arial" w:hAnsi="Arial"/>
          <w:sz w:val="18"/>
          <w:szCs w:val="18"/>
          <w:u w:val="single" w:color="auto"/>
          <w:color w:val="auto"/>
        </w:rPr>
        <w:t>Section 3.8 Amendment, Suspension and Termination</w:t>
      </w:r>
      <w:r>
        <w:rPr>
          <w:rFonts w:ascii="Arial" w:cs="Arial" w:eastAsia="Arial" w:hAnsi="Arial"/>
          <w:sz w:val="18"/>
          <w:szCs w:val="18"/>
          <w:color w:val="auto"/>
        </w:rPr>
        <w:t>. To the extent permitted by the Plan, this Agreement may be wholly or partially amended or otherwise modified, suspended or terminated at any time or from time to time by the Administrator or the Board</w:t>
      </w:r>
      <w:r>
        <w:rPr>
          <w:rFonts w:ascii="Arial" w:cs="Arial" w:eastAsia="Arial" w:hAnsi="Arial"/>
          <w:sz w:val="18"/>
          <w:szCs w:val="18"/>
          <w:i w:val="1"/>
          <w:iCs w:val="1"/>
          <w:color w:val="auto"/>
        </w:rPr>
        <w:t>, provided</w:t>
      </w:r>
      <w:r>
        <w:rPr>
          <w:rFonts w:ascii="Arial" w:cs="Arial" w:eastAsia="Arial" w:hAnsi="Arial"/>
          <w:sz w:val="18"/>
          <w:szCs w:val="18"/>
          <w:color w:val="auto"/>
        </w:rPr>
        <w:t xml:space="preserve"> that, except as may otherwise be provided by the Plan, no amendment, modification, suspension or termination of this Agreement shall adversely affect the RSUs in any material way without the prior written consent of Participant.</w:t>
      </w:r>
    </w:p>
    <w:p>
      <w:pPr>
        <w:spacing w:after="0" w:line="18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u w:val="single" w:color="auto"/>
          <w:color w:val="auto"/>
        </w:rPr>
        <w:t>Section 3.9 Successors and Assigns</w:t>
      </w:r>
      <w:r>
        <w:rPr>
          <w:rFonts w:ascii="Arial" w:cs="Arial" w:eastAsia="Arial" w:hAnsi="Arial"/>
          <w:sz w:val="18"/>
          <w:szCs w:val="18"/>
          <w:color w:val="auto"/>
        </w:rPr>
        <w:t xml:space="preserve">. The Company may assign any of its rights under this Agreement to single or multiple assignees, and this Agreement shall inure to the benefit of the successors and assigns of the Company. Subject to the restrictions on transfer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the Plan, this Agreement shall be binding upon and inure to the benefit of the heirs, legatees, legal representatives, successors and assigns of the parties hereto.</w:t>
      </w:r>
    </w:p>
    <w:p>
      <w:pPr>
        <w:spacing w:after="0" w:line="187" w:lineRule="exact"/>
        <w:rPr>
          <w:sz w:val="20"/>
          <w:szCs w:val="20"/>
          <w:color w:val="auto"/>
        </w:rPr>
      </w:pPr>
    </w:p>
    <w:p>
      <w:pPr>
        <w:jc w:val="both"/>
        <w:ind w:right="260" w:firstLine="440"/>
        <w:spacing w:after="0" w:line="257" w:lineRule="auto"/>
        <w:rPr>
          <w:sz w:val="20"/>
          <w:szCs w:val="20"/>
          <w:color w:val="auto"/>
        </w:rPr>
      </w:pPr>
      <w:r>
        <w:rPr>
          <w:rFonts w:ascii="Arial" w:cs="Arial" w:eastAsia="Arial" w:hAnsi="Arial"/>
          <w:sz w:val="18"/>
          <w:szCs w:val="18"/>
          <w:u w:val="single" w:color="auto"/>
          <w:color w:val="auto"/>
        </w:rPr>
        <w:t>Section 3.10 Limitations Applicable to Section 16 Persons</w:t>
      </w:r>
      <w:r>
        <w:rPr>
          <w:rFonts w:ascii="Arial" w:cs="Arial" w:eastAsia="Arial" w:hAnsi="Arial"/>
          <w:sz w:val="18"/>
          <w:szCs w:val="18"/>
          <w:color w:val="auto"/>
        </w:rPr>
        <w:t>. Notwithstanding any other provision of the Plan or this Agreement, if Participant is subject to Section 16 of the Exchange Act, the Plan, the RSUs,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8"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u w:val="single" w:color="auto"/>
          <w:color w:val="auto"/>
        </w:rPr>
        <w:t>Section 3.11 Not a Contract of Employment</w:t>
      </w:r>
      <w:r>
        <w:rPr>
          <w:rFonts w:ascii="Arial" w:cs="Arial" w:eastAsia="Arial" w:hAnsi="Arial"/>
          <w:sz w:val="16"/>
          <w:szCs w:val="16"/>
          <w:color w:val="auto"/>
        </w:rPr>
        <w:t>. Nothing in this Agreement or in the Plan shall confer upon Participant any right to continue to serve as an employee or other service provider of any Participating Company or shall interfere with or restrict in any way the rights of any Participating Company, which rights are hereby expressly reserved, to discharge or terminate the services of Participant at any time for any reason whatsoever, with or without cause, except to the extent (i) expressly provided otherwise in a written agreement between a Participating Company and Participant or (ii) where such provisions are not consistent with applicable foreign or local laws, in which case such applicable foreign or local laws shall control.</w:t>
      </w:r>
    </w:p>
    <w:p>
      <w:pPr>
        <w:spacing w:after="0" w:line="161"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u w:val="single" w:color="auto"/>
          <w:color w:val="auto"/>
        </w:rPr>
        <w:t>Section 3.12 Entire Agreement</w:t>
      </w:r>
      <w:r>
        <w:rPr>
          <w:rFonts w:ascii="Arial" w:cs="Arial" w:eastAsia="Arial" w:hAnsi="Arial"/>
          <w:sz w:val="18"/>
          <w:szCs w:val="18"/>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4" w:lineRule="exact"/>
        <w:rPr>
          <w:sz w:val="20"/>
          <w:szCs w:val="20"/>
          <w:color w:val="auto"/>
        </w:rPr>
      </w:pPr>
    </w:p>
    <w:p>
      <w:pPr>
        <w:ind w:right="500" w:firstLine="440"/>
        <w:spacing w:after="0" w:line="311" w:lineRule="auto"/>
        <w:rPr>
          <w:sz w:val="20"/>
          <w:szCs w:val="20"/>
          <w:color w:val="auto"/>
        </w:rPr>
      </w:pPr>
      <w:r>
        <w:rPr>
          <w:rFonts w:ascii="Arial" w:cs="Arial" w:eastAsia="Arial" w:hAnsi="Arial"/>
          <w:sz w:val="16"/>
          <w:szCs w:val="16"/>
          <w:u w:val="single" w:color="auto"/>
          <w:color w:val="auto"/>
        </w:rPr>
        <w:t>Section 3.13 Section 409A</w:t>
      </w:r>
      <w:r>
        <w:rPr>
          <w:rFonts w:ascii="Arial" w:cs="Arial" w:eastAsia="Arial" w:hAnsi="Arial"/>
          <w:sz w:val="16"/>
          <w:szCs w:val="16"/>
          <w:color w:val="auto"/>
        </w:rPr>
        <w:t>. The intent of the parties is that the payments and benefits under this Agreement comply with or be exempt from Section 409A of the Internal Revenue Code of 1986, as amended, and the regulations and guidance promulgated thereunder (collectively, “</w:t>
      </w:r>
      <w:r>
        <w:rPr>
          <w:rFonts w:ascii="Arial" w:cs="Arial" w:eastAsia="Arial" w:hAnsi="Arial"/>
          <w:sz w:val="16"/>
          <w:szCs w:val="16"/>
          <w:u w:val="single" w:color="auto"/>
          <w:color w:val="auto"/>
        </w:rPr>
        <w:t>Section 409A</w:t>
      </w:r>
      <w:r>
        <w:rPr>
          <w:rFonts w:ascii="Arial" w:cs="Arial" w:eastAsia="Arial" w:hAnsi="Arial"/>
          <w:sz w:val="16"/>
          <w:szCs w:val="16"/>
          <w:color w:val="auto"/>
        </w:rPr>
        <w:t>”) and, accordingly, to the maximum extent permitted, this Agreement shall be interpreted to be in compliance therewith.</w:t>
      </w:r>
    </w:p>
    <w:p>
      <w:pPr>
        <w:sectPr>
          <w:pgSz w:w="11900" w:h="16838" w:orient="portrait"/>
          <w:cols w:equalWidth="0" w:num="1">
            <w:col w:w="11000"/>
          </w:cols>
          <w:pgMar w:left="440" w:top="274" w:right="459" w:bottom="1440" w:gutter="0" w:footer="0" w:header="0"/>
        </w:sectPr>
      </w:pPr>
    </w:p>
    <w:bookmarkStart w:id="57" w:name="page58"/>
    <w:bookmarkEnd w:id="57"/>
    <w:p>
      <w:pPr>
        <w:jc w:val="both"/>
        <w:ind w:right="220" w:firstLine="440"/>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3.14 Agreement Severable</w:t>
      </w:r>
      <w:r>
        <w:rPr>
          <w:rFonts w:ascii="Arial" w:cs="Arial" w:eastAsia="Arial" w:hAnsi="Arial"/>
          <w:sz w:val="18"/>
          <w:szCs w:val="18"/>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u w:val="single" w:color="auto"/>
          <w:color w:val="auto"/>
        </w:rPr>
        <w:t>Section 3.15 Limitation on Participant’s Rights</w:t>
      </w:r>
      <w:r>
        <w:rPr>
          <w:rFonts w:ascii="Arial" w:cs="Arial" w:eastAsia="Arial" w:hAnsi="Arial"/>
          <w:sz w:val="18"/>
          <w:szCs w:val="18"/>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RSUs.</w:t>
      </w:r>
    </w:p>
    <w:p>
      <w:pPr>
        <w:spacing w:after="0" w:line="187"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u w:val="single" w:color="auto"/>
          <w:color w:val="auto"/>
        </w:rPr>
        <w:t>Section 3.16 Counterparts</w:t>
      </w:r>
      <w:r>
        <w:rPr>
          <w:rFonts w:ascii="Arial" w:cs="Arial" w:eastAsia="Arial" w:hAnsi="Arial"/>
          <w:sz w:val="17"/>
          <w:szCs w:val="17"/>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1)"/>
      <w:numFmt w:val="decimal"/>
      <w:start w:val="1"/>
    </w:lvl>
  </w:abstractNum>
  <w:abstractNum w:abstractNumId="2">
    <w:nsid w:val="189A769B"/>
    <w:multiLevelType w:val="hybridMultilevel"/>
    <w:lvl w:ilvl="0">
      <w:lvlJc w:val="left"/>
      <w:lvlText w:val="(%1)"/>
      <w:numFmt w:val="decimal"/>
      <w:start w:val="1"/>
    </w:lvl>
    <w:lvl w:ilvl="1">
      <w:lvlJc w:val="left"/>
      <w:lvlText w:val="(%2)"/>
      <w:numFmt w:val="lowerRoman"/>
      <w:start w:val="1"/>
    </w:lvl>
  </w:abstractNum>
  <w:abstractNum w:abstractNumId="3">
    <w:nsid w:val="54E49EB4"/>
    <w:multiLevelType w:val="hybridMultilevel"/>
    <w:lvl w:ilvl="0">
      <w:lvlJc w:val="left"/>
      <w:lvlText w:val="(%1)"/>
      <w:numFmt w:val="lowerRoman"/>
      <w:start w:val="3"/>
    </w:lvl>
  </w:abstractNum>
  <w:abstractNum w:abstractNumId="4">
    <w:nsid w:val="71F32454"/>
    <w:multiLevelType w:val="hybridMultilevel"/>
    <w:lvl w:ilvl="0">
      <w:lvlJc w:val="left"/>
      <w:lvlText w:val="%1"/>
      <w:numFmt w:val="upperLetter"/>
      <w:start w:val="1"/>
    </w:lvl>
    <w:lvl w:ilvl="1">
      <w:lvlJc w:val="left"/>
      <w:lvlText w:val="(%2)"/>
      <w:numFmt w:val="decimal"/>
      <w:start w:val="2"/>
    </w:lvl>
  </w:abstractNum>
  <w:abstractNum w:abstractNumId="5">
    <w:nsid w:val="2CA88611"/>
    <w:multiLevelType w:val="hybridMultilevel"/>
    <w:lvl w:ilvl="0">
      <w:lvlJc w:val="left"/>
      <w:lvlText w:val="%1."/>
      <w:numFmt w:val="upperLetter"/>
      <w:start w:val="2"/>
    </w:lvl>
    <w:lvl w:ilvl="1">
      <w:lvlJc w:val="left"/>
      <w:lvlText w:val="%2"/>
      <w:numFmt w:val="decimal"/>
      <w:start w:val="1"/>
    </w:lvl>
  </w:abstractNum>
  <w:abstractNum w:abstractNumId="6">
    <w:nsid w:val="836C40E"/>
    <w:multiLevelType w:val="hybridMultilevel"/>
    <w:lvl w:ilvl="0">
      <w:lvlJc w:val="left"/>
      <w:lvlText w:val="(%1)"/>
      <w:numFmt w:val="lowerLetter"/>
      <w:start w:val="1"/>
    </w:lvl>
    <w:lvl w:ilvl="1">
      <w:lvlJc w:val="left"/>
      <w:lvlText w:val="(%2)"/>
      <w:numFmt w:val="lowerRoman"/>
      <w:start w:val="1"/>
    </w:lvl>
  </w:abstractNum>
  <w:abstractNum w:abstractNumId="7">
    <w:nsid w:val="2901D82"/>
    <w:multiLevelType w:val="hybridMultilevel"/>
    <w:lvl w:ilvl="0">
      <w:lvlJc w:val="left"/>
      <w:lvlText w:val="(%1)"/>
      <w:numFmt w:val="lowerLetter"/>
      <w:start w:val="4"/>
    </w:lvl>
  </w:abstractNum>
  <w:abstractNum w:abstractNumId="8">
    <w:nsid w:val="3A95F874"/>
    <w:multiLevelType w:val="hybridMultilevel"/>
    <w:lvl w:ilvl="0">
      <w:lvlJc w:val="left"/>
      <w:lvlText w:val="(%1)"/>
      <w:numFmt w:val="lowerLetter"/>
      <w:start w:val="1"/>
    </w:lvl>
  </w:abstractNum>
  <w:abstractNum w:abstractNumId="9">
    <w:nsid w:val="8138641"/>
    <w:multiLevelType w:val="hybridMultilevel"/>
    <w:lvl w:ilvl="0">
      <w:lvlJc w:val="left"/>
      <w:lvlText w:val="(%1)"/>
      <w:numFmt w:val="lowerLetter"/>
      <w:start w:val="2"/>
    </w:lvl>
  </w:abstractNum>
  <w:abstractNum w:abstractNumId="10">
    <w:nsid w:val="1E7FF521"/>
    <w:multiLevelType w:val="hybridMultilevel"/>
    <w:lvl w:ilvl="0">
      <w:lvlJc w:val="left"/>
      <w:lvlText w:val="(%1)"/>
      <w:numFmt w:val="lowerLetter"/>
      <w:start w:val="1"/>
    </w:lvl>
  </w:abstractNum>
  <w:abstractNum w:abstractNumId="11">
    <w:nsid w:val="7C3DBD3D"/>
    <w:multiLevelType w:val="hybridMultilevel"/>
    <w:lvl w:ilvl="0">
      <w:lvlJc w:val="left"/>
      <w:lvlText w:val="(%1)"/>
      <w:numFmt w:val="decimal"/>
      <w:start w:val="10"/>
    </w:lvl>
  </w:abstractNum>
  <w:abstractNum w:abstractNumId="12">
    <w:nsid w:val="737B8DDC"/>
    <w:multiLevelType w:val="hybridMultilevel"/>
    <w:lvl w:ilvl="0">
      <w:lvlJc w:val="left"/>
      <w:lvlText w:val="(%1)"/>
      <w:numFmt w:val="lowerLetter"/>
      <w:start w:val="1"/>
    </w:lvl>
  </w:abstractNum>
  <w:abstractNum w:abstractNumId="13">
    <w:nsid w:val="6CEAF087"/>
    <w:multiLevelType w:val="hybridMultilevel"/>
    <w:lvl w:ilvl="0">
      <w:lvlJc w:val="left"/>
      <w:lvlText w:val="(%1)"/>
      <w:numFmt w:val="lowerLetter"/>
      <w:start w:val="4"/>
    </w:lvl>
  </w:abstractNum>
  <w:abstractNum w:abstractNumId="14">
    <w:nsid w:val="22221A70"/>
    <w:multiLevelType w:val="hybridMultilevel"/>
    <w:lvl w:ilvl="0">
      <w:lvlJc w:val="left"/>
      <w:lvlText w:val="(%1)"/>
      <w:numFmt w:val="lowerLetter"/>
      <w:start w:val="1"/>
    </w:lvl>
    <w:lvl w:ilvl="1">
      <w:lvlJc w:val="left"/>
      <w:lvlText w:val="(%2)"/>
      <w:numFmt w:val="lowerRoman"/>
      <w:start w:val="1"/>
    </w:lvl>
  </w:abstractNum>
  <w:abstractNum w:abstractNumId="15">
    <w:nsid w:val="4516DDE9"/>
    <w:multiLevelType w:val="hybridMultilevel"/>
    <w:lvl w:ilvl="0">
      <w:lvlJc w:val="left"/>
      <w:lvlText w:val="%1"/>
      <w:numFmt w:val="lowerLetter"/>
      <w:start w:val="1"/>
    </w:lvl>
    <w:lvl w:ilvl="1">
      <w:lvlJc w:val="left"/>
      <w:lvlText w:val="(%2)"/>
      <w:numFmt w:val="lowerLetter"/>
      <w:start w:val="61"/>
    </w:lvl>
  </w:abstractNum>
  <w:abstractNum w:abstractNumId="16">
    <w:nsid w:val="3006C83E"/>
    <w:multiLevelType w:val="hybridMultilevel"/>
    <w:lvl w:ilvl="0">
      <w:lvlJc w:val="left"/>
      <w:lvlText w:val="(%1)"/>
      <w:numFmt w:val="lowerLetter"/>
      <w:start w:val="2"/>
    </w:lvl>
    <w:lvl w:ilvl="1">
      <w:lvlJc w:val="left"/>
      <w:lvlText w:val="%2"/>
      <w:numFmt w:val="lowerLetter"/>
      <w:start w:val="1"/>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Letter"/>
      <w:start w:val="2"/>
    </w:lvl>
  </w:abstractNum>
  <w:abstractNum w:abstractNumId="19">
    <w:nsid w:val="5577F8E1"/>
    <w:multiLevelType w:val="hybridMultilevel"/>
    <w:lvl w:ilvl="0">
      <w:lvlJc w:val="left"/>
      <w:lvlText w:val="(%1)"/>
      <w:numFmt w:val="lowerLetter"/>
      <w:start w:val="1"/>
    </w:lvl>
  </w:abstractNum>
  <w:abstractNum w:abstractNumId="20">
    <w:nsid w:val="440BADFC"/>
    <w:multiLevelType w:val="hybridMultilevel"/>
    <w:lvl w:ilvl="0">
      <w:lvlJc w:val="left"/>
      <w:lvlText w:val="(%1)"/>
      <w:numFmt w:val="lowerLetter"/>
      <w:start w:val="1"/>
    </w:lvl>
  </w:abstractNum>
  <w:abstractNum w:abstractNumId="21">
    <w:nsid w:val="5072367"/>
    <w:multiLevelType w:val="hybridMultilevel"/>
    <w:lvl w:ilvl="0">
      <w:lvlJc w:val="left"/>
      <w:lvlText w:val="(%1)"/>
      <w:numFmt w:val="lowerLetter"/>
      <w:start w:val="10"/>
    </w:lvl>
  </w:abstractNum>
  <w:abstractNum w:abstractNumId="22">
    <w:nsid w:val="3804823E"/>
    <w:multiLevelType w:val="hybridMultilevel"/>
    <w:lvl w:ilvl="0">
      <w:lvlJc w:val="left"/>
      <w:lvlText w:val="(%1)"/>
      <w:numFmt w:val="lowerLetter"/>
      <w:start w:val="1"/>
    </w:lvl>
  </w:abstractNum>
  <w:abstractNum w:abstractNumId="23">
    <w:nsid w:val="77465F0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4">
    <w:nsid w:val="7724C67E"/>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25">
    <w:nsid w:val="5C482A97"/>
    <w:multiLevelType w:val="hybridMultilevel"/>
    <w:lvl w:ilvl="0">
      <w:lvlJc w:val="left"/>
      <w:lvlText w:val="%1"/>
      <w:numFmt w:val="lowerLetter"/>
      <w:start w:val="1"/>
    </w:lvl>
    <w:lvl w:ilvl="1">
      <w:lvlJc w:val="left"/>
      <w:lvlText w:val="(%2)"/>
      <w:numFmt w:val="lowerRoman"/>
      <w:start w:val="1"/>
    </w:lvl>
  </w:abstractNum>
  <w:abstractNum w:abstractNumId="26">
    <w:nsid w:val="2463B9EA"/>
    <w:multiLevelType w:val="hybridMultilevel"/>
    <w:lvl w:ilvl="0">
      <w:lvlJc w:val="left"/>
      <w:lvlText w:val="(%1)"/>
      <w:numFmt w:val="lowerLetter"/>
      <w:start w:val="4"/>
    </w:lvl>
    <w:lvl w:ilvl="1">
      <w:lvlJc w:val="left"/>
      <w:lvlText w:val="%2"/>
      <w:numFmt w:val="lowerRoman"/>
      <w:start w:val="1"/>
    </w:lvl>
  </w:abstractNum>
  <w:abstractNum w:abstractNumId="27">
    <w:nsid w:val="5E884ADC"/>
    <w:multiLevelType w:val="hybridMultilevel"/>
    <w:lvl w:ilvl="0">
      <w:lvlJc w:val="left"/>
      <w:lvlText w:val="(%1)"/>
      <w:numFmt w:val="lowerLetter"/>
      <w:start w:val="7"/>
    </w:lvl>
  </w:abstractNum>
  <w:abstractNum w:abstractNumId="28">
    <w:nsid w:val="51EAD36B"/>
    <w:multiLevelType w:val="hybridMultilevel"/>
    <w:lvl w:ilvl="0">
      <w:lvlJc w:val="left"/>
      <w:lvlText w:val="(%1)"/>
      <w:numFmt w:val="lowerRoman"/>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3"/>
    </w:lvl>
  </w:abstractNum>
  <w:abstractNum w:abstractNumId="31">
    <w:nsid w:val="153EA438"/>
    <w:multiLevelType w:val="hybridMultilevel"/>
    <w:lvl w:ilvl="0">
      <w:lvlJc w:val="left"/>
      <w:lvlText w:val="%1"/>
      <w:numFmt w:val="upperLetter"/>
      <w:start w:val="1"/>
    </w:lvl>
    <w:lvl w:ilvl="1">
      <w:lvlJc w:val="left"/>
      <w:lvlText w:val="(%2)"/>
      <w:numFmt w:val="decimal"/>
      <w:start w:val="1"/>
    </w:lvl>
  </w:abstractNum>
  <w:abstractNum w:abstractNumId="32">
    <w:nsid w:val="3855585C"/>
    <w:multiLevelType w:val="hybridMultilevel"/>
    <w:lvl w:ilvl="0">
      <w:lvlJc w:val="left"/>
      <w:lvlText w:val="%1."/>
      <w:numFmt w:val="upperLetter"/>
      <w:start w:val="5"/>
    </w:lvl>
    <w:lvl w:ilvl="1">
      <w:lvlJc w:val="left"/>
      <w:lvlText w:val="%2"/>
      <w:numFmt w:val="decimal"/>
      <w:start w:val="1"/>
    </w:lvl>
  </w:abstractNum>
  <w:abstractNum w:abstractNumId="33">
    <w:nsid w:val="70A64E2A"/>
    <w:multiLevelType w:val="hybridMultilevel"/>
    <w:lvl w:ilvl="0">
      <w:lvlJc w:val="left"/>
      <w:lvlText w:val="(%1)"/>
      <w:numFmt w:val="decimal"/>
      <w:start w:val="1"/>
    </w:lvl>
    <w:lvl w:ilvl="1">
      <w:lvlJc w:val="left"/>
      <w:lvlText w:val="(%2)"/>
      <w:numFmt w:val="lowerRoman"/>
      <w:start w:val="1"/>
    </w:lvl>
  </w:abstractNum>
  <w:abstractNum w:abstractNumId="34">
    <w:nsid w:val="6A2342EC"/>
    <w:multiLevelType w:val="hybridMultilevel"/>
    <w:lvl w:ilvl="0">
      <w:lvlJc w:val="left"/>
      <w:lvlText w:val="(%1)"/>
      <w:numFmt w:val="lowerRoman"/>
      <w:start w:val="4"/>
    </w:lvl>
  </w:abstractNum>
  <w:abstractNum w:abstractNumId="35">
    <w:nsid w:val="2A487CB0"/>
    <w:multiLevelType w:val="hybridMultilevel"/>
    <w:lvl w:ilvl="0">
      <w:lvlJc w:val="left"/>
      <w:lvlText w:val="%1"/>
      <w:numFmt w:val="upperLetter"/>
      <w:start w:val="1"/>
    </w:lvl>
    <w:lvl w:ilvl="1">
      <w:lvlJc w:val="left"/>
      <w:lvlText w:val="(%2)"/>
      <w:numFmt w:val="decimal"/>
      <w:start w:val="2"/>
    </w:lvl>
  </w:abstractNum>
  <w:abstractNum w:abstractNumId="36">
    <w:nsid w:val="1D4ED43B"/>
    <w:multiLevelType w:val="hybridMultilevel"/>
    <w:lvl w:ilvl="0">
      <w:lvlJc w:val="left"/>
      <w:lvlText w:val="%1."/>
      <w:numFmt w:val="upperLetter"/>
      <w:start w:val="8"/>
    </w:lvl>
    <w:lvl w:ilvl="1">
      <w:lvlJc w:val="left"/>
      <w:lvlText w:val="%2"/>
      <w:numFmt w:val="decimal"/>
      <w:start w:val="1"/>
    </w:lvl>
  </w:abstractNum>
  <w:abstractNum w:abstractNumId="37">
    <w:nsid w:val="725A06FB"/>
    <w:multiLevelType w:val="hybridMultilevel"/>
    <w:lvl w:ilvl="0">
      <w:lvlJc w:val="left"/>
      <w:lvlText w:val="%1."/>
      <w:numFmt w:val="decimal"/>
      <w:start w:val="2"/>
    </w:lvl>
  </w:abstractNum>
  <w:abstractNum w:abstractNumId="38">
    <w:nsid w:val="2CD89A32"/>
    <w:multiLevelType w:val="hybridMultilevel"/>
    <w:lvl w:ilvl="0">
      <w:lvlJc w:val="left"/>
      <w:lvlText w:val="%1."/>
      <w:numFmt w:val="decimal"/>
      <w:start w:val="7"/>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Letter"/>
      <w:start w:val="5"/>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1)"/>
      <w:numFmt w:val="lowerLetter"/>
      <w:start w:val="2"/>
    </w:lvl>
  </w:abstractNum>
  <w:abstractNum w:abstractNumId="46">
    <w:nsid w:val="32FFF90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7">
    <w:nsid w:val="684A481A"/>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2"/>
    </w:lvl>
  </w:abstractNum>
  <w:abstractNum w:abstractNumId="48">
    <w:nsid w:val="579478FE"/>
    <w:multiLevelType w:val="hybridMultilevel"/>
    <w:lvl w:ilvl="0">
      <w:lvlJc w:val="left"/>
      <w:lvlText w:val="%1"/>
      <w:numFmt w:val="lowerLetter"/>
      <w:start w:val="1"/>
    </w:lvl>
    <w:lvl w:ilvl="1">
      <w:lvlJc w:val="left"/>
      <w:lvlText w:val="(%2)"/>
      <w:numFmt w:val="lowerRoman"/>
      <w:start w:val="4"/>
    </w:lvl>
  </w:abstractNum>
  <w:abstractNum w:abstractNumId="49">
    <w:nsid w:val="749ABB43"/>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jpeg"/><Relationship Id="rId40" Type="http://schemas.openxmlformats.org/officeDocument/2006/relationships/image" Target="media/image21.png"/><Relationship Id="rId41" Type="http://schemas.openxmlformats.org/officeDocument/2006/relationships/image" Target="media/image22.jpe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20" Type="http://schemas.openxmlformats.org/officeDocument/2006/relationships/hyperlink" Target="http://www.sec.gov/ix?doc=/Archives/edgar/data/1808220/000180822021000010/goco-20201231.htm" TargetMode="External"/><Relationship Id="rId21" Type="http://schemas.openxmlformats.org/officeDocument/2006/relationships/hyperlink" Target="http://www.sec.gov/ix?doc=/Archives/edgar/data/1808220/000180822021000019/goco-20210331.htm" TargetMode="External"/><Relationship Id="rId22" Type="http://schemas.openxmlformats.org/officeDocument/2006/relationships/hyperlink" Target="http://www.sec.gov/ix?doc=/Archives/edgar/data/1808220/000180822021000032/goco-20210630.htm" TargetMode="External"/><Relationship Id="rId23" Type="http://schemas.openxmlformats.org/officeDocument/2006/relationships/hyperlink" Target="http://www.sec.gov/ix?doc=/Archives/edgar/data/1808220/000180822021000063/goco-20210930.htm" TargetMode="External"/><Relationship Id="rId24" Type="http://schemas.openxmlformats.org/officeDocument/2006/relationships/hyperlink" Target="http://www.sec.gov/ix?doc=/Archives/edgar/data/1808220/000180822021000047/goco-20210826.htm" TargetMode="External"/><Relationship Id="rId25" Type="http://schemas.openxmlformats.org/officeDocument/2006/relationships/hyperlink" Target="http://www.sec.gov/ix?doc=/Archives/edgar/data/1808220/000180822021000057/goco-20211018.htm" TargetMode="External"/><Relationship Id="rId26" Type="http://schemas.openxmlformats.org/officeDocument/2006/relationships/hyperlink" Target="http://www.sec.gov/ix?doc=/Archives/edgar/data/1808220/000180822021000066/goco-20211110.htm" TargetMode="External"/><Relationship Id="rId27" Type="http://schemas.openxmlformats.org/officeDocument/2006/relationships/hyperlink" Target="http://www.sec.gov/ix?doc=/Archives/edgar/data/1808220/000180822021000074/goco-20211206.htm" TargetMode="External"/><Relationship Id="rId28" Type="http://schemas.openxmlformats.org/officeDocument/2006/relationships/hyperlink" Target="http://www.sec.gov/Archives/edgar/data/1808220/000114036121011852/nc10022611x1_def14a.htm" TargetMode="External"/><Relationship Id="rId29" Type="http://schemas.openxmlformats.org/officeDocument/2006/relationships/hyperlink" Target="http://www.sec.gov/Archives/edgar/data/1808220/000119312520193017/d940619d8a12b.htm" TargetMode="External"/><Relationship Id="rId33" Type="http://schemas.openxmlformats.org/officeDocument/2006/relationships/hyperlink" Target="http://www.sec.gov/Archives/edgar/data/1808220/000119312520224832/d935246dex31.htm" TargetMode="External"/><Relationship Id="rId34" Type="http://schemas.openxmlformats.org/officeDocument/2006/relationships/hyperlink" Target="http://www.sec.gov/Archives/edgar/data/1808220/000119312520224832/d93524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2021-12-20T15:36:01Z</dcterms:created>
  <dcterms:modified xsi:type="dcterms:W3CDTF">2021-12-20T15:36:01Z</dcterms:modified>
</cp:coreProperties>
</file>