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As filed with the Securities and Exchange Commission on July 21, 2026</w:t>
      </w:r>
    </w:p>
    <w:tbl>
      <w:tblPr>
        <w:tblW w:w="2595" w:type="dxa"/>
        <w:jc w:val="left"/>
        <w:tblInd w:w="0" w:type="dxa"/>
        <w:tblLayout w:type="fixed"/>
        <w:tblCellMar>
          <w:top w:w="28" w:type="dxa"/>
          <w:left w:w="28" w:type="dxa"/>
          <w:bottom w:w="28" w:type="dxa"/>
          <w:right w:w="28" w:type="dxa"/>
        </w:tblCellMar>
      </w:tblPr>
      <w:tblGrid>
        <w:gridCol w:w="830"/>
        <w:gridCol w:w="730"/>
        <w:gridCol w:w="1035"/>
      </w:tblGrid>
      <w:tr>
        <w:trPr/>
        <w:tc>
          <w:tcPr>
            <w:tcW w:w="8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bottom w:val="double" w:sz="10" w:space="0" w:color="000000"/>
            </w:tcBorders>
            <w:tcMar>
              <w:top w:w="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333-291587</w:t>
            </w:r>
          </w:p>
          <w:p>
            <w:pPr>
              <w:pStyle w:val="TableContents"/>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Registration No. 333-292177</w:t>
            </w:r>
          </w:p>
        </w:tc>
      </w:tr>
    </w:tbl>
    <w:p>
      <w:pPr>
        <w:pStyle w:val="TextBody"/>
        <w:bidi w:val="0"/>
        <w:spacing w:lineRule="auto" w:line="288" w:before="0" w:after="120"/>
        <w:jc w:val="center"/>
        <w:rPr/>
      </w:pPr>
      <w:r>
        <w:rPr>
          <w:rFonts w:ascii="Times New Roman;serif" w:hAnsi="Times New Roman;serif"/>
          <w:b/>
          <w:color w:val="000000"/>
          <w:sz w:val="24"/>
        </w:rPr>
        <w:t>UNITED STATES</w:t>
        <w:br/>
        <w:t>SECURITIES AND EXCHANGE COMMISSION</w:t>
      </w:r>
      <w:r>
        <w:rPr>
          <w:rFonts w:ascii="Times New Roman;serif" w:hAnsi="Times New Roman;serif"/>
          <w:b/>
          <w:color w:val="000000"/>
          <w:sz w:val="20"/>
        </w:rPr>
        <w:b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POST-EFFECTIVE AMENDMENT NO. 1 TO</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FORM S-3 REGISTRATION STATEMENT NO. 333-291587</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POST-EFFECTIVE AMENDMENT NO. 1 TO</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FORM S-3 REGISTRATION STATEMENT NO. 333-292177</w:t>
      </w:r>
    </w:p>
    <w:p>
      <w:pPr>
        <w:pStyle w:val="TextBody"/>
        <w:bidi w:val="0"/>
        <w:spacing w:lineRule="auto" w:line="288" w:before="0" w:after="120"/>
        <w:jc w:val="center"/>
        <w:rPr>
          <w:rFonts w:ascii="Times New Roman;serif" w:hAnsi="Times New Roman;serif"/>
          <w:b/>
          <w:i/>
          <w:color w:val="000000"/>
          <w:sz w:val="20"/>
        </w:rPr>
      </w:pPr>
      <w:r>
        <w:rPr>
          <w:rFonts w:ascii="Times New Roman;serif" w:hAnsi="Times New Roman;serif"/>
          <w:b/>
          <w:i/>
          <w:color w:val="000000"/>
          <w:sz w:val="20"/>
        </w:rPr>
        <w:t>UNDER</w:t>
        <w:br/>
        <w:t>THE SECURITIES ACT OF 1933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GoHealth,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GoHealth, LLC, as successor by conversion to GoHealth, Inc.)</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362" w:type="dxa"/>
        <w:jc w:val="left"/>
        <w:tblInd w:w="0" w:type="dxa"/>
        <w:tblLayout w:type="fixed"/>
        <w:tblCellMar>
          <w:top w:w="28" w:type="dxa"/>
          <w:left w:w="28" w:type="dxa"/>
          <w:bottom w:w="28" w:type="dxa"/>
          <w:right w:w="28" w:type="dxa"/>
        </w:tblCellMar>
      </w:tblPr>
      <w:tblGrid>
        <w:gridCol w:w="1560"/>
        <w:gridCol w:w="1370"/>
        <w:gridCol w:w="1390"/>
        <w:gridCol w:w="109"/>
        <w:gridCol w:w="109"/>
        <w:gridCol w:w="109"/>
        <w:gridCol w:w="793"/>
        <w:gridCol w:w="793"/>
        <w:gridCol w:w="1129"/>
      </w:tblGrid>
      <w:tr>
        <w:trPr/>
        <w:tc>
          <w:tcPr>
            <w:tcW w:w="15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85-0563805</w:t>
            </w:r>
          </w:p>
        </w:tc>
      </w:tr>
      <w:tr>
        <w:trPr/>
        <w:tc>
          <w:tcPr>
            <w:tcW w:w="43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p>
      <w:pPr>
        <w:pStyle w:val="TextBody"/>
        <w:bidi w:val="0"/>
        <w:spacing w:lineRule="auto" w:line="288" w:before="0" w:after="240"/>
        <w:jc w:val="center"/>
        <w:rPr/>
      </w:pPr>
      <w:r>
        <w:rPr>
          <w:rFonts w:ascii="Times New Roman;serif" w:hAnsi="Times New Roman;serif"/>
          <w:b/>
          <w:color w:val="000000"/>
          <w:sz w:val="20"/>
        </w:rPr>
        <w:t>222 W Merchandise Mart Plaza, Suite 1750</w:t>
        <w:br/>
        <w:t>Chicago, IL 60654</w:t>
        <w:br/>
        <w:t>(312) 386-8200</w:t>
        <w:br/>
      </w:r>
      <w:r>
        <w:rPr>
          <w:rFonts w:ascii="Times New Roman;serif" w:hAnsi="Times New Roman;serif"/>
          <w:b w:val="false"/>
          <w:color w:val="000000"/>
          <w:sz w:val="18"/>
        </w:rPr>
        <w:t>(Address, including zip code, and telephone number, including area code, of registrant’s principal executive offices)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pPr>
      <w:r>
        <w:rPr>
          <w:rFonts w:ascii="Times New Roman;serif" w:hAnsi="Times New Roman;serif"/>
          <w:b/>
          <w:color w:val="000000"/>
          <w:sz w:val="20"/>
        </w:rPr>
        <w:t>Bradley Burd</w:t>
        <w:br/>
        <w:t>Chief Legal Officer</w:t>
        <w:br/>
        <w:t>222 W Merchandise Mart Plaza, Suite 1750</w:t>
        <w:br/>
        <w:t>Chicago, IL 60654</w:t>
        <w:br/>
        <w:t xml:space="preserve">(312) 386-8200 </w:t>
        <w:br/>
      </w:r>
      <w:r>
        <w:rPr>
          <w:rFonts w:ascii="Times New Roman;serif" w:hAnsi="Times New Roman;serif"/>
          <w:b w:val="false"/>
          <w:color w:val="000000"/>
          <w:sz w:val="18"/>
        </w:rPr>
        <w:t>(Name, address, including zip code, and telephone number, including area code, of agent for service)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i/>
          <w:color w:val="000000"/>
          <w:sz w:val="20"/>
        </w:rPr>
      </w:pPr>
      <w:r>
        <w:rPr>
          <w:rFonts w:ascii="Times New Roman;serif" w:hAnsi="Times New Roman;serif"/>
          <w:b/>
          <w:i/>
          <w:color w:val="000000"/>
          <w:sz w:val="20"/>
        </w:rPr>
        <w:t>Copy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Sharon Freiman, P.C.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Kirkland &amp; Ellis LLP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601 Lexington Avenue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NY 10022</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(212) 446-4800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ind w:left="0" w:right="0" w:firstLine="720"/>
        <w:jc w:val="left"/>
        <w:rPr/>
      </w:pPr>
      <w:r>
        <w:rPr>
          <w:rFonts w:ascii="Times New Roman;serif" w:hAnsi="Times New Roman;serif"/>
          <w:b/>
          <w:color w:val="000000"/>
          <w:sz w:val="20"/>
        </w:rPr>
        <w:t>Approximate date of commencement of proposed sale to the public:</w:t>
      </w:r>
      <w:r>
        <w:rPr>
          <w:color w:val="000000"/>
        </w:rPr>
        <w:t xml:space="preserve"> </w:t>
      </w:r>
      <w:r>
        <w:rPr>
          <w:rFonts w:ascii="Times New Roman;serif" w:hAnsi="Times New Roman;serif"/>
          <w:b w:val="false"/>
          <w:color w:val="000000"/>
          <w:sz w:val="20"/>
        </w:rPr>
        <w:t>Not applicable.</w:t>
      </w:r>
    </w:p>
    <w:p>
      <w:pPr>
        <w:pStyle w:val="TextBody"/>
        <w:bidi w:val="0"/>
        <w:spacing w:lineRule="auto" w:line="288" w:before="0" w:after="120"/>
        <w:ind w:left="0" w:right="0" w:firstLine="720"/>
        <w:jc w:val="left"/>
        <w:rPr/>
      </w:pPr>
      <w:r>
        <w:rPr>
          <w:rFonts w:ascii="Times New Roman;serif" w:hAnsi="Times New Roman;serif"/>
          <w:b w:val="false"/>
          <w:color w:val="000000"/>
          <w:sz w:val="20"/>
        </w:rPr>
        <w:t xml:space="preserve">If the only securities being registered on this Form are being offered pursuant to dividend or interest reinvestment plans, please check the following box. </w:t>
      </w:r>
      <w:r>
        <w:rPr>
          <w:color w:val="000000"/>
        </w:rPr>
        <w:t>☐</w:t>
      </w:r>
    </w:p>
    <w:p>
      <w:pPr>
        <w:pStyle w:val="TextBody"/>
        <w:bidi w:val="0"/>
        <w:spacing w:lineRule="auto" w:line="288" w:before="0" w:after="120"/>
        <w:ind w:left="0" w:right="0" w:firstLine="720"/>
        <w:jc w:val="left"/>
        <w:rPr/>
      </w:pPr>
      <w:r>
        <w:rPr>
          <w:rFonts w:ascii="Times New Roman;serif" w:hAnsi="Times New Roman;serif"/>
          <w:b w:val="false"/>
          <w:color w:val="000000"/>
          <w:sz w:val="20"/>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color w:val="000000"/>
        </w:rPr>
        <w:t>☐</w:t>
      </w:r>
    </w:p>
    <w:p>
      <w:pPr>
        <w:pStyle w:val="TextBody"/>
        <w:bidi w:val="0"/>
        <w:spacing w:lineRule="auto" w:line="288" w:before="0" w:after="120"/>
        <w:ind w:left="0" w:right="0" w:firstLine="720"/>
        <w:jc w:val="left"/>
        <w:rPr/>
      </w:pPr>
      <w:r>
        <w:rPr>
          <w:rFonts w:ascii="Times New Roman;serif" w:hAnsi="Times New Roman;serif"/>
          <w:b w:val="false"/>
          <w:color w:val="000000"/>
          <w:sz w:val="20"/>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color w:val="000000"/>
        </w:rPr>
        <w:t>☐</w:t>
      </w:r>
    </w:p>
    <w:p>
      <w:pPr>
        <w:pStyle w:val="TextBody"/>
        <w:bidi w:val="0"/>
        <w:spacing w:lineRule="auto" w:line="288" w:before="0" w:after="120"/>
        <w:ind w:left="0" w:right="0" w:firstLine="720"/>
        <w:jc w:val="left"/>
        <w:rPr/>
      </w:pPr>
      <w:r>
        <w:rPr>
          <w:rFonts w:ascii="Times New Roman;serif" w:hAnsi="Times New Roman;serif"/>
          <w:b w:val="false"/>
          <w:color w:val="000000"/>
          <w:sz w:val="20"/>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color w:val="000000"/>
        </w:rPr>
        <w:t>☐</w:t>
      </w:r>
    </w:p>
    <w:p>
      <w:pPr>
        <w:pStyle w:val="TextBody"/>
        <w:bidi w:val="0"/>
        <w:spacing w:lineRule="auto" w:line="288" w:before="0" w:after="120"/>
        <w:ind w:left="0" w:right="0" w:firstLine="720"/>
        <w:jc w:val="left"/>
        <w:rPr/>
      </w:pPr>
      <w:r>
        <w:rPr>
          <w:rFonts w:ascii="Times New Roman;serif" w:hAnsi="Times New Roman;serif"/>
          <w:b w:val="false"/>
          <w:color w:val="000000"/>
          <w:sz w:val="20"/>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color w:val="000000"/>
        </w:rPr>
        <w:t>☐</w:t>
      </w:r>
    </w:p>
    <w:p>
      <w:pPr>
        <w:pStyle w:val="TextBody"/>
        <w:bidi w:val="0"/>
        <w:spacing w:lineRule="auto" w:line="288" w:before="0" w:after="120"/>
        <w:ind w:left="0" w:right="0" w:firstLine="720"/>
        <w:jc w:val="left"/>
        <w:rPr/>
      </w:pPr>
      <w:r>
        <w:rPr>
          <w:rFonts w:ascii="Times New Roman;serif" w:hAnsi="Times New Roman;serif"/>
          <w:b w:val="false"/>
          <w:color w:val="000000"/>
          <w:sz w:val="20"/>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color w:val="000000"/>
        </w:rPr>
        <w:t>☐</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r>
    </w:tbl>
    <w:p>
      <w:pPr>
        <w:pStyle w:val="TextBody"/>
        <w:bidi w:val="0"/>
        <w:spacing w:lineRule="auto" w:line="288" w:before="0" w:after="120"/>
        <w:ind w:left="0" w:right="0" w:firstLine="7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10"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DEREGISTRATION OF SECURITIES</w:t>
      </w:r>
    </w:p>
    <w:p>
      <w:pPr>
        <w:pStyle w:val="TextBody"/>
        <w:bidi w:val="0"/>
        <w:spacing w:lineRule="auto" w:line="288" w:before="0" w:after="240"/>
        <w:ind w:left="0" w:right="0" w:firstLine="720"/>
        <w:jc w:val="left"/>
        <w:rPr/>
      </w:pPr>
      <w:r>
        <w:rPr>
          <w:rFonts w:ascii="Times New Roman;serif" w:hAnsi="Times New Roman;serif"/>
          <w:b w:val="false"/>
          <w:color w:val="000000"/>
          <w:sz w:val="20"/>
        </w:rPr>
        <w:t>These post-effective amendments (the “</w:t>
      </w:r>
      <w:r>
        <w:rPr>
          <w:rFonts w:ascii="Times New Roman;serif" w:hAnsi="Times New Roman;serif"/>
          <w:b w:val="false"/>
          <w:color w:val="000000"/>
          <w:sz w:val="20"/>
          <w:u w:val="single"/>
        </w:rPr>
        <w:t>Post-Effective Amendments</w:t>
      </w:r>
      <w:r>
        <w:rPr>
          <w:color w:val="000000"/>
        </w:rPr>
        <w:t>”</w:t>
      </w:r>
      <w:r>
        <w:rPr>
          <w:rFonts w:ascii="Times New Roman;serif" w:hAnsi="Times New Roman;serif"/>
          <w:b w:val="false"/>
          <w:color w:val="000000"/>
          <w:sz w:val="20"/>
        </w:rPr>
        <w:t>) are being filed by New GoHealth, LLC, a Delaware limited liability company (as successor by conversion to GoHealth, Inc.)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to deregister any and all securities registered but unsold or otherwise unissued as of the date hereof, and to terminate all offerings, under the following Registration Statements on Form S-3 (the “</w:t>
      </w:r>
      <w:r>
        <w:rPr>
          <w:rFonts w:ascii="Times New Roman;serif" w:hAnsi="Times New Roman;serif"/>
          <w:b w:val="false"/>
          <w:color w:val="000000"/>
          <w:sz w:val="20"/>
          <w:u w:val="single"/>
        </w:rPr>
        <w:t>Registration Statements</w:t>
      </w:r>
      <w:r>
        <w:rPr>
          <w:color w:val="000000"/>
        </w:rPr>
        <w:t>”</w:t>
      </w:r>
      <w:r>
        <w:rPr>
          <w:rFonts w:ascii="Times New Roman;serif" w:hAnsi="Times New Roman;serif"/>
          <w:b w:val="false"/>
          <w:color w:val="000000"/>
          <w:sz w:val="20"/>
        </w:rPr>
        <w:t>) filed by the Company with the U.S. Securities and Exchange Commission (the “</w:t>
      </w:r>
      <w:r>
        <w:rPr>
          <w:rFonts w:ascii="Times New Roman;serif" w:hAnsi="Times New Roman;serif"/>
          <w:b w:val="false"/>
          <w:color w:val="000000"/>
          <w:sz w:val="20"/>
          <w:u w:val="single"/>
        </w:rPr>
        <w:t>SEC</w:t>
      </w:r>
      <w:r>
        <w:rPr>
          <w:color w:val="000000"/>
        </w:rPr>
        <w:t>”</w:t>
      </w:r>
      <w:r>
        <w:rPr>
          <w:rFonts w:ascii="Times New Roman;serif" w:hAnsi="Times New Roman;serif"/>
          <w:b w:val="false"/>
          <w:color w:val="000000"/>
          <w:sz w:val="20"/>
        </w:rPr>
        <w:t>), each as amended or supplemented to date:</w:t>
      </w:r>
    </w:p>
    <w:p>
      <w:pPr>
        <w:pStyle w:val="TextBody"/>
        <w:bidi w:val="0"/>
        <w:spacing w:lineRule="auto" w:line="240" w:before="0" w:after="240"/>
        <w:ind w:left="0" w:right="0" w:hanging="720"/>
        <w:jc w:val="left"/>
        <w:rPr/>
      </w:pPr>
      <w:r>
        <w:rPr>
          <w:color w:val="000000"/>
        </w:rPr>
        <w:t>•</w:t>
      </w:r>
      <w:r>
        <w:rPr>
          <w:rFonts w:ascii="Times New Roman;serif" w:hAnsi="Times New Roman;serif"/>
          <w:b w:val="false"/>
          <w:color w:val="000000"/>
          <w:sz w:val="20"/>
        </w:rPr>
        <w:t xml:space="preserve">Registration Statement on </w:t>
      </w:r>
      <w:hyperlink r:id="rId2">
        <w:r>
          <w:rPr>
            <w:rStyle w:val="InternetLink"/>
            <w:rFonts w:ascii="Times New Roman;serif" w:hAnsi="Times New Roman;serif"/>
            <w:b w:val="false"/>
            <w:color w:val="0000FF"/>
            <w:sz w:val="20"/>
            <w:u w:val="single"/>
          </w:rPr>
          <w:t>Form S-3 (No. 333-291587)</w:t>
        </w:r>
      </w:hyperlink>
      <w:r>
        <w:rPr>
          <w:rFonts w:ascii="Times New Roman;serif" w:hAnsi="Times New Roman;serif"/>
          <w:b w:val="false"/>
          <w:color w:val="000000"/>
          <w:sz w:val="20"/>
        </w:rPr>
        <w:t>, originally filed with the SEC on November 17, 2025, registering up to 12,026,489 shares of Class A common stock, par value $0.0001 per share, of the Company (“</w:t>
      </w:r>
      <w:r>
        <w:rPr>
          <w:rFonts w:ascii="Times New Roman;serif" w:hAnsi="Times New Roman;serif"/>
          <w:b w:val="false"/>
          <w:color w:val="000000"/>
          <w:sz w:val="20"/>
          <w:u w:val="single"/>
        </w:rPr>
        <w:t>Class A Common Stock</w:t>
      </w:r>
      <w:r>
        <w:rPr>
          <w:color w:val="000000"/>
        </w:rPr>
        <w:t>”</w:t>
      </w:r>
      <w:r>
        <w:rPr>
          <w:rFonts w:ascii="Times New Roman;serif" w:hAnsi="Times New Roman;serif"/>
          <w:b w:val="false"/>
          <w:color w:val="000000"/>
          <w:sz w:val="20"/>
        </w:rPr>
        <w:t>).</w:t>
      </w:r>
    </w:p>
    <w:p>
      <w:pPr>
        <w:pStyle w:val="TextBody"/>
        <w:bidi w:val="0"/>
        <w:spacing w:lineRule="auto" w:line="240" w:before="0" w:after="240"/>
        <w:ind w:left="0" w:right="0" w:hanging="720"/>
        <w:jc w:val="left"/>
        <w:rPr/>
      </w:pPr>
      <w:r>
        <w:rPr>
          <w:color w:val="000000"/>
        </w:rPr>
        <w:t>•</w:t>
      </w:r>
      <w:r>
        <w:rPr>
          <w:rFonts w:ascii="Times New Roman;serif" w:hAnsi="Times New Roman;serif"/>
          <w:b w:val="false"/>
          <w:color w:val="000000"/>
          <w:sz w:val="20"/>
        </w:rPr>
        <w:t xml:space="preserve">Registration Statement on </w:t>
      </w:r>
      <w:hyperlink r:id="rId3">
        <w:r>
          <w:rPr>
            <w:rStyle w:val="InternetLink"/>
            <w:rFonts w:ascii="Times New Roman;serif" w:hAnsi="Times New Roman;serif"/>
            <w:b w:val="false"/>
            <w:color w:val="0000FF"/>
            <w:sz w:val="20"/>
            <w:u w:val="single"/>
          </w:rPr>
          <w:t>Form S-3 (No. 333-292177)</w:t>
        </w:r>
      </w:hyperlink>
      <w:r>
        <w:rPr>
          <w:rFonts w:ascii="Times New Roman;serif" w:hAnsi="Times New Roman;serif"/>
          <w:b w:val="false"/>
          <w:color w:val="000000"/>
          <w:sz w:val="20"/>
        </w:rPr>
        <w:t>, originally filed with the SEC on December 16, 2025, registering up to 9,566,028 shares of Class A Common Stock.</w:t>
      </w:r>
    </w:p>
    <w:p>
      <w:pPr>
        <w:pStyle w:val="TextBody"/>
        <w:bidi w:val="0"/>
        <w:spacing w:lineRule="auto" w:line="268" w:before="0" w:after="0"/>
        <w:jc w:val="left"/>
        <w:rPr/>
      </w:pPr>
      <w:r>
        <w:rPr>
          <w:rFonts w:ascii="Times New Roman;serif" w:hAnsi="Times New Roman;serif"/>
          <w:b w:val="false"/>
          <w:color w:val="000000"/>
          <w:sz w:val="20"/>
        </w:rPr>
        <w:t>As previously disclosed, on June 7, 2026, the Company, GoHealth Holdings, LLC and certain of their direct and indirect subsidiaries (the “</w:t>
      </w:r>
      <w:r>
        <w:rPr>
          <w:rFonts w:ascii="Times New Roman;serif" w:hAnsi="Times New Roman;serif"/>
          <w:b w:val="false"/>
          <w:color w:val="000000"/>
          <w:sz w:val="24"/>
          <w:u w:val="single"/>
        </w:rPr>
        <w:t>Debtors</w:t>
      </w:r>
      <w:r>
        <w:rPr>
          <w:color w:val="000000"/>
        </w:rPr>
        <w:t>”</w:t>
      </w:r>
      <w:r>
        <w:rPr>
          <w:rFonts w:ascii="Times New Roman;serif" w:hAnsi="Times New Roman;serif"/>
          <w:b w:val="false"/>
          <w:color w:val="000000"/>
          <w:sz w:val="20"/>
        </w:rPr>
        <w:t>) filed voluntary petitions commencing cases under chapter 11 of title 11 of the United States Code in the United States Bankruptcy Court for the District of Delaware (the “</w:t>
      </w:r>
      <w:r>
        <w:rPr>
          <w:rFonts w:ascii="Times New Roman;serif" w:hAnsi="Times New Roman;serif"/>
          <w:b w:val="false"/>
          <w:color w:val="000000"/>
          <w:sz w:val="20"/>
          <w:u w:val="single"/>
        </w:rPr>
        <w:t>Bankruptcy Court</w:t>
      </w:r>
      <w:r>
        <w:rPr>
          <w:color w:val="000000"/>
        </w:rPr>
        <w:t>”</w:t>
      </w:r>
      <w:r>
        <w:rPr>
          <w:rFonts w:ascii="Times New Roman;serif" w:hAnsi="Times New Roman;serif"/>
          <w:b w:val="false"/>
          <w:color w:val="000000"/>
          <w:sz w:val="20"/>
        </w:rPr>
        <w:t>). On July 13, 2026, the Debtors filed the Amended Joint Prepackaged Chapter 11 Plan of GoHealth, Inc. and Its Debtor Affiliates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0"/>
        </w:rPr>
        <w:t xml:space="preserve">). On July 21, 2026, the Bankruptcy Court entered the Findings of Fact, Conclusions of Law, and Order (I) Approving the Disclosure Statement for, and Confirming the Amended Joint Prepackaged Chapter 11 Plan of GoHealth, Inc. and Its Debtor Affiliates and (II) Granting Related Relief. The Plan became effective on July 21, 2026. In connection with the foregoing, the offerings pursuant to the Registration Statements are being terminated.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accordance with an undertaking made by the Company in each of the Registration Statements to remove from registration, by means of post-effective amendments, any of the securities that remain unsold at the termination of the offering, the Company hereby removes from registration all securities that were registered but unsold or otherwise unissued under each of the Registration Statements as of the date hereof. As of the date hereof, the Registration Statements are hereby amended, as appropriate, to reflect the deregistration of such securities, and the Company hereby terminates the effectiveness of the Registration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as amended, the Registrant certifies that it has reasonable grounds to believe that it meets all of the requirements for filing on Form S-3 and has duly caused these Post-Effective Amendments to be signed on its behalf by the undersigned, thereunto duly authorized, in the City of Chicago, State of Illinois, on the 21st day of July, 2026.</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New GoHealth, LLC, as successor by conversion to GoHealth, Inc.</w:t>
      </w:r>
    </w:p>
    <w:p>
      <w:pPr>
        <w:pStyle w:val="TextBody"/>
        <w:bidi w:val="0"/>
        <w:spacing w:lineRule="auto" w:line="288" w:before="0" w:after="240"/>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Vijay Kotte    </w:t>
      </w:r>
      <w:r>
        <w:rPr>
          <w:rFonts w:ascii="Times New Roman;serif" w:hAnsi="Times New Roman;serif"/>
          <w:b w:val="false"/>
          <w:color w:val="000000"/>
          <w:sz w:val="20"/>
        </w:rPr>
        <w:br/>
        <w:t xml:space="preserve">    Vijay Kotte </w:t>
        <w:br/>
        <w:t>    Chief Executive Officer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 other person is required to sign these Post-Effective Amendments in reliance upon Rule 478 under the Securities Act of 1933, as amended.</w:t>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8220/000162828025052599/gohealth-formsx3registrati.htm" TargetMode="External"/><Relationship Id="rId3" Type="http://schemas.openxmlformats.org/officeDocument/2006/relationships/hyperlink" Target="https://www.sec.gov/Archives/edgar/data/1808220/000162828025057434/gohealth-formsx3registrati.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1018</Words>
  <Characters>5657</Characters>
  <CharactersWithSpaces>6640</CharactersWithSpaces>
  <Paragraphs>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