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2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43"/>
        <w:spacing w:after="0"/>
        <w:tabs>
          <w:tab w:leader="none" w:pos="240" w:val="left"/>
        </w:tabs>
        <w:rPr>
          <w:sz w:val="20"/>
          <w:szCs w:val="20"/>
          <w:color w:val="auto"/>
        </w:rPr>
      </w:pPr>
      <w:r>
        <w:rPr>
          <w:rFonts w:ascii="Times New Roman" w:cs="Times New Roman" w:eastAsia="Times New Roman" w:hAnsi="Times New Roman"/>
          <w:sz w:val="22"/>
          <w:szCs w:val="22"/>
          <w:b w:val="1"/>
          <w:bCs w:val="1"/>
          <w:color w:val="auto"/>
        </w:rPr>
        <w:t>(Amendment No.</w:t>
      </w:r>
      <w:r>
        <w:rPr>
          <w:sz w:val="20"/>
          <w:szCs w:val="20"/>
          <w:color w:val="auto"/>
        </w:rPr>
        <w:tab/>
      </w:r>
      <w:r>
        <w:rPr>
          <w:rFonts w:ascii="Times New Roman" w:cs="Times New Roman" w:eastAsia="Times New Roman" w:hAnsi="Times New Roman"/>
          <w:sz w:val="21"/>
          <w:szCs w:val="21"/>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0"/>
          <w:szCs w:val="40"/>
          <w:b w:val="1"/>
          <w:bCs w:val="1"/>
          <w:color w:val="auto"/>
        </w:rPr>
        <w:t>GoHealth, Inc.</w:t>
      </w:r>
    </w:p>
    <w:p>
      <w:pPr>
        <w:spacing w:after="0" w:line="4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Class A Common Stock, par value $0.0001 per share</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38046W105</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Clinton P. Jones</w:t>
      </w:r>
    </w:p>
    <w:p>
      <w:pPr>
        <w:spacing w:after="0" w:line="3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214 West Huron St.</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Chicago, IL 60654</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(312) 386-8200</w:t>
      </w:r>
    </w:p>
    <w:p>
      <w:pPr>
        <w:spacing w:after="0" w:line="2"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November 16, 2022</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304800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ind w:left="4" w:firstLine="440"/>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Rule 13d-1(e), Rule 13d-1(f) or Rule 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9" w:lineRule="exact"/>
        <w:rPr>
          <w:sz w:val="24"/>
          <w:szCs w:val="24"/>
          <w:color w:val="auto"/>
        </w:rPr>
      </w:pPr>
    </w:p>
    <w:p>
      <w:pPr>
        <w:ind w:left="4" w:right="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Schedules filed in paper format shall include a signed original and five copies of the schedule, including all exhibits. See Rule 13d-7(b) for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35560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14" w:lineRule="exact"/>
        <w:rPr>
          <w:sz w:val="24"/>
          <w:szCs w:val="24"/>
          <w:color w:val="auto"/>
        </w:rPr>
      </w:pPr>
    </w:p>
    <w:p>
      <w:pPr>
        <w:ind w:left="424" w:right="20"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left="4" w:right="340" w:firstLine="44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174625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4"/>
          </w:cols>
          <w:pgMar w:left="436" w:top="376" w:right="49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8"/>
        </w:trPr>
        <w:tc>
          <w:tcPr>
            <w:tcW w:w="2160" w:type="dxa"/>
            <w:vAlign w:val="bottom"/>
            <w:gridSpan w:val="6"/>
          </w:tcPr>
          <w:p>
            <w:pPr>
              <w:jc w:val="center"/>
              <w:ind w:right="310"/>
              <w:spacing w:after="0"/>
              <w:rPr>
                <w:sz w:val="20"/>
                <w:szCs w:val="20"/>
                <w:color w:val="auto"/>
              </w:rPr>
            </w:pPr>
            <w:r>
              <w:rPr>
                <w:rFonts w:ascii="Times New Roman" w:cs="Times New Roman" w:eastAsia="Times New Roman" w:hAnsi="Times New Roman"/>
                <w:sz w:val="18"/>
                <w:szCs w:val="18"/>
                <w:color w:val="auto"/>
              </w:rPr>
              <w:t>CUSIP No. 38046W105</w:t>
            </w:r>
          </w:p>
        </w:tc>
        <w:tc>
          <w:tcPr>
            <w:tcW w:w="5920" w:type="dxa"/>
            <w:vAlign w:val="bottom"/>
          </w:tcPr>
          <w:p>
            <w:pPr>
              <w:ind w:left="3420"/>
              <w:spacing w:after="0"/>
              <w:rPr>
                <w:sz w:val="20"/>
                <w:szCs w:val="20"/>
                <w:color w:val="auto"/>
              </w:rPr>
            </w:pPr>
            <w:r>
              <w:rPr>
                <w:rFonts w:ascii="Times New Roman" w:cs="Times New Roman" w:eastAsia="Times New Roman" w:hAnsi="Times New Roman"/>
                <w:sz w:val="18"/>
                <w:szCs w:val="18"/>
                <w:b w:val="1"/>
                <w:bCs w:val="1"/>
                <w:color w:val="auto"/>
              </w:rPr>
              <w:t>13D</w:t>
            </w:r>
          </w:p>
        </w:tc>
        <w:tc>
          <w:tcPr>
            <w:tcW w:w="294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w w:val="98"/>
              </w:rPr>
              <w:t>Page 1 of 11 pages</w:t>
            </w:r>
          </w:p>
        </w:tc>
        <w:tc>
          <w:tcPr>
            <w:tcW w:w="0" w:type="dxa"/>
            <w:vAlign w:val="bottom"/>
          </w:tcPr>
          <w:p>
            <w:pPr>
              <w:spacing w:after="0"/>
              <w:rPr>
                <w:sz w:val="1"/>
                <w:szCs w:val="1"/>
                <w:color w:val="auto"/>
              </w:rPr>
            </w:pPr>
          </w:p>
        </w:tc>
      </w:tr>
      <w:tr>
        <w:trPr>
          <w:trHeight w:val="148"/>
        </w:trPr>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060" w:type="dxa"/>
            <w:vAlign w:val="bottom"/>
            <w:tcBorders>
              <w:bottom w:val="single" w:sz="8" w:color="auto"/>
            </w:tcBorders>
            <w:gridSpan w:val="2"/>
          </w:tcPr>
          <w:p>
            <w:pPr>
              <w:spacing w:after="0"/>
              <w:rPr>
                <w:sz w:val="12"/>
                <w:szCs w:val="12"/>
                <w:color w:val="auto"/>
              </w:rPr>
            </w:pPr>
          </w:p>
        </w:tc>
        <w:tc>
          <w:tcPr>
            <w:tcW w:w="28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right w:val="single" w:sz="8" w:color="auto"/>
            </w:tcBorders>
          </w:tcPr>
          <w:p>
            <w:pPr>
              <w:spacing w:after="0"/>
              <w:rPr>
                <w:sz w:val="20"/>
                <w:szCs w:val="20"/>
                <w:color w:val="auto"/>
              </w:rPr>
            </w:pPr>
          </w:p>
        </w:tc>
        <w:tc>
          <w:tcPr>
            <w:tcW w:w="76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8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NVX Holdings, Inc.</w:t>
            </w:r>
          </w:p>
        </w:tc>
        <w:tc>
          <w:tcPr>
            <w:tcW w:w="5920" w:type="dxa"/>
            <w:vAlign w:val="bottom"/>
            <w:tcBorders>
              <w:bottom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right w:val="single" w:sz="8" w:color="auto"/>
            </w:tcBorders>
          </w:tcPr>
          <w:p>
            <w:pPr>
              <w:spacing w:after="0"/>
              <w:rPr>
                <w:sz w:val="14"/>
                <w:szCs w:val="14"/>
                <w:color w:val="auto"/>
              </w:rPr>
            </w:pPr>
          </w:p>
        </w:tc>
        <w:tc>
          <w:tcPr>
            <w:tcW w:w="7620" w:type="dxa"/>
            <w:vAlign w:val="bottom"/>
            <w:gridSpan w:val="5"/>
          </w:tcPr>
          <w:p>
            <w:pPr>
              <w:ind w:left="16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28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6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740" w:type="dxa"/>
            <w:vAlign w:val="bottom"/>
            <w:gridSpan w:val="3"/>
          </w:tcPr>
          <w:p>
            <w:pPr>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5920" w:type="dxa"/>
            <w:vAlign w:val="bottom"/>
          </w:tcPr>
          <w:p>
            <w:pPr>
              <w:spacing w:after="0"/>
              <w:rPr>
                <w:sz w:val="24"/>
                <w:szCs w:val="24"/>
                <w:color w:val="auto"/>
              </w:rPr>
            </w:pPr>
          </w:p>
        </w:tc>
        <w:tc>
          <w:tcPr>
            <w:tcW w:w="28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920" w:type="dxa"/>
            <w:vAlign w:val="bottom"/>
            <w:tcBorders>
              <w:bottom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Borders>
              <w:right w:val="single" w:sz="8" w:color="auto"/>
            </w:tcBorders>
          </w:tcPr>
          <w:p>
            <w:pPr>
              <w:spacing w:after="0"/>
              <w:rPr>
                <w:sz w:val="20"/>
                <w:szCs w:val="20"/>
                <w:color w:val="auto"/>
              </w:rPr>
            </w:pPr>
          </w:p>
        </w:tc>
        <w:tc>
          <w:tcPr>
            <w:tcW w:w="17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SEC Use Only</w:t>
            </w:r>
          </w:p>
        </w:tc>
        <w:tc>
          <w:tcPr>
            <w:tcW w:w="5920" w:type="dxa"/>
            <w:vAlign w:val="bottom"/>
          </w:tcPr>
          <w:p>
            <w:pPr>
              <w:spacing w:after="0"/>
              <w:rPr>
                <w:sz w:val="20"/>
                <w:szCs w:val="20"/>
                <w:color w:val="auto"/>
              </w:rPr>
            </w:pPr>
          </w:p>
        </w:tc>
        <w:tc>
          <w:tcPr>
            <w:tcW w:w="28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6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060" w:type="dxa"/>
            <w:vAlign w:val="bottom"/>
            <w:tcBorders>
              <w:bottom w:val="single" w:sz="8" w:color="auto"/>
            </w:tcBorders>
            <w:gridSpan w:val="2"/>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Borders>
              <w:right w:val="single" w:sz="8" w:color="auto"/>
            </w:tcBorders>
          </w:tcPr>
          <w:p>
            <w:pPr>
              <w:spacing w:after="0"/>
              <w:rPr>
                <w:sz w:val="20"/>
                <w:szCs w:val="20"/>
                <w:color w:val="auto"/>
              </w:rPr>
            </w:pPr>
          </w:p>
        </w:tc>
        <w:tc>
          <w:tcPr>
            <w:tcW w:w="76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28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OO</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920" w:type="dxa"/>
            <w:vAlign w:val="bottom"/>
            <w:tcBorders>
              <w:bottom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Borders>
              <w:right w:val="single" w:sz="8" w:color="auto"/>
            </w:tcBorders>
          </w:tcPr>
          <w:p>
            <w:pPr>
              <w:spacing w:after="0"/>
              <w:rPr>
                <w:sz w:val="20"/>
                <w:szCs w:val="20"/>
                <w:color w:val="auto"/>
              </w:rPr>
            </w:pPr>
          </w:p>
        </w:tc>
        <w:tc>
          <w:tcPr>
            <w:tcW w:w="76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28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920" w:type="dxa"/>
            <w:vAlign w:val="bottom"/>
            <w:tcBorders>
              <w:bottom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Borders>
              <w:right w:val="single" w:sz="8" w:color="auto"/>
            </w:tcBorders>
          </w:tcPr>
          <w:p>
            <w:pPr>
              <w:spacing w:after="0"/>
              <w:rPr>
                <w:sz w:val="20"/>
                <w:szCs w:val="20"/>
                <w:color w:val="auto"/>
              </w:rPr>
            </w:pPr>
          </w:p>
        </w:tc>
        <w:tc>
          <w:tcPr>
            <w:tcW w:w="76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8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920" w:type="dxa"/>
            <w:vAlign w:val="bottom"/>
            <w:tcBorders>
              <w:bottom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w:t>
            </w:r>
          </w:p>
        </w:tc>
        <w:tc>
          <w:tcPr>
            <w:tcW w:w="140" w:type="dxa"/>
            <w:vAlign w:val="bottom"/>
          </w:tcPr>
          <w:p>
            <w:pPr>
              <w:spacing w:after="0"/>
              <w:rPr>
                <w:sz w:val="20"/>
                <w:szCs w:val="20"/>
                <w:color w:val="auto"/>
              </w:rPr>
            </w:pPr>
          </w:p>
        </w:tc>
        <w:tc>
          <w:tcPr>
            <w:tcW w:w="5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8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1420" w:type="dxa"/>
            <w:vAlign w:val="bottom"/>
            <w:tcBorders>
              <w:left w:val="single" w:sz="8" w:color="auto"/>
            </w:tcBorders>
            <w:gridSpan w:val="3"/>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80" w:type="dxa"/>
            <w:vAlign w:val="bottom"/>
            <w:tcBorders>
              <w:right w:val="single" w:sz="8" w:color="auto"/>
            </w:tcBorders>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9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0</w:t>
            </w:r>
          </w:p>
        </w:tc>
        <w:tc>
          <w:tcPr>
            <w:tcW w:w="28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80" w:type="dxa"/>
            <w:vAlign w:val="bottom"/>
            <w:tcBorders>
              <w:right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5920" w:type="dxa"/>
            <w:vAlign w:val="bottom"/>
            <w:tcBorders>
              <w:bottom w:val="single" w:sz="8" w:color="auto"/>
            </w:tcBorders>
          </w:tcPr>
          <w:p>
            <w:pPr>
              <w:spacing w:after="0"/>
              <w:rPr>
                <w:sz w:val="5"/>
                <w:szCs w:val="5"/>
                <w:color w:val="auto"/>
              </w:rPr>
            </w:pPr>
          </w:p>
        </w:tc>
        <w:tc>
          <w:tcPr>
            <w:tcW w:w="284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36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420" w:type="dxa"/>
            <w:vAlign w:val="bottom"/>
            <w:tcBorders>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w:t>
            </w:r>
          </w:p>
        </w:tc>
        <w:tc>
          <w:tcPr>
            <w:tcW w:w="140" w:type="dxa"/>
            <w:vAlign w:val="bottom"/>
          </w:tcPr>
          <w:p>
            <w:pPr>
              <w:spacing w:after="0"/>
              <w:rPr>
                <w:sz w:val="10"/>
                <w:szCs w:val="10"/>
                <w:color w:val="auto"/>
              </w:rPr>
            </w:pPr>
          </w:p>
        </w:tc>
        <w:tc>
          <w:tcPr>
            <w:tcW w:w="59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8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1600" w:type="dxa"/>
            <w:vAlign w:val="bottom"/>
            <w:tcBorders>
              <w:left w:val="single" w:sz="8" w:color="auto"/>
              <w:right w:val="single" w:sz="8" w:color="auto"/>
            </w:tcBorders>
            <w:gridSpan w:val="4"/>
            <w:vMerge w:val="restart"/>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420" w:type="dxa"/>
            <w:vAlign w:val="bottom"/>
            <w:tcBorders>
              <w:right w:val="single" w:sz="8" w:color="auto"/>
            </w:tcBorders>
            <w:vMerge w:val="continue"/>
          </w:tcPr>
          <w:p>
            <w:pPr>
              <w:spacing w:after="0"/>
              <w:rPr>
                <w:sz w:val="9"/>
                <w:szCs w:val="9"/>
                <w:color w:val="auto"/>
              </w:rPr>
            </w:pPr>
          </w:p>
        </w:tc>
        <w:tc>
          <w:tcPr>
            <w:tcW w:w="140" w:type="dxa"/>
            <w:vAlign w:val="bottom"/>
          </w:tcPr>
          <w:p>
            <w:pPr>
              <w:spacing w:after="0"/>
              <w:rPr>
                <w:sz w:val="9"/>
                <w:szCs w:val="9"/>
                <w:color w:val="auto"/>
              </w:rPr>
            </w:pPr>
          </w:p>
        </w:tc>
        <w:tc>
          <w:tcPr>
            <w:tcW w:w="5920" w:type="dxa"/>
            <w:vAlign w:val="bottom"/>
            <w:vMerge w:val="continue"/>
          </w:tcPr>
          <w:p>
            <w:pPr>
              <w:spacing w:after="0"/>
              <w:rPr>
                <w:sz w:val="9"/>
                <w:szCs w:val="9"/>
                <w:color w:val="auto"/>
              </w:rPr>
            </w:pPr>
          </w:p>
        </w:tc>
        <w:tc>
          <w:tcPr>
            <w:tcW w:w="284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00" w:type="dxa"/>
            <w:vAlign w:val="bottom"/>
            <w:tcBorders>
              <w:left w:val="single" w:sz="8" w:color="auto"/>
              <w:right w:val="single" w:sz="8" w:color="auto"/>
            </w:tcBorders>
            <w:gridSpan w:val="4"/>
            <w:vMerge w:val="continue"/>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5920" w:type="dxa"/>
            <w:vAlign w:val="bottom"/>
          </w:tcPr>
          <w:p>
            <w:pPr>
              <w:spacing w:after="0"/>
              <w:rPr>
                <w:sz w:val="9"/>
                <w:szCs w:val="9"/>
                <w:color w:val="auto"/>
              </w:rPr>
            </w:pPr>
          </w:p>
        </w:tc>
        <w:tc>
          <w:tcPr>
            <w:tcW w:w="284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18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9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6,232,352</w:t>
            </w:r>
          </w:p>
        </w:tc>
        <w:tc>
          <w:tcPr>
            <w:tcW w:w="28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36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EACH</w:t>
            </w:r>
          </w:p>
        </w:tc>
        <w:tc>
          <w:tcPr>
            <w:tcW w:w="180" w:type="dxa"/>
            <w:vAlign w:val="bottom"/>
            <w:tcBorders>
              <w:right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920" w:type="dxa"/>
            <w:vAlign w:val="bottom"/>
            <w:tcBorders>
              <w:bottom w:val="single" w:sz="8" w:color="auto"/>
            </w:tcBorders>
            <w:vMerge w:val="continue"/>
          </w:tcPr>
          <w:p>
            <w:pPr>
              <w:spacing w:after="0"/>
              <w:rPr>
                <w:sz w:val="10"/>
                <w:szCs w:val="10"/>
                <w:color w:val="auto"/>
              </w:rPr>
            </w:pPr>
          </w:p>
        </w:tc>
        <w:tc>
          <w:tcPr>
            <w:tcW w:w="2840" w:type="dxa"/>
            <w:vAlign w:val="bottom"/>
            <w:tcBorders>
              <w:bottom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60" w:type="dxa"/>
            <w:vAlign w:val="bottom"/>
            <w:tcBorders>
              <w:lef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80" w:type="dxa"/>
            <w:vAlign w:val="bottom"/>
            <w:tcBorders>
              <w:right w:val="single" w:sz="8" w:color="auto"/>
            </w:tcBorders>
          </w:tcPr>
          <w:p>
            <w:pPr>
              <w:spacing w:after="0"/>
              <w:rPr>
                <w:sz w:val="6"/>
                <w:szCs w:val="6"/>
                <w:color w:val="auto"/>
              </w:rPr>
            </w:pPr>
          </w:p>
        </w:tc>
        <w:tc>
          <w:tcPr>
            <w:tcW w:w="420" w:type="dxa"/>
            <w:vAlign w:val="bottom"/>
            <w:tcBorders>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9</w:t>
            </w:r>
          </w:p>
        </w:tc>
        <w:tc>
          <w:tcPr>
            <w:tcW w:w="140" w:type="dxa"/>
            <w:vAlign w:val="bottom"/>
          </w:tcPr>
          <w:p>
            <w:pPr>
              <w:spacing w:after="0"/>
              <w:rPr>
                <w:sz w:val="6"/>
                <w:szCs w:val="6"/>
                <w:color w:val="auto"/>
              </w:rPr>
            </w:pPr>
          </w:p>
        </w:tc>
        <w:tc>
          <w:tcPr>
            <w:tcW w:w="59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284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1420" w:type="dxa"/>
            <w:vAlign w:val="bottom"/>
            <w:tcBorders>
              <w:left w:val="single" w:sz="8" w:color="auto"/>
            </w:tcBorders>
            <w:gridSpan w:val="3"/>
            <w:vMerge w:val="restart"/>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180" w:type="dxa"/>
            <w:vAlign w:val="bottom"/>
            <w:tcBorders>
              <w:right w:val="single" w:sz="8" w:color="auto"/>
            </w:tcBorders>
          </w:tcPr>
          <w:p>
            <w:pPr>
              <w:spacing w:after="0"/>
              <w:rPr>
                <w:sz w:val="14"/>
                <w:szCs w:val="14"/>
                <w:color w:val="auto"/>
              </w:rPr>
            </w:pPr>
          </w:p>
        </w:tc>
        <w:tc>
          <w:tcPr>
            <w:tcW w:w="420" w:type="dxa"/>
            <w:vAlign w:val="bottom"/>
            <w:tcBorders>
              <w:right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5920" w:type="dxa"/>
            <w:vAlign w:val="bottom"/>
            <w:vMerge w:val="continue"/>
          </w:tcPr>
          <w:p>
            <w:pPr>
              <w:spacing w:after="0"/>
              <w:rPr>
                <w:sz w:val="14"/>
                <w:szCs w:val="14"/>
                <w:color w:val="auto"/>
              </w:rPr>
            </w:pPr>
          </w:p>
        </w:tc>
        <w:tc>
          <w:tcPr>
            <w:tcW w:w="28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1420" w:type="dxa"/>
            <w:vAlign w:val="bottom"/>
            <w:tcBorders>
              <w:left w:val="single" w:sz="8" w:color="auto"/>
            </w:tcBorders>
            <w:gridSpan w:val="3"/>
            <w:vMerge w:val="continue"/>
          </w:tcPr>
          <w:p>
            <w:pPr>
              <w:spacing w:after="0"/>
              <w:rPr>
                <w:sz w:val="4"/>
                <w:szCs w:val="4"/>
                <w:color w:val="auto"/>
              </w:rPr>
            </w:pPr>
          </w:p>
        </w:tc>
        <w:tc>
          <w:tcPr>
            <w:tcW w:w="180" w:type="dxa"/>
            <w:vAlign w:val="bottom"/>
            <w:tcBorders>
              <w:right w:val="single" w:sz="8" w:color="auto"/>
            </w:tcBorders>
          </w:tcPr>
          <w:p>
            <w:pPr>
              <w:spacing w:after="0"/>
              <w:rPr>
                <w:sz w:val="4"/>
                <w:szCs w:val="4"/>
                <w:color w:val="auto"/>
              </w:rPr>
            </w:pPr>
          </w:p>
        </w:tc>
        <w:tc>
          <w:tcPr>
            <w:tcW w:w="420" w:type="dxa"/>
            <w:vAlign w:val="bottom"/>
            <w:tcBorders>
              <w:righ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920" w:type="dxa"/>
            <w:vAlign w:val="bottom"/>
          </w:tcPr>
          <w:p>
            <w:pPr>
              <w:spacing w:after="0"/>
              <w:rPr>
                <w:sz w:val="4"/>
                <w:szCs w:val="4"/>
                <w:color w:val="auto"/>
              </w:rPr>
            </w:pPr>
          </w:p>
        </w:tc>
        <w:tc>
          <w:tcPr>
            <w:tcW w:w="284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PERSON</w:t>
            </w:r>
          </w:p>
        </w:tc>
        <w:tc>
          <w:tcPr>
            <w:tcW w:w="18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9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0</w:t>
            </w:r>
          </w:p>
        </w:tc>
        <w:tc>
          <w:tcPr>
            <w:tcW w:w="28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60" w:type="dxa"/>
            <w:vAlign w:val="bottom"/>
            <w:tcBorders>
              <w:lef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ind w:left="140"/>
              <w:spacing w:after="0" w:line="164" w:lineRule="exact"/>
              <w:rPr>
                <w:sz w:val="20"/>
                <w:szCs w:val="20"/>
                <w:color w:val="auto"/>
              </w:rPr>
            </w:pPr>
            <w:r>
              <w:rPr>
                <w:rFonts w:ascii="Times New Roman" w:cs="Times New Roman" w:eastAsia="Times New Roman" w:hAnsi="Times New Roman"/>
                <w:sz w:val="18"/>
                <w:szCs w:val="18"/>
                <w:b w:val="1"/>
                <w:bCs w:val="1"/>
                <w:color w:val="auto"/>
              </w:rPr>
              <w:t>WITH</w:t>
            </w:r>
          </w:p>
        </w:tc>
        <w:tc>
          <w:tcPr>
            <w:tcW w:w="180" w:type="dxa"/>
            <w:vAlign w:val="bottom"/>
            <w:tcBorders>
              <w:right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920" w:type="dxa"/>
            <w:vAlign w:val="bottom"/>
            <w:tcBorders>
              <w:bottom w:val="single" w:sz="8" w:color="auto"/>
            </w:tcBorders>
            <w:vMerge w:val="continue"/>
          </w:tcPr>
          <w:p>
            <w:pPr>
              <w:spacing w:after="0"/>
              <w:rPr>
                <w:sz w:val="16"/>
                <w:szCs w:val="16"/>
                <w:color w:val="auto"/>
              </w:rPr>
            </w:pPr>
          </w:p>
        </w:tc>
        <w:tc>
          <w:tcPr>
            <w:tcW w:w="2840" w:type="dxa"/>
            <w:vAlign w:val="bottom"/>
            <w:tcBorders>
              <w:bottom w:val="single" w:sz="8" w:color="auto"/>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10</w:t>
            </w:r>
          </w:p>
        </w:tc>
        <w:tc>
          <w:tcPr>
            <w:tcW w:w="140" w:type="dxa"/>
            <w:vAlign w:val="bottom"/>
          </w:tcPr>
          <w:p>
            <w:pPr>
              <w:spacing w:after="0"/>
              <w:rPr>
                <w:sz w:val="20"/>
                <w:szCs w:val="20"/>
                <w:color w:val="auto"/>
              </w:rPr>
            </w:pPr>
          </w:p>
        </w:tc>
        <w:tc>
          <w:tcPr>
            <w:tcW w:w="5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8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6,232,352</w:t>
            </w:r>
          </w:p>
        </w:tc>
        <w:tc>
          <w:tcPr>
            <w:tcW w:w="28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60" w:type="dxa"/>
            <w:vAlign w:val="bottom"/>
            <w:tcBorders>
              <w:left w:val="single" w:sz="8" w:color="auto"/>
              <w:right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w:t>
            </w:r>
          </w:p>
        </w:tc>
        <w:tc>
          <w:tcPr>
            <w:tcW w:w="15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9"/>
              </w:rPr>
              <w:t>Aggregate Amount</w:t>
            </w:r>
          </w:p>
        </w:tc>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Beneficially Owned by Each Reporting Person</w:t>
            </w:r>
          </w:p>
        </w:tc>
        <w:tc>
          <w:tcPr>
            <w:tcW w:w="28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6,232,352</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920" w:type="dxa"/>
            <w:vAlign w:val="bottom"/>
            <w:tcBorders>
              <w:bottom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Borders>
              <w:right w:val="single" w:sz="8" w:color="auto"/>
            </w:tcBorders>
          </w:tcPr>
          <w:p>
            <w:pPr>
              <w:spacing w:after="0"/>
              <w:rPr>
                <w:sz w:val="20"/>
                <w:szCs w:val="20"/>
                <w:color w:val="auto"/>
              </w:rPr>
            </w:pPr>
          </w:p>
        </w:tc>
        <w:tc>
          <w:tcPr>
            <w:tcW w:w="76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tc>
        <w:tc>
          <w:tcPr>
            <w:tcW w:w="28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920" w:type="dxa"/>
            <w:vAlign w:val="bottom"/>
            <w:tcBorders>
              <w:bottom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Borders>
              <w:right w:val="single" w:sz="8" w:color="auto"/>
            </w:tcBorders>
          </w:tcPr>
          <w:p>
            <w:pPr>
              <w:spacing w:after="0"/>
              <w:rPr>
                <w:sz w:val="20"/>
                <w:szCs w:val="20"/>
                <w:color w:val="auto"/>
              </w:rPr>
            </w:pPr>
          </w:p>
        </w:tc>
        <w:tc>
          <w:tcPr>
            <w:tcW w:w="76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28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41.4%</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920" w:type="dxa"/>
            <w:vAlign w:val="bottom"/>
            <w:tcBorders>
              <w:bottom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Borders>
              <w:right w:val="single" w:sz="8" w:color="auto"/>
            </w:tcBorders>
          </w:tcPr>
          <w:p>
            <w:pPr>
              <w:spacing w:after="0"/>
              <w:rPr>
                <w:sz w:val="20"/>
                <w:szCs w:val="20"/>
                <w:color w:val="auto"/>
              </w:rPr>
            </w:pPr>
          </w:p>
        </w:tc>
        <w:tc>
          <w:tcPr>
            <w:tcW w:w="762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8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CO</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920" w:type="dxa"/>
            <w:vAlign w:val="bottom"/>
            <w:tcBorders>
              <w:bottom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 w:name="page3"/>
    <w:bookmarkEnd w:id="2"/>
    <w:tbl>
      <w:tblPr>
        <w:tblLayout w:type="fixed"/>
        <w:tblInd w:w="10" w:type="dxa"/>
        <w:tblCellMar>
          <w:top w:w="0" w:type="dxa"/>
          <w:left w:w="0" w:type="dxa"/>
          <w:bottom w:w="0" w:type="dxa"/>
          <w:right w:w="0" w:type="dxa"/>
        </w:tblCellMar>
      </w:tblPr>
      <w:tr>
        <w:trPr>
          <w:trHeight w:val="238"/>
        </w:trPr>
        <w:tc>
          <w:tcPr>
            <w:tcW w:w="2020" w:type="dxa"/>
            <w:vAlign w:val="bottom"/>
            <w:gridSpan w:val="5"/>
          </w:tcPr>
          <w:p>
            <w:pPr>
              <w:jc w:val="center"/>
              <w:ind w:right="170"/>
              <w:spacing w:after="0"/>
              <w:rPr>
                <w:sz w:val="20"/>
                <w:szCs w:val="20"/>
                <w:color w:val="auto"/>
              </w:rPr>
            </w:pPr>
            <w:r>
              <w:rPr>
                <w:rFonts w:ascii="Times New Roman" w:cs="Times New Roman" w:eastAsia="Times New Roman" w:hAnsi="Times New Roman"/>
                <w:sz w:val="18"/>
                <w:szCs w:val="18"/>
                <w:color w:val="auto"/>
              </w:rPr>
              <w:t>CUSIP No. 38046W105</w:t>
            </w:r>
          </w:p>
        </w:tc>
        <w:tc>
          <w:tcPr>
            <w:tcW w:w="6060" w:type="dxa"/>
            <w:vAlign w:val="bottom"/>
          </w:tcPr>
          <w:p>
            <w:pPr>
              <w:ind w:left="3560"/>
              <w:spacing w:after="0"/>
              <w:rPr>
                <w:sz w:val="20"/>
                <w:szCs w:val="20"/>
                <w:color w:val="auto"/>
              </w:rPr>
            </w:pPr>
            <w:r>
              <w:rPr>
                <w:rFonts w:ascii="Times New Roman" w:cs="Times New Roman" w:eastAsia="Times New Roman" w:hAnsi="Times New Roman"/>
                <w:sz w:val="18"/>
                <w:szCs w:val="18"/>
                <w:b w:val="1"/>
                <w:bCs w:val="1"/>
                <w:color w:val="auto"/>
              </w:rPr>
              <w:t>13D</w:t>
            </w:r>
          </w:p>
        </w:tc>
        <w:tc>
          <w:tcPr>
            <w:tcW w:w="294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w w:val="98"/>
              </w:rPr>
              <w:t>Page 2 of 11 pages</w:t>
            </w:r>
          </w:p>
        </w:tc>
        <w:tc>
          <w:tcPr>
            <w:tcW w:w="0" w:type="dxa"/>
            <w:vAlign w:val="bottom"/>
          </w:tcPr>
          <w:p>
            <w:pPr>
              <w:spacing w:after="0"/>
              <w:rPr>
                <w:sz w:val="1"/>
                <w:szCs w:val="1"/>
                <w:color w:val="auto"/>
              </w:rPr>
            </w:pPr>
          </w:p>
        </w:tc>
      </w:tr>
      <w:tr>
        <w:trPr>
          <w:trHeight w:val="148"/>
        </w:trPr>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060" w:type="dxa"/>
            <w:vAlign w:val="bottom"/>
            <w:tcBorders>
              <w:bottom w:val="single" w:sz="8" w:color="auto"/>
            </w:tcBorders>
          </w:tcPr>
          <w:p>
            <w:pPr>
              <w:spacing w:after="0"/>
              <w:rPr>
                <w:sz w:val="12"/>
                <w:szCs w:val="12"/>
                <w:color w:val="auto"/>
              </w:rPr>
            </w:pPr>
          </w:p>
        </w:tc>
        <w:tc>
          <w:tcPr>
            <w:tcW w:w="28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right w:val="single" w:sz="8" w:color="auto"/>
            </w:tcBorders>
          </w:tcPr>
          <w:p>
            <w:pPr>
              <w:spacing w:after="0"/>
              <w:rPr>
                <w:sz w:val="20"/>
                <w:szCs w:val="20"/>
                <w:color w:val="auto"/>
              </w:rPr>
            </w:pPr>
          </w:p>
        </w:tc>
        <w:tc>
          <w:tcPr>
            <w:tcW w:w="76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8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w w:val="98"/>
              </w:rPr>
              <w:t>Brandon M. Cruz</w:t>
            </w:r>
          </w:p>
        </w:tc>
        <w:tc>
          <w:tcPr>
            <w:tcW w:w="6060" w:type="dxa"/>
            <w:vAlign w:val="bottom"/>
            <w:tcBorders>
              <w:bottom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right w:val="single" w:sz="8" w:color="auto"/>
            </w:tcBorders>
          </w:tcPr>
          <w:p>
            <w:pPr>
              <w:spacing w:after="0"/>
              <w:rPr>
                <w:sz w:val="14"/>
                <w:szCs w:val="14"/>
                <w:color w:val="auto"/>
              </w:rPr>
            </w:pPr>
          </w:p>
        </w:tc>
        <w:tc>
          <w:tcPr>
            <w:tcW w:w="7620" w:type="dxa"/>
            <w:vAlign w:val="bottom"/>
            <w:gridSpan w:val="4"/>
          </w:tcPr>
          <w:p>
            <w:pPr>
              <w:ind w:left="16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28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6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600" w:type="dxa"/>
            <w:vAlign w:val="bottom"/>
            <w:gridSpan w:val="2"/>
          </w:tcPr>
          <w:p>
            <w:pPr>
              <w:jc w:val="right"/>
              <w:ind w:right="5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6060" w:type="dxa"/>
            <w:vAlign w:val="bottom"/>
          </w:tcPr>
          <w:p>
            <w:pPr>
              <w:spacing w:after="0"/>
              <w:rPr>
                <w:sz w:val="24"/>
                <w:szCs w:val="24"/>
                <w:color w:val="auto"/>
              </w:rPr>
            </w:pPr>
          </w:p>
        </w:tc>
        <w:tc>
          <w:tcPr>
            <w:tcW w:w="28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060" w:type="dxa"/>
            <w:vAlign w:val="bottom"/>
            <w:tcBorders>
              <w:bottom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Borders>
              <w:right w:val="single" w:sz="8" w:color="auto"/>
            </w:tcBorders>
          </w:tcPr>
          <w:p>
            <w:pPr>
              <w:spacing w:after="0"/>
              <w:rPr>
                <w:sz w:val="20"/>
                <w:szCs w:val="20"/>
                <w:color w:val="auto"/>
              </w:rPr>
            </w:pPr>
          </w:p>
        </w:tc>
        <w:tc>
          <w:tcPr>
            <w:tcW w:w="1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SEC Use Only</w:t>
            </w:r>
          </w:p>
        </w:tc>
        <w:tc>
          <w:tcPr>
            <w:tcW w:w="6060" w:type="dxa"/>
            <w:vAlign w:val="bottom"/>
          </w:tcPr>
          <w:p>
            <w:pPr>
              <w:spacing w:after="0"/>
              <w:rPr>
                <w:sz w:val="20"/>
                <w:szCs w:val="20"/>
                <w:color w:val="auto"/>
              </w:rPr>
            </w:pPr>
          </w:p>
        </w:tc>
        <w:tc>
          <w:tcPr>
            <w:tcW w:w="28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6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060" w:type="dxa"/>
            <w:vAlign w:val="bottom"/>
            <w:tcBorders>
              <w:bottom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Borders>
              <w:right w:val="single" w:sz="8" w:color="auto"/>
            </w:tcBorders>
          </w:tcPr>
          <w:p>
            <w:pPr>
              <w:spacing w:after="0"/>
              <w:rPr>
                <w:sz w:val="20"/>
                <w:szCs w:val="20"/>
                <w:color w:val="auto"/>
              </w:rPr>
            </w:pPr>
          </w:p>
        </w:tc>
        <w:tc>
          <w:tcPr>
            <w:tcW w:w="76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28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OO</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60" w:type="dxa"/>
            <w:vAlign w:val="bottom"/>
            <w:tcBorders>
              <w:bottom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Borders>
              <w:right w:val="single" w:sz="8" w:color="auto"/>
            </w:tcBorders>
          </w:tcPr>
          <w:p>
            <w:pPr>
              <w:spacing w:after="0"/>
              <w:rPr>
                <w:sz w:val="20"/>
                <w:szCs w:val="20"/>
                <w:color w:val="auto"/>
              </w:rPr>
            </w:pPr>
          </w:p>
        </w:tc>
        <w:tc>
          <w:tcPr>
            <w:tcW w:w="76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28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60" w:type="dxa"/>
            <w:vAlign w:val="bottom"/>
            <w:tcBorders>
              <w:bottom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Borders>
              <w:right w:val="single" w:sz="8" w:color="auto"/>
            </w:tcBorders>
          </w:tcPr>
          <w:p>
            <w:pPr>
              <w:spacing w:after="0"/>
              <w:rPr>
                <w:sz w:val="20"/>
                <w:szCs w:val="20"/>
                <w:color w:val="auto"/>
              </w:rPr>
            </w:pPr>
          </w:p>
        </w:tc>
        <w:tc>
          <w:tcPr>
            <w:tcW w:w="76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8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6060" w:type="dxa"/>
            <w:vAlign w:val="bottom"/>
            <w:tcBorders>
              <w:bottom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w:t>
            </w:r>
          </w:p>
        </w:tc>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28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1420" w:type="dxa"/>
            <w:vAlign w:val="bottom"/>
            <w:tcBorders>
              <w:left w:val="single" w:sz="8" w:color="auto"/>
            </w:tcBorders>
            <w:gridSpan w:val="3"/>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80" w:type="dxa"/>
            <w:vAlign w:val="bottom"/>
            <w:tcBorders>
              <w:right w:val="single" w:sz="8" w:color="auto"/>
            </w:tcBorders>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185,919</w:t>
            </w:r>
          </w:p>
        </w:tc>
        <w:tc>
          <w:tcPr>
            <w:tcW w:w="28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80" w:type="dxa"/>
            <w:vAlign w:val="bottom"/>
            <w:tcBorders>
              <w:right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6060" w:type="dxa"/>
            <w:vAlign w:val="bottom"/>
            <w:tcBorders>
              <w:bottom w:val="single" w:sz="8" w:color="auto"/>
            </w:tcBorders>
          </w:tcPr>
          <w:p>
            <w:pPr>
              <w:spacing w:after="0"/>
              <w:rPr>
                <w:sz w:val="5"/>
                <w:szCs w:val="5"/>
                <w:color w:val="auto"/>
              </w:rPr>
            </w:pPr>
          </w:p>
        </w:tc>
        <w:tc>
          <w:tcPr>
            <w:tcW w:w="284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36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420" w:type="dxa"/>
            <w:vAlign w:val="bottom"/>
            <w:tcBorders>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w:t>
            </w:r>
          </w:p>
        </w:tc>
        <w:tc>
          <w:tcPr>
            <w:tcW w:w="60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28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1600" w:type="dxa"/>
            <w:vAlign w:val="bottom"/>
            <w:tcBorders>
              <w:left w:val="single" w:sz="8" w:color="auto"/>
              <w:right w:val="single" w:sz="8" w:color="auto"/>
            </w:tcBorders>
            <w:gridSpan w:val="4"/>
            <w:vMerge w:val="restart"/>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420" w:type="dxa"/>
            <w:vAlign w:val="bottom"/>
            <w:tcBorders>
              <w:right w:val="single" w:sz="8" w:color="auto"/>
            </w:tcBorders>
            <w:vMerge w:val="continue"/>
          </w:tcPr>
          <w:p>
            <w:pPr>
              <w:spacing w:after="0"/>
              <w:rPr>
                <w:sz w:val="9"/>
                <w:szCs w:val="9"/>
                <w:color w:val="auto"/>
              </w:rPr>
            </w:pPr>
          </w:p>
        </w:tc>
        <w:tc>
          <w:tcPr>
            <w:tcW w:w="6060" w:type="dxa"/>
            <w:vAlign w:val="bottom"/>
            <w:vMerge w:val="continue"/>
          </w:tcPr>
          <w:p>
            <w:pPr>
              <w:spacing w:after="0"/>
              <w:rPr>
                <w:sz w:val="9"/>
                <w:szCs w:val="9"/>
                <w:color w:val="auto"/>
              </w:rPr>
            </w:pPr>
          </w:p>
        </w:tc>
        <w:tc>
          <w:tcPr>
            <w:tcW w:w="284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00" w:type="dxa"/>
            <w:vAlign w:val="bottom"/>
            <w:tcBorders>
              <w:left w:val="single" w:sz="8" w:color="auto"/>
              <w:right w:val="single" w:sz="8" w:color="auto"/>
            </w:tcBorders>
            <w:gridSpan w:val="4"/>
            <w:vMerge w:val="continue"/>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6060" w:type="dxa"/>
            <w:vAlign w:val="bottom"/>
          </w:tcPr>
          <w:p>
            <w:pPr>
              <w:spacing w:after="0"/>
              <w:rPr>
                <w:sz w:val="9"/>
                <w:szCs w:val="9"/>
                <w:color w:val="auto"/>
              </w:rPr>
            </w:pPr>
          </w:p>
        </w:tc>
        <w:tc>
          <w:tcPr>
            <w:tcW w:w="284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18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0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6,247,139</w:t>
            </w:r>
          </w:p>
        </w:tc>
        <w:tc>
          <w:tcPr>
            <w:tcW w:w="28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36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EACH</w:t>
            </w:r>
          </w:p>
        </w:tc>
        <w:tc>
          <w:tcPr>
            <w:tcW w:w="180" w:type="dxa"/>
            <w:vAlign w:val="bottom"/>
            <w:tcBorders>
              <w:right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6060" w:type="dxa"/>
            <w:vAlign w:val="bottom"/>
            <w:tcBorders>
              <w:bottom w:val="single" w:sz="8" w:color="auto"/>
            </w:tcBorders>
            <w:vMerge w:val="continue"/>
          </w:tcPr>
          <w:p>
            <w:pPr>
              <w:spacing w:after="0"/>
              <w:rPr>
                <w:sz w:val="10"/>
                <w:szCs w:val="10"/>
                <w:color w:val="auto"/>
              </w:rPr>
            </w:pPr>
          </w:p>
        </w:tc>
        <w:tc>
          <w:tcPr>
            <w:tcW w:w="2840" w:type="dxa"/>
            <w:vAlign w:val="bottom"/>
            <w:tcBorders>
              <w:bottom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60" w:type="dxa"/>
            <w:vAlign w:val="bottom"/>
            <w:tcBorders>
              <w:lef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80" w:type="dxa"/>
            <w:vAlign w:val="bottom"/>
            <w:tcBorders>
              <w:right w:val="single" w:sz="8" w:color="auto"/>
            </w:tcBorders>
          </w:tcPr>
          <w:p>
            <w:pPr>
              <w:spacing w:after="0"/>
              <w:rPr>
                <w:sz w:val="6"/>
                <w:szCs w:val="6"/>
                <w:color w:val="auto"/>
              </w:rPr>
            </w:pPr>
          </w:p>
        </w:tc>
        <w:tc>
          <w:tcPr>
            <w:tcW w:w="420" w:type="dxa"/>
            <w:vAlign w:val="bottom"/>
            <w:tcBorders>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9</w:t>
            </w:r>
          </w:p>
        </w:tc>
        <w:tc>
          <w:tcPr>
            <w:tcW w:w="60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284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1420" w:type="dxa"/>
            <w:vAlign w:val="bottom"/>
            <w:tcBorders>
              <w:left w:val="single" w:sz="8" w:color="auto"/>
            </w:tcBorders>
            <w:gridSpan w:val="3"/>
            <w:vMerge w:val="restart"/>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180" w:type="dxa"/>
            <w:vAlign w:val="bottom"/>
            <w:tcBorders>
              <w:right w:val="single" w:sz="8" w:color="auto"/>
            </w:tcBorders>
          </w:tcPr>
          <w:p>
            <w:pPr>
              <w:spacing w:after="0"/>
              <w:rPr>
                <w:sz w:val="14"/>
                <w:szCs w:val="14"/>
                <w:color w:val="auto"/>
              </w:rPr>
            </w:pPr>
          </w:p>
        </w:tc>
        <w:tc>
          <w:tcPr>
            <w:tcW w:w="420" w:type="dxa"/>
            <w:vAlign w:val="bottom"/>
            <w:tcBorders>
              <w:right w:val="single" w:sz="8" w:color="auto"/>
            </w:tcBorders>
            <w:vMerge w:val="continue"/>
          </w:tcPr>
          <w:p>
            <w:pPr>
              <w:spacing w:after="0"/>
              <w:rPr>
                <w:sz w:val="14"/>
                <w:szCs w:val="14"/>
                <w:color w:val="auto"/>
              </w:rPr>
            </w:pPr>
          </w:p>
        </w:tc>
        <w:tc>
          <w:tcPr>
            <w:tcW w:w="6060" w:type="dxa"/>
            <w:vAlign w:val="bottom"/>
            <w:vMerge w:val="continue"/>
          </w:tcPr>
          <w:p>
            <w:pPr>
              <w:spacing w:after="0"/>
              <w:rPr>
                <w:sz w:val="14"/>
                <w:szCs w:val="14"/>
                <w:color w:val="auto"/>
              </w:rPr>
            </w:pPr>
          </w:p>
        </w:tc>
        <w:tc>
          <w:tcPr>
            <w:tcW w:w="28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1420" w:type="dxa"/>
            <w:vAlign w:val="bottom"/>
            <w:tcBorders>
              <w:left w:val="single" w:sz="8" w:color="auto"/>
            </w:tcBorders>
            <w:gridSpan w:val="3"/>
            <w:vMerge w:val="continue"/>
          </w:tcPr>
          <w:p>
            <w:pPr>
              <w:spacing w:after="0"/>
              <w:rPr>
                <w:sz w:val="4"/>
                <w:szCs w:val="4"/>
                <w:color w:val="auto"/>
              </w:rPr>
            </w:pPr>
          </w:p>
        </w:tc>
        <w:tc>
          <w:tcPr>
            <w:tcW w:w="180" w:type="dxa"/>
            <w:vAlign w:val="bottom"/>
            <w:tcBorders>
              <w:right w:val="single" w:sz="8" w:color="auto"/>
            </w:tcBorders>
          </w:tcPr>
          <w:p>
            <w:pPr>
              <w:spacing w:after="0"/>
              <w:rPr>
                <w:sz w:val="4"/>
                <w:szCs w:val="4"/>
                <w:color w:val="auto"/>
              </w:rPr>
            </w:pPr>
          </w:p>
        </w:tc>
        <w:tc>
          <w:tcPr>
            <w:tcW w:w="420" w:type="dxa"/>
            <w:vAlign w:val="bottom"/>
            <w:tcBorders>
              <w:right w:val="single" w:sz="8" w:color="auto"/>
            </w:tcBorders>
          </w:tcPr>
          <w:p>
            <w:pPr>
              <w:spacing w:after="0"/>
              <w:rPr>
                <w:sz w:val="4"/>
                <w:szCs w:val="4"/>
                <w:color w:val="auto"/>
              </w:rPr>
            </w:pPr>
          </w:p>
        </w:tc>
        <w:tc>
          <w:tcPr>
            <w:tcW w:w="6060" w:type="dxa"/>
            <w:vAlign w:val="bottom"/>
          </w:tcPr>
          <w:p>
            <w:pPr>
              <w:spacing w:after="0"/>
              <w:rPr>
                <w:sz w:val="4"/>
                <w:szCs w:val="4"/>
                <w:color w:val="auto"/>
              </w:rPr>
            </w:pPr>
          </w:p>
        </w:tc>
        <w:tc>
          <w:tcPr>
            <w:tcW w:w="284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PERSON</w:t>
            </w:r>
          </w:p>
        </w:tc>
        <w:tc>
          <w:tcPr>
            <w:tcW w:w="18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0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185,919</w:t>
            </w:r>
          </w:p>
        </w:tc>
        <w:tc>
          <w:tcPr>
            <w:tcW w:w="28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60" w:type="dxa"/>
            <w:vAlign w:val="bottom"/>
            <w:tcBorders>
              <w:lef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ind w:left="140"/>
              <w:spacing w:after="0" w:line="164" w:lineRule="exact"/>
              <w:rPr>
                <w:sz w:val="20"/>
                <w:szCs w:val="20"/>
                <w:color w:val="auto"/>
              </w:rPr>
            </w:pPr>
            <w:r>
              <w:rPr>
                <w:rFonts w:ascii="Times New Roman" w:cs="Times New Roman" w:eastAsia="Times New Roman" w:hAnsi="Times New Roman"/>
                <w:sz w:val="18"/>
                <w:szCs w:val="18"/>
                <w:b w:val="1"/>
                <w:bCs w:val="1"/>
                <w:color w:val="auto"/>
              </w:rPr>
              <w:t>WITH</w:t>
            </w:r>
          </w:p>
        </w:tc>
        <w:tc>
          <w:tcPr>
            <w:tcW w:w="180" w:type="dxa"/>
            <w:vAlign w:val="bottom"/>
            <w:tcBorders>
              <w:right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spacing w:after="0"/>
              <w:rPr>
                <w:sz w:val="16"/>
                <w:szCs w:val="16"/>
                <w:color w:val="auto"/>
              </w:rPr>
            </w:pPr>
          </w:p>
        </w:tc>
        <w:tc>
          <w:tcPr>
            <w:tcW w:w="6060" w:type="dxa"/>
            <w:vAlign w:val="bottom"/>
            <w:tcBorders>
              <w:bottom w:val="single" w:sz="8" w:color="auto"/>
            </w:tcBorders>
            <w:vMerge w:val="continue"/>
          </w:tcPr>
          <w:p>
            <w:pPr>
              <w:spacing w:after="0"/>
              <w:rPr>
                <w:sz w:val="16"/>
                <w:szCs w:val="16"/>
                <w:color w:val="auto"/>
              </w:rPr>
            </w:pPr>
          </w:p>
        </w:tc>
        <w:tc>
          <w:tcPr>
            <w:tcW w:w="2840" w:type="dxa"/>
            <w:vAlign w:val="bottom"/>
            <w:tcBorders>
              <w:bottom w:val="single" w:sz="8" w:color="auto"/>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10</w:t>
            </w:r>
          </w:p>
        </w:tc>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8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60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6,247,139</w:t>
            </w:r>
          </w:p>
        </w:tc>
        <w:tc>
          <w:tcPr>
            <w:tcW w:w="28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60" w:type="dxa"/>
            <w:vAlign w:val="bottom"/>
            <w:tcBorders>
              <w:left w:val="single" w:sz="8" w:color="auto"/>
              <w:right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w:t>
            </w:r>
          </w:p>
        </w:tc>
        <w:tc>
          <w:tcPr>
            <w:tcW w:w="15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9"/>
              </w:rPr>
              <w:t>Aggregate Amount</w:t>
            </w:r>
          </w:p>
        </w:tc>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Beneficially Owned by Each Reporting Person</w:t>
            </w:r>
          </w:p>
        </w:tc>
        <w:tc>
          <w:tcPr>
            <w:tcW w:w="28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6,433,058</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60" w:type="dxa"/>
            <w:vAlign w:val="bottom"/>
            <w:tcBorders>
              <w:bottom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Borders>
              <w:right w:val="single" w:sz="8" w:color="auto"/>
            </w:tcBorders>
          </w:tcPr>
          <w:p>
            <w:pPr>
              <w:spacing w:after="0"/>
              <w:rPr>
                <w:sz w:val="20"/>
                <w:szCs w:val="20"/>
                <w:color w:val="auto"/>
              </w:rPr>
            </w:pPr>
          </w:p>
        </w:tc>
        <w:tc>
          <w:tcPr>
            <w:tcW w:w="76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tc>
        <w:tc>
          <w:tcPr>
            <w:tcW w:w="28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60" w:type="dxa"/>
            <w:vAlign w:val="bottom"/>
            <w:tcBorders>
              <w:bottom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Borders>
              <w:right w:val="single" w:sz="8" w:color="auto"/>
            </w:tcBorders>
          </w:tcPr>
          <w:p>
            <w:pPr>
              <w:spacing w:after="0"/>
              <w:rPr>
                <w:sz w:val="20"/>
                <w:szCs w:val="20"/>
                <w:color w:val="auto"/>
              </w:rPr>
            </w:pPr>
          </w:p>
        </w:tc>
        <w:tc>
          <w:tcPr>
            <w:tcW w:w="76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28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42.2%</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60" w:type="dxa"/>
            <w:vAlign w:val="bottom"/>
            <w:tcBorders>
              <w:bottom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Borders>
              <w:right w:val="single" w:sz="8" w:color="auto"/>
            </w:tcBorders>
          </w:tcPr>
          <w:p>
            <w:pPr>
              <w:spacing w:after="0"/>
              <w:rPr>
                <w:sz w:val="20"/>
                <w:szCs w:val="20"/>
                <w:color w:val="auto"/>
              </w:rPr>
            </w:pPr>
          </w:p>
        </w:tc>
        <w:tc>
          <w:tcPr>
            <w:tcW w:w="762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8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IN</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60" w:type="dxa"/>
            <w:vAlign w:val="bottom"/>
            <w:tcBorders>
              <w:bottom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 w:name="page4"/>
    <w:bookmarkEnd w:id="3"/>
    <w:tbl>
      <w:tblPr>
        <w:tblLayout w:type="fixed"/>
        <w:tblInd w:w="10" w:type="dxa"/>
        <w:tblCellMar>
          <w:top w:w="0" w:type="dxa"/>
          <w:left w:w="0" w:type="dxa"/>
          <w:bottom w:w="0" w:type="dxa"/>
          <w:right w:w="0" w:type="dxa"/>
        </w:tblCellMar>
      </w:tblPr>
      <w:tr>
        <w:trPr>
          <w:trHeight w:val="238"/>
        </w:trPr>
        <w:tc>
          <w:tcPr>
            <w:tcW w:w="2020" w:type="dxa"/>
            <w:vAlign w:val="bottom"/>
            <w:gridSpan w:val="5"/>
          </w:tcPr>
          <w:p>
            <w:pPr>
              <w:jc w:val="center"/>
              <w:ind w:right="170"/>
              <w:spacing w:after="0"/>
              <w:rPr>
                <w:sz w:val="20"/>
                <w:szCs w:val="20"/>
                <w:color w:val="auto"/>
              </w:rPr>
            </w:pPr>
            <w:r>
              <w:rPr>
                <w:rFonts w:ascii="Times New Roman" w:cs="Times New Roman" w:eastAsia="Times New Roman" w:hAnsi="Times New Roman"/>
                <w:sz w:val="18"/>
                <w:szCs w:val="18"/>
                <w:color w:val="auto"/>
              </w:rPr>
              <w:t>CUSIP No. 38046W105</w:t>
            </w:r>
          </w:p>
        </w:tc>
        <w:tc>
          <w:tcPr>
            <w:tcW w:w="6060" w:type="dxa"/>
            <w:vAlign w:val="bottom"/>
          </w:tcPr>
          <w:p>
            <w:pPr>
              <w:ind w:left="3560"/>
              <w:spacing w:after="0"/>
              <w:rPr>
                <w:sz w:val="20"/>
                <w:szCs w:val="20"/>
                <w:color w:val="auto"/>
              </w:rPr>
            </w:pPr>
            <w:r>
              <w:rPr>
                <w:rFonts w:ascii="Times New Roman" w:cs="Times New Roman" w:eastAsia="Times New Roman" w:hAnsi="Times New Roman"/>
                <w:sz w:val="18"/>
                <w:szCs w:val="18"/>
                <w:b w:val="1"/>
                <w:bCs w:val="1"/>
                <w:color w:val="auto"/>
              </w:rPr>
              <w:t>13D</w:t>
            </w:r>
          </w:p>
        </w:tc>
        <w:tc>
          <w:tcPr>
            <w:tcW w:w="294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w w:val="98"/>
              </w:rPr>
              <w:t>Page 3 of 11 pages</w:t>
            </w:r>
          </w:p>
        </w:tc>
        <w:tc>
          <w:tcPr>
            <w:tcW w:w="0" w:type="dxa"/>
            <w:vAlign w:val="bottom"/>
          </w:tcPr>
          <w:p>
            <w:pPr>
              <w:spacing w:after="0"/>
              <w:rPr>
                <w:sz w:val="1"/>
                <w:szCs w:val="1"/>
                <w:color w:val="auto"/>
              </w:rPr>
            </w:pPr>
          </w:p>
        </w:tc>
      </w:tr>
      <w:tr>
        <w:trPr>
          <w:trHeight w:val="148"/>
        </w:trPr>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060" w:type="dxa"/>
            <w:vAlign w:val="bottom"/>
            <w:tcBorders>
              <w:bottom w:val="single" w:sz="8" w:color="auto"/>
            </w:tcBorders>
          </w:tcPr>
          <w:p>
            <w:pPr>
              <w:spacing w:after="0"/>
              <w:rPr>
                <w:sz w:val="12"/>
                <w:szCs w:val="12"/>
                <w:color w:val="auto"/>
              </w:rPr>
            </w:pPr>
          </w:p>
        </w:tc>
        <w:tc>
          <w:tcPr>
            <w:tcW w:w="28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right w:val="single" w:sz="8" w:color="auto"/>
            </w:tcBorders>
          </w:tcPr>
          <w:p>
            <w:pPr>
              <w:spacing w:after="0"/>
              <w:rPr>
                <w:sz w:val="20"/>
                <w:szCs w:val="20"/>
                <w:color w:val="auto"/>
              </w:rPr>
            </w:pPr>
          </w:p>
        </w:tc>
        <w:tc>
          <w:tcPr>
            <w:tcW w:w="76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8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Clinton P. Jones</w:t>
            </w:r>
          </w:p>
        </w:tc>
        <w:tc>
          <w:tcPr>
            <w:tcW w:w="6060" w:type="dxa"/>
            <w:vAlign w:val="bottom"/>
            <w:tcBorders>
              <w:bottom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right w:val="single" w:sz="8" w:color="auto"/>
            </w:tcBorders>
          </w:tcPr>
          <w:p>
            <w:pPr>
              <w:spacing w:after="0"/>
              <w:rPr>
                <w:sz w:val="14"/>
                <w:szCs w:val="14"/>
                <w:color w:val="auto"/>
              </w:rPr>
            </w:pPr>
          </w:p>
        </w:tc>
        <w:tc>
          <w:tcPr>
            <w:tcW w:w="7620" w:type="dxa"/>
            <w:vAlign w:val="bottom"/>
            <w:gridSpan w:val="4"/>
          </w:tcPr>
          <w:p>
            <w:pPr>
              <w:ind w:left="16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28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6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600" w:type="dxa"/>
            <w:vAlign w:val="bottom"/>
            <w:gridSpan w:val="2"/>
          </w:tcPr>
          <w:p>
            <w:pPr>
              <w:jc w:val="right"/>
              <w:ind w:right="5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6060" w:type="dxa"/>
            <w:vAlign w:val="bottom"/>
          </w:tcPr>
          <w:p>
            <w:pPr>
              <w:spacing w:after="0"/>
              <w:rPr>
                <w:sz w:val="24"/>
                <w:szCs w:val="24"/>
                <w:color w:val="auto"/>
              </w:rPr>
            </w:pPr>
          </w:p>
        </w:tc>
        <w:tc>
          <w:tcPr>
            <w:tcW w:w="28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060" w:type="dxa"/>
            <w:vAlign w:val="bottom"/>
            <w:tcBorders>
              <w:bottom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Borders>
              <w:right w:val="single" w:sz="8" w:color="auto"/>
            </w:tcBorders>
          </w:tcPr>
          <w:p>
            <w:pPr>
              <w:spacing w:after="0"/>
              <w:rPr>
                <w:sz w:val="20"/>
                <w:szCs w:val="20"/>
                <w:color w:val="auto"/>
              </w:rPr>
            </w:pPr>
          </w:p>
        </w:tc>
        <w:tc>
          <w:tcPr>
            <w:tcW w:w="1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SEC Use Only</w:t>
            </w:r>
          </w:p>
        </w:tc>
        <w:tc>
          <w:tcPr>
            <w:tcW w:w="6060" w:type="dxa"/>
            <w:vAlign w:val="bottom"/>
          </w:tcPr>
          <w:p>
            <w:pPr>
              <w:spacing w:after="0"/>
              <w:rPr>
                <w:sz w:val="20"/>
                <w:szCs w:val="20"/>
                <w:color w:val="auto"/>
              </w:rPr>
            </w:pPr>
          </w:p>
        </w:tc>
        <w:tc>
          <w:tcPr>
            <w:tcW w:w="28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6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060" w:type="dxa"/>
            <w:vAlign w:val="bottom"/>
            <w:tcBorders>
              <w:bottom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Borders>
              <w:right w:val="single" w:sz="8" w:color="auto"/>
            </w:tcBorders>
          </w:tcPr>
          <w:p>
            <w:pPr>
              <w:spacing w:after="0"/>
              <w:rPr>
                <w:sz w:val="20"/>
                <w:szCs w:val="20"/>
                <w:color w:val="auto"/>
              </w:rPr>
            </w:pPr>
          </w:p>
        </w:tc>
        <w:tc>
          <w:tcPr>
            <w:tcW w:w="76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28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OO</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60" w:type="dxa"/>
            <w:vAlign w:val="bottom"/>
            <w:tcBorders>
              <w:bottom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Borders>
              <w:right w:val="single" w:sz="8" w:color="auto"/>
            </w:tcBorders>
          </w:tcPr>
          <w:p>
            <w:pPr>
              <w:spacing w:after="0"/>
              <w:rPr>
                <w:sz w:val="20"/>
                <w:szCs w:val="20"/>
                <w:color w:val="auto"/>
              </w:rPr>
            </w:pPr>
          </w:p>
        </w:tc>
        <w:tc>
          <w:tcPr>
            <w:tcW w:w="76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28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60" w:type="dxa"/>
            <w:vAlign w:val="bottom"/>
            <w:tcBorders>
              <w:bottom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Borders>
              <w:right w:val="single" w:sz="8" w:color="auto"/>
            </w:tcBorders>
          </w:tcPr>
          <w:p>
            <w:pPr>
              <w:spacing w:after="0"/>
              <w:rPr>
                <w:sz w:val="20"/>
                <w:szCs w:val="20"/>
                <w:color w:val="auto"/>
              </w:rPr>
            </w:pPr>
          </w:p>
        </w:tc>
        <w:tc>
          <w:tcPr>
            <w:tcW w:w="76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8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6060" w:type="dxa"/>
            <w:vAlign w:val="bottom"/>
            <w:tcBorders>
              <w:bottom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w:t>
            </w:r>
          </w:p>
        </w:tc>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28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1420" w:type="dxa"/>
            <w:vAlign w:val="bottom"/>
            <w:tcBorders>
              <w:left w:val="single" w:sz="8" w:color="auto"/>
            </w:tcBorders>
            <w:gridSpan w:val="3"/>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80" w:type="dxa"/>
            <w:vAlign w:val="bottom"/>
            <w:tcBorders>
              <w:right w:val="single" w:sz="8" w:color="auto"/>
            </w:tcBorders>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185,919</w:t>
            </w:r>
          </w:p>
        </w:tc>
        <w:tc>
          <w:tcPr>
            <w:tcW w:w="28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80" w:type="dxa"/>
            <w:vAlign w:val="bottom"/>
            <w:tcBorders>
              <w:right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6060" w:type="dxa"/>
            <w:vAlign w:val="bottom"/>
            <w:tcBorders>
              <w:bottom w:val="single" w:sz="8" w:color="auto"/>
            </w:tcBorders>
          </w:tcPr>
          <w:p>
            <w:pPr>
              <w:spacing w:after="0"/>
              <w:rPr>
                <w:sz w:val="5"/>
                <w:szCs w:val="5"/>
                <w:color w:val="auto"/>
              </w:rPr>
            </w:pPr>
          </w:p>
        </w:tc>
        <w:tc>
          <w:tcPr>
            <w:tcW w:w="284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36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420" w:type="dxa"/>
            <w:vAlign w:val="bottom"/>
            <w:tcBorders>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w:t>
            </w:r>
          </w:p>
        </w:tc>
        <w:tc>
          <w:tcPr>
            <w:tcW w:w="60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28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1600" w:type="dxa"/>
            <w:vAlign w:val="bottom"/>
            <w:tcBorders>
              <w:left w:val="single" w:sz="8" w:color="auto"/>
              <w:right w:val="single" w:sz="8" w:color="auto"/>
            </w:tcBorders>
            <w:gridSpan w:val="4"/>
            <w:vMerge w:val="restart"/>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420" w:type="dxa"/>
            <w:vAlign w:val="bottom"/>
            <w:tcBorders>
              <w:right w:val="single" w:sz="8" w:color="auto"/>
            </w:tcBorders>
            <w:vMerge w:val="continue"/>
          </w:tcPr>
          <w:p>
            <w:pPr>
              <w:spacing w:after="0"/>
              <w:rPr>
                <w:sz w:val="9"/>
                <w:szCs w:val="9"/>
                <w:color w:val="auto"/>
              </w:rPr>
            </w:pPr>
          </w:p>
        </w:tc>
        <w:tc>
          <w:tcPr>
            <w:tcW w:w="6060" w:type="dxa"/>
            <w:vAlign w:val="bottom"/>
            <w:vMerge w:val="continue"/>
          </w:tcPr>
          <w:p>
            <w:pPr>
              <w:spacing w:after="0"/>
              <w:rPr>
                <w:sz w:val="9"/>
                <w:szCs w:val="9"/>
                <w:color w:val="auto"/>
              </w:rPr>
            </w:pPr>
          </w:p>
        </w:tc>
        <w:tc>
          <w:tcPr>
            <w:tcW w:w="284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00" w:type="dxa"/>
            <w:vAlign w:val="bottom"/>
            <w:tcBorders>
              <w:left w:val="single" w:sz="8" w:color="auto"/>
              <w:right w:val="single" w:sz="8" w:color="auto"/>
            </w:tcBorders>
            <w:gridSpan w:val="4"/>
            <w:vMerge w:val="continue"/>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6060" w:type="dxa"/>
            <w:vAlign w:val="bottom"/>
          </w:tcPr>
          <w:p>
            <w:pPr>
              <w:spacing w:after="0"/>
              <w:rPr>
                <w:sz w:val="9"/>
                <w:szCs w:val="9"/>
                <w:color w:val="auto"/>
              </w:rPr>
            </w:pPr>
          </w:p>
        </w:tc>
        <w:tc>
          <w:tcPr>
            <w:tcW w:w="284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18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0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6,247,139</w:t>
            </w:r>
          </w:p>
        </w:tc>
        <w:tc>
          <w:tcPr>
            <w:tcW w:w="28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36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EACH</w:t>
            </w:r>
          </w:p>
        </w:tc>
        <w:tc>
          <w:tcPr>
            <w:tcW w:w="180" w:type="dxa"/>
            <w:vAlign w:val="bottom"/>
            <w:tcBorders>
              <w:right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6060" w:type="dxa"/>
            <w:vAlign w:val="bottom"/>
            <w:tcBorders>
              <w:bottom w:val="single" w:sz="8" w:color="auto"/>
            </w:tcBorders>
            <w:vMerge w:val="continue"/>
          </w:tcPr>
          <w:p>
            <w:pPr>
              <w:spacing w:after="0"/>
              <w:rPr>
                <w:sz w:val="10"/>
                <w:szCs w:val="10"/>
                <w:color w:val="auto"/>
              </w:rPr>
            </w:pPr>
          </w:p>
        </w:tc>
        <w:tc>
          <w:tcPr>
            <w:tcW w:w="2840" w:type="dxa"/>
            <w:vAlign w:val="bottom"/>
            <w:tcBorders>
              <w:bottom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60" w:type="dxa"/>
            <w:vAlign w:val="bottom"/>
            <w:tcBorders>
              <w:lef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80" w:type="dxa"/>
            <w:vAlign w:val="bottom"/>
            <w:tcBorders>
              <w:right w:val="single" w:sz="8" w:color="auto"/>
            </w:tcBorders>
          </w:tcPr>
          <w:p>
            <w:pPr>
              <w:spacing w:after="0"/>
              <w:rPr>
                <w:sz w:val="6"/>
                <w:szCs w:val="6"/>
                <w:color w:val="auto"/>
              </w:rPr>
            </w:pPr>
          </w:p>
        </w:tc>
        <w:tc>
          <w:tcPr>
            <w:tcW w:w="420" w:type="dxa"/>
            <w:vAlign w:val="bottom"/>
            <w:tcBorders>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9</w:t>
            </w:r>
          </w:p>
        </w:tc>
        <w:tc>
          <w:tcPr>
            <w:tcW w:w="60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284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1420" w:type="dxa"/>
            <w:vAlign w:val="bottom"/>
            <w:tcBorders>
              <w:left w:val="single" w:sz="8" w:color="auto"/>
            </w:tcBorders>
            <w:gridSpan w:val="3"/>
            <w:vMerge w:val="restart"/>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180" w:type="dxa"/>
            <w:vAlign w:val="bottom"/>
            <w:tcBorders>
              <w:right w:val="single" w:sz="8" w:color="auto"/>
            </w:tcBorders>
          </w:tcPr>
          <w:p>
            <w:pPr>
              <w:spacing w:after="0"/>
              <w:rPr>
                <w:sz w:val="14"/>
                <w:szCs w:val="14"/>
                <w:color w:val="auto"/>
              </w:rPr>
            </w:pPr>
          </w:p>
        </w:tc>
        <w:tc>
          <w:tcPr>
            <w:tcW w:w="420" w:type="dxa"/>
            <w:vAlign w:val="bottom"/>
            <w:tcBorders>
              <w:right w:val="single" w:sz="8" w:color="auto"/>
            </w:tcBorders>
            <w:vMerge w:val="continue"/>
          </w:tcPr>
          <w:p>
            <w:pPr>
              <w:spacing w:after="0"/>
              <w:rPr>
                <w:sz w:val="14"/>
                <w:szCs w:val="14"/>
                <w:color w:val="auto"/>
              </w:rPr>
            </w:pPr>
          </w:p>
        </w:tc>
        <w:tc>
          <w:tcPr>
            <w:tcW w:w="6060" w:type="dxa"/>
            <w:vAlign w:val="bottom"/>
            <w:vMerge w:val="continue"/>
          </w:tcPr>
          <w:p>
            <w:pPr>
              <w:spacing w:after="0"/>
              <w:rPr>
                <w:sz w:val="14"/>
                <w:szCs w:val="14"/>
                <w:color w:val="auto"/>
              </w:rPr>
            </w:pPr>
          </w:p>
        </w:tc>
        <w:tc>
          <w:tcPr>
            <w:tcW w:w="28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1420" w:type="dxa"/>
            <w:vAlign w:val="bottom"/>
            <w:tcBorders>
              <w:left w:val="single" w:sz="8" w:color="auto"/>
            </w:tcBorders>
            <w:gridSpan w:val="3"/>
            <w:vMerge w:val="continue"/>
          </w:tcPr>
          <w:p>
            <w:pPr>
              <w:spacing w:after="0"/>
              <w:rPr>
                <w:sz w:val="4"/>
                <w:szCs w:val="4"/>
                <w:color w:val="auto"/>
              </w:rPr>
            </w:pPr>
          </w:p>
        </w:tc>
        <w:tc>
          <w:tcPr>
            <w:tcW w:w="180" w:type="dxa"/>
            <w:vAlign w:val="bottom"/>
            <w:tcBorders>
              <w:right w:val="single" w:sz="8" w:color="auto"/>
            </w:tcBorders>
          </w:tcPr>
          <w:p>
            <w:pPr>
              <w:spacing w:after="0"/>
              <w:rPr>
                <w:sz w:val="4"/>
                <w:szCs w:val="4"/>
                <w:color w:val="auto"/>
              </w:rPr>
            </w:pPr>
          </w:p>
        </w:tc>
        <w:tc>
          <w:tcPr>
            <w:tcW w:w="420" w:type="dxa"/>
            <w:vAlign w:val="bottom"/>
            <w:tcBorders>
              <w:right w:val="single" w:sz="8" w:color="auto"/>
            </w:tcBorders>
          </w:tcPr>
          <w:p>
            <w:pPr>
              <w:spacing w:after="0"/>
              <w:rPr>
                <w:sz w:val="4"/>
                <w:szCs w:val="4"/>
                <w:color w:val="auto"/>
              </w:rPr>
            </w:pPr>
          </w:p>
        </w:tc>
        <w:tc>
          <w:tcPr>
            <w:tcW w:w="6060" w:type="dxa"/>
            <w:vAlign w:val="bottom"/>
          </w:tcPr>
          <w:p>
            <w:pPr>
              <w:spacing w:after="0"/>
              <w:rPr>
                <w:sz w:val="4"/>
                <w:szCs w:val="4"/>
                <w:color w:val="auto"/>
              </w:rPr>
            </w:pPr>
          </w:p>
        </w:tc>
        <w:tc>
          <w:tcPr>
            <w:tcW w:w="284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PERSON</w:t>
            </w:r>
          </w:p>
        </w:tc>
        <w:tc>
          <w:tcPr>
            <w:tcW w:w="18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0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185,919</w:t>
            </w:r>
          </w:p>
        </w:tc>
        <w:tc>
          <w:tcPr>
            <w:tcW w:w="28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60" w:type="dxa"/>
            <w:vAlign w:val="bottom"/>
            <w:tcBorders>
              <w:lef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ind w:left="140"/>
              <w:spacing w:after="0" w:line="164" w:lineRule="exact"/>
              <w:rPr>
                <w:sz w:val="20"/>
                <w:szCs w:val="20"/>
                <w:color w:val="auto"/>
              </w:rPr>
            </w:pPr>
            <w:r>
              <w:rPr>
                <w:rFonts w:ascii="Times New Roman" w:cs="Times New Roman" w:eastAsia="Times New Roman" w:hAnsi="Times New Roman"/>
                <w:sz w:val="18"/>
                <w:szCs w:val="18"/>
                <w:b w:val="1"/>
                <w:bCs w:val="1"/>
                <w:color w:val="auto"/>
              </w:rPr>
              <w:t>WITH</w:t>
            </w:r>
          </w:p>
        </w:tc>
        <w:tc>
          <w:tcPr>
            <w:tcW w:w="180" w:type="dxa"/>
            <w:vAlign w:val="bottom"/>
            <w:tcBorders>
              <w:right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spacing w:after="0"/>
              <w:rPr>
                <w:sz w:val="16"/>
                <w:szCs w:val="16"/>
                <w:color w:val="auto"/>
              </w:rPr>
            </w:pPr>
          </w:p>
        </w:tc>
        <w:tc>
          <w:tcPr>
            <w:tcW w:w="6060" w:type="dxa"/>
            <w:vAlign w:val="bottom"/>
            <w:tcBorders>
              <w:bottom w:val="single" w:sz="8" w:color="auto"/>
            </w:tcBorders>
            <w:vMerge w:val="continue"/>
          </w:tcPr>
          <w:p>
            <w:pPr>
              <w:spacing w:after="0"/>
              <w:rPr>
                <w:sz w:val="16"/>
                <w:szCs w:val="16"/>
                <w:color w:val="auto"/>
              </w:rPr>
            </w:pPr>
          </w:p>
        </w:tc>
        <w:tc>
          <w:tcPr>
            <w:tcW w:w="2840" w:type="dxa"/>
            <w:vAlign w:val="bottom"/>
            <w:tcBorders>
              <w:bottom w:val="single" w:sz="8" w:color="auto"/>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10</w:t>
            </w:r>
          </w:p>
        </w:tc>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8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60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6,247,139</w:t>
            </w:r>
          </w:p>
        </w:tc>
        <w:tc>
          <w:tcPr>
            <w:tcW w:w="28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60" w:type="dxa"/>
            <w:vAlign w:val="bottom"/>
            <w:tcBorders>
              <w:left w:val="single" w:sz="8" w:color="auto"/>
              <w:right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w:t>
            </w:r>
          </w:p>
        </w:tc>
        <w:tc>
          <w:tcPr>
            <w:tcW w:w="15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9"/>
              </w:rPr>
              <w:t>Aggregate Amount</w:t>
            </w:r>
          </w:p>
        </w:tc>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Beneficially Owned by Each Reporting Person</w:t>
            </w:r>
          </w:p>
        </w:tc>
        <w:tc>
          <w:tcPr>
            <w:tcW w:w="28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6,433,058</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60" w:type="dxa"/>
            <w:vAlign w:val="bottom"/>
            <w:tcBorders>
              <w:bottom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Borders>
              <w:right w:val="single" w:sz="8" w:color="auto"/>
            </w:tcBorders>
          </w:tcPr>
          <w:p>
            <w:pPr>
              <w:spacing w:after="0"/>
              <w:rPr>
                <w:sz w:val="20"/>
                <w:szCs w:val="20"/>
                <w:color w:val="auto"/>
              </w:rPr>
            </w:pPr>
          </w:p>
        </w:tc>
        <w:tc>
          <w:tcPr>
            <w:tcW w:w="76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tc>
        <w:tc>
          <w:tcPr>
            <w:tcW w:w="28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60" w:type="dxa"/>
            <w:vAlign w:val="bottom"/>
            <w:tcBorders>
              <w:bottom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Borders>
              <w:right w:val="single" w:sz="8" w:color="auto"/>
            </w:tcBorders>
          </w:tcPr>
          <w:p>
            <w:pPr>
              <w:spacing w:after="0"/>
              <w:rPr>
                <w:sz w:val="20"/>
                <w:szCs w:val="20"/>
                <w:color w:val="auto"/>
              </w:rPr>
            </w:pPr>
          </w:p>
        </w:tc>
        <w:tc>
          <w:tcPr>
            <w:tcW w:w="76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28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42.2%</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60" w:type="dxa"/>
            <w:vAlign w:val="bottom"/>
            <w:tcBorders>
              <w:bottom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Borders>
              <w:right w:val="single" w:sz="8" w:color="auto"/>
            </w:tcBorders>
          </w:tcPr>
          <w:p>
            <w:pPr>
              <w:spacing w:after="0"/>
              <w:rPr>
                <w:sz w:val="20"/>
                <w:szCs w:val="20"/>
                <w:color w:val="auto"/>
              </w:rPr>
            </w:pPr>
          </w:p>
        </w:tc>
        <w:tc>
          <w:tcPr>
            <w:tcW w:w="762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8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IN</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60" w:type="dxa"/>
            <w:vAlign w:val="bottom"/>
            <w:tcBorders>
              <w:bottom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4" w:name="page5"/>
    <w:bookmarkEnd w:id="4"/>
    <w:tbl>
      <w:tblPr>
        <w:tblLayout w:type="fixed"/>
        <w:tblInd w:w="10" w:type="dxa"/>
        <w:tblCellMar>
          <w:top w:w="0" w:type="dxa"/>
          <w:left w:w="0" w:type="dxa"/>
          <w:bottom w:w="0" w:type="dxa"/>
          <w:right w:w="0" w:type="dxa"/>
        </w:tblCellMar>
      </w:tblPr>
      <w:tr>
        <w:trPr>
          <w:trHeight w:val="238"/>
        </w:trPr>
        <w:tc>
          <w:tcPr>
            <w:tcW w:w="2020" w:type="dxa"/>
            <w:vAlign w:val="bottom"/>
            <w:gridSpan w:val="5"/>
          </w:tcPr>
          <w:p>
            <w:pPr>
              <w:jc w:val="center"/>
              <w:ind w:right="170"/>
              <w:spacing w:after="0"/>
              <w:rPr>
                <w:sz w:val="20"/>
                <w:szCs w:val="20"/>
                <w:color w:val="auto"/>
              </w:rPr>
            </w:pPr>
            <w:r>
              <w:rPr>
                <w:rFonts w:ascii="Times New Roman" w:cs="Times New Roman" w:eastAsia="Times New Roman" w:hAnsi="Times New Roman"/>
                <w:sz w:val="18"/>
                <w:szCs w:val="18"/>
                <w:color w:val="auto"/>
              </w:rPr>
              <w:t>CUSIP No. 38046W105</w:t>
            </w:r>
          </w:p>
        </w:tc>
        <w:tc>
          <w:tcPr>
            <w:tcW w:w="6060" w:type="dxa"/>
            <w:vAlign w:val="bottom"/>
          </w:tcPr>
          <w:p>
            <w:pPr>
              <w:ind w:left="3560"/>
              <w:spacing w:after="0"/>
              <w:rPr>
                <w:sz w:val="20"/>
                <w:szCs w:val="20"/>
                <w:color w:val="auto"/>
              </w:rPr>
            </w:pPr>
            <w:r>
              <w:rPr>
                <w:rFonts w:ascii="Times New Roman" w:cs="Times New Roman" w:eastAsia="Times New Roman" w:hAnsi="Times New Roman"/>
                <w:sz w:val="18"/>
                <w:szCs w:val="18"/>
                <w:b w:val="1"/>
                <w:bCs w:val="1"/>
                <w:color w:val="auto"/>
              </w:rPr>
              <w:t>13D</w:t>
            </w:r>
          </w:p>
        </w:tc>
        <w:tc>
          <w:tcPr>
            <w:tcW w:w="294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w w:val="98"/>
              </w:rPr>
              <w:t>Page 4 of 11 pages</w:t>
            </w:r>
          </w:p>
        </w:tc>
        <w:tc>
          <w:tcPr>
            <w:tcW w:w="0" w:type="dxa"/>
            <w:vAlign w:val="bottom"/>
          </w:tcPr>
          <w:p>
            <w:pPr>
              <w:spacing w:after="0"/>
              <w:rPr>
                <w:sz w:val="1"/>
                <w:szCs w:val="1"/>
                <w:color w:val="auto"/>
              </w:rPr>
            </w:pPr>
          </w:p>
        </w:tc>
      </w:tr>
      <w:tr>
        <w:trPr>
          <w:trHeight w:val="148"/>
        </w:trPr>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060" w:type="dxa"/>
            <w:vAlign w:val="bottom"/>
            <w:tcBorders>
              <w:bottom w:val="single" w:sz="8" w:color="auto"/>
            </w:tcBorders>
          </w:tcPr>
          <w:p>
            <w:pPr>
              <w:spacing w:after="0"/>
              <w:rPr>
                <w:sz w:val="12"/>
                <w:szCs w:val="12"/>
                <w:color w:val="auto"/>
              </w:rPr>
            </w:pPr>
          </w:p>
        </w:tc>
        <w:tc>
          <w:tcPr>
            <w:tcW w:w="28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right w:val="single" w:sz="8" w:color="auto"/>
            </w:tcBorders>
          </w:tcPr>
          <w:p>
            <w:pPr>
              <w:spacing w:after="0"/>
              <w:rPr>
                <w:sz w:val="20"/>
                <w:szCs w:val="20"/>
                <w:color w:val="auto"/>
              </w:rPr>
            </w:pPr>
          </w:p>
        </w:tc>
        <w:tc>
          <w:tcPr>
            <w:tcW w:w="76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8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BCCJ, LLC</w:t>
            </w:r>
          </w:p>
        </w:tc>
        <w:tc>
          <w:tcPr>
            <w:tcW w:w="6060" w:type="dxa"/>
            <w:vAlign w:val="bottom"/>
            <w:tcBorders>
              <w:bottom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right w:val="single" w:sz="8" w:color="auto"/>
            </w:tcBorders>
          </w:tcPr>
          <w:p>
            <w:pPr>
              <w:spacing w:after="0"/>
              <w:rPr>
                <w:sz w:val="14"/>
                <w:szCs w:val="14"/>
                <w:color w:val="auto"/>
              </w:rPr>
            </w:pPr>
          </w:p>
        </w:tc>
        <w:tc>
          <w:tcPr>
            <w:tcW w:w="7620" w:type="dxa"/>
            <w:vAlign w:val="bottom"/>
            <w:gridSpan w:val="4"/>
          </w:tcPr>
          <w:p>
            <w:pPr>
              <w:ind w:left="16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28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6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600" w:type="dxa"/>
            <w:vAlign w:val="bottom"/>
            <w:gridSpan w:val="2"/>
          </w:tcPr>
          <w:p>
            <w:pPr>
              <w:jc w:val="right"/>
              <w:ind w:right="5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6060" w:type="dxa"/>
            <w:vAlign w:val="bottom"/>
          </w:tcPr>
          <w:p>
            <w:pPr>
              <w:spacing w:after="0"/>
              <w:rPr>
                <w:sz w:val="24"/>
                <w:szCs w:val="24"/>
                <w:color w:val="auto"/>
              </w:rPr>
            </w:pPr>
          </w:p>
        </w:tc>
        <w:tc>
          <w:tcPr>
            <w:tcW w:w="28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060" w:type="dxa"/>
            <w:vAlign w:val="bottom"/>
            <w:tcBorders>
              <w:bottom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Borders>
              <w:right w:val="single" w:sz="8" w:color="auto"/>
            </w:tcBorders>
          </w:tcPr>
          <w:p>
            <w:pPr>
              <w:spacing w:after="0"/>
              <w:rPr>
                <w:sz w:val="20"/>
                <w:szCs w:val="20"/>
                <w:color w:val="auto"/>
              </w:rPr>
            </w:pPr>
          </w:p>
        </w:tc>
        <w:tc>
          <w:tcPr>
            <w:tcW w:w="1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SEC Use Only</w:t>
            </w:r>
          </w:p>
        </w:tc>
        <w:tc>
          <w:tcPr>
            <w:tcW w:w="6060" w:type="dxa"/>
            <w:vAlign w:val="bottom"/>
          </w:tcPr>
          <w:p>
            <w:pPr>
              <w:spacing w:after="0"/>
              <w:rPr>
                <w:sz w:val="20"/>
                <w:szCs w:val="20"/>
                <w:color w:val="auto"/>
              </w:rPr>
            </w:pPr>
          </w:p>
        </w:tc>
        <w:tc>
          <w:tcPr>
            <w:tcW w:w="28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6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060" w:type="dxa"/>
            <w:vAlign w:val="bottom"/>
            <w:tcBorders>
              <w:bottom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Borders>
              <w:right w:val="single" w:sz="8" w:color="auto"/>
            </w:tcBorders>
          </w:tcPr>
          <w:p>
            <w:pPr>
              <w:spacing w:after="0"/>
              <w:rPr>
                <w:sz w:val="20"/>
                <w:szCs w:val="20"/>
                <w:color w:val="auto"/>
              </w:rPr>
            </w:pPr>
          </w:p>
        </w:tc>
        <w:tc>
          <w:tcPr>
            <w:tcW w:w="76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28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OO</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60" w:type="dxa"/>
            <w:vAlign w:val="bottom"/>
            <w:tcBorders>
              <w:bottom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Borders>
              <w:right w:val="single" w:sz="8" w:color="auto"/>
            </w:tcBorders>
          </w:tcPr>
          <w:p>
            <w:pPr>
              <w:spacing w:after="0"/>
              <w:rPr>
                <w:sz w:val="20"/>
                <w:szCs w:val="20"/>
                <w:color w:val="auto"/>
              </w:rPr>
            </w:pPr>
          </w:p>
        </w:tc>
        <w:tc>
          <w:tcPr>
            <w:tcW w:w="76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28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60" w:type="dxa"/>
            <w:vAlign w:val="bottom"/>
            <w:tcBorders>
              <w:bottom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Borders>
              <w:right w:val="single" w:sz="8" w:color="auto"/>
            </w:tcBorders>
          </w:tcPr>
          <w:p>
            <w:pPr>
              <w:spacing w:after="0"/>
              <w:rPr>
                <w:sz w:val="20"/>
                <w:szCs w:val="20"/>
                <w:color w:val="auto"/>
              </w:rPr>
            </w:pPr>
          </w:p>
        </w:tc>
        <w:tc>
          <w:tcPr>
            <w:tcW w:w="76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8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60" w:type="dxa"/>
            <w:vAlign w:val="bottom"/>
            <w:tcBorders>
              <w:bottom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w:t>
            </w:r>
          </w:p>
        </w:tc>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28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1420" w:type="dxa"/>
            <w:vAlign w:val="bottom"/>
            <w:tcBorders>
              <w:left w:val="single" w:sz="8" w:color="auto"/>
            </w:tcBorders>
            <w:gridSpan w:val="3"/>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80" w:type="dxa"/>
            <w:vAlign w:val="bottom"/>
            <w:tcBorders>
              <w:right w:val="single" w:sz="8" w:color="auto"/>
            </w:tcBorders>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0</w:t>
            </w:r>
          </w:p>
        </w:tc>
        <w:tc>
          <w:tcPr>
            <w:tcW w:w="28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80" w:type="dxa"/>
            <w:vAlign w:val="bottom"/>
            <w:tcBorders>
              <w:right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6060" w:type="dxa"/>
            <w:vAlign w:val="bottom"/>
            <w:tcBorders>
              <w:bottom w:val="single" w:sz="8" w:color="auto"/>
            </w:tcBorders>
          </w:tcPr>
          <w:p>
            <w:pPr>
              <w:spacing w:after="0"/>
              <w:rPr>
                <w:sz w:val="5"/>
                <w:szCs w:val="5"/>
                <w:color w:val="auto"/>
              </w:rPr>
            </w:pPr>
          </w:p>
        </w:tc>
        <w:tc>
          <w:tcPr>
            <w:tcW w:w="284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36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420" w:type="dxa"/>
            <w:vAlign w:val="bottom"/>
            <w:tcBorders>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w:t>
            </w:r>
          </w:p>
        </w:tc>
        <w:tc>
          <w:tcPr>
            <w:tcW w:w="60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28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1600" w:type="dxa"/>
            <w:vAlign w:val="bottom"/>
            <w:tcBorders>
              <w:left w:val="single" w:sz="8" w:color="auto"/>
              <w:right w:val="single" w:sz="8" w:color="auto"/>
            </w:tcBorders>
            <w:gridSpan w:val="4"/>
            <w:vMerge w:val="restart"/>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420" w:type="dxa"/>
            <w:vAlign w:val="bottom"/>
            <w:tcBorders>
              <w:right w:val="single" w:sz="8" w:color="auto"/>
            </w:tcBorders>
            <w:vMerge w:val="continue"/>
          </w:tcPr>
          <w:p>
            <w:pPr>
              <w:spacing w:after="0"/>
              <w:rPr>
                <w:sz w:val="9"/>
                <w:szCs w:val="9"/>
                <w:color w:val="auto"/>
              </w:rPr>
            </w:pPr>
          </w:p>
        </w:tc>
        <w:tc>
          <w:tcPr>
            <w:tcW w:w="6060" w:type="dxa"/>
            <w:vAlign w:val="bottom"/>
            <w:vMerge w:val="continue"/>
          </w:tcPr>
          <w:p>
            <w:pPr>
              <w:spacing w:after="0"/>
              <w:rPr>
                <w:sz w:val="9"/>
                <w:szCs w:val="9"/>
                <w:color w:val="auto"/>
              </w:rPr>
            </w:pPr>
          </w:p>
        </w:tc>
        <w:tc>
          <w:tcPr>
            <w:tcW w:w="284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00" w:type="dxa"/>
            <w:vAlign w:val="bottom"/>
            <w:tcBorders>
              <w:left w:val="single" w:sz="8" w:color="auto"/>
              <w:right w:val="single" w:sz="8" w:color="auto"/>
            </w:tcBorders>
            <w:gridSpan w:val="4"/>
            <w:vMerge w:val="continue"/>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6060" w:type="dxa"/>
            <w:vAlign w:val="bottom"/>
          </w:tcPr>
          <w:p>
            <w:pPr>
              <w:spacing w:after="0"/>
              <w:rPr>
                <w:sz w:val="9"/>
                <w:szCs w:val="9"/>
                <w:color w:val="auto"/>
              </w:rPr>
            </w:pPr>
          </w:p>
        </w:tc>
        <w:tc>
          <w:tcPr>
            <w:tcW w:w="284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18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0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14,787</w:t>
            </w:r>
          </w:p>
        </w:tc>
        <w:tc>
          <w:tcPr>
            <w:tcW w:w="28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36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EACH</w:t>
            </w:r>
          </w:p>
        </w:tc>
        <w:tc>
          <w:tcPr>
            <w:tcW w:w="180" w:type="dxa"/>
            <w:vAlign w:val="bottom"/>
            <w:tcBorders>
              <w:right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6060" w:type="dxa"/>
            <w:vAlign w:val="bottom"/>
            <w:tcBorders>
              <w:bottom w:val="single" w:sz="8" w:color="auto"/>
            </w:tcBorders>
            <w:vMerge w:val="continue"/>
          </w:tcPr>
          <w:p>
            <w:pPr>
              <w:spacing w:after="0"/>
              <w:rPr>
                <w:sz w:val="10"/>
                <w:szCs w:val="10"/>
                <w:color w:val="auto"/>
              </w:rPr>
            </w:pPr>
          </w:p>
        </w:tc>
        <w:tc>
          <w:tcPr>
            <w:tcW w:w="2840" w:type="dxa"/>
            <w:vAlign w:val="bottom"/>
            <w:tcBorders>
              <w:bottom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60" w:type="dxa"/>
            <w:vAlign w:val="bottom"/>
            <w:tcBorders>
              <w:lef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80" w:type="dxa"/>
            <w:vAlign w:val="bottom"/>
            <w:tcBorders>
              <w:right w:val="single" w:sz="8" w:color="auto"/>
            </w:tcBorders>
          </w:tcPr>
          <w:p>
            <w:pPr>
              <w:spacing w:after="0"/>
              <w:rPr>
                <w:sz w:val="6"/>
                <w:szCs w:val="6"/>
                <w:color w:val="auto"/>
              </w:rPr>
            </w:pPr>
          </w:p>
        </w:tc>
        <w:tc>
          <w:tcPr>
            <w:tcW w:w="420" w:type="dxa"/>
            <w:vAlign w:val="bottom"/>
            <w:tcBorders>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9</w:t>
            </w:r>
          </w:p>
        </w:tc>
        <w:tc>
          <w:tcPr>
            <w:tcW w:w="60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284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1420" w:type="dxa"/>
            <w:vAlign w:val="bottom"/>
            <w:tcBorders>
              <w:left w:val="single" w:sz="8" w:color="auto"/>
            </w:tcBorders>
            <w:gridSpan w:val="3"/>
            <w:vMerge w:val="restart"/>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180" w:type="dxa"/>
            <w:vAlign w:val="bottom"/>
            <w:tcBorders>
              <w:right w:val="single" w:sz="8" w:color="auto"/>
            </w:tcBorders>
          </w:tcPr>
          <w:p>
            <w:pPr>
              <w:spacing w:after="0"/>
              <w:rPr>
                <w:sz w:val="14"/>
                <w:szCs w:val="14"/>
                <w:color w:val="auto"/>
              </w:rPr>
            </w:pPr>
          </w:p>
        </w:tc>
        <w:tc>
          <w:tcPr>
            <w:tcW w:w="420" w:type="dxa"/>
            <w:vAlign w:val="bottom"/>
            <w:tcBorders>
              <w:right w:val="single" w:sz="8" w:color="auto"/>
            </w:tcBorders>
            <w:vMerge w:val="continue"/>
          </w:tcPr>
          <w:p>
            <w:pPr>
              <w:spacing w:after="0"/>
              <w:rPr>
                <w:sz w:val="14"/>
                <w:szCs w:val="14"/>
                <w:color w:val="auto"/>
              </w:rPr>
            </w:pPr>
          </w:p>
        </w:tc>
        <w:tc>
          <w:tcPr>
            <w:tcW w:w="6060" w:type="dxa"/>
            <w:vAlign w:val="bottom"/>
            <w:vMerge w:val="continue"/>
          </w:tcPr>
          <w:p>
            <w:pPr>
              <w:spacing w:after="0"/>
              <w:rPr>
                <w:sz w:val="14"/>
                <w:szCs w:val="14"/>
                <w:color w:val="auto"/>
              </w:rPr>
            </w:pPr>
          </w:p>
        </w:tc>
        <w:tc>
          <w:tcPr>
            <w:tcW w:w="28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1420" w:type="dxa"/>
            <w:vAlign w:val="bottom"/>
            <w:tcBorders>
              <w:left w:val="single" w:sz="8" w:color="auto"/>
            </w:tcBorders>
            <w:gridSpan w:val="3"/>
            <w:vMerge w:val="continue"/>
          </w:tcPr>
          <w:p>
            <w:pPr>
              <w:spacing w:after="0"/>
              <w:rPr>
                <w:sz w:val="4"/>
                <w:szCs w:val="4"/>
                <w:color w:val="auto"/>
              </w:rPr>
            </w:pPr>
          </w:p>
        </w:tc>
        <w:tc>
          <w:tcPr>
            <w:tcW w:w="180" w:type="dxa"/>
            <w:vAlign w:val="bottom"/>
            <w:tcBorders>
              <w:right w:val="single" w:sz="8" w:color="auto"/>
            </w:tcBorders>
          </w:tcPr>
          <w:p>
            <w:pPr>
              <w:spacing w:after="0"/>
              <w:rPr>
                <w:sz w:val="4"/>
                <w:szCs w:val="4"/>
                <w:color w:val="auto"/>
              </w:rPr>
            </w:pPr>
          </w:p>
        </w:tc>
        <w:tc>
          <w:tcPr>
            <w:tcW w:w="420" w:type="dxa"/>
            <w:vAlign w:val="bottom"/>
            <w:tcBorders>
              <w:right w:val="single" w:sz="8" w:color="auto"/>
            </w:tcBorders>
          </w:tcPr>
          <w:p>
            <w:pPr>
              <w:spacing w:after="0"/>
              <w:rPr>
                <w:sz w:val="4"/>
                <w:szCs w:val="4"/>
                <w:color w:val="auto"/>
              </w:rPr>
            </w:pPr>
          </w:p>
        </w:tc>
        <w:tc>
          <w:tcPr>
            <w:tcW w:w="6060" w:type="dxa"/>
            <w:vAlign w:val="bottom"/>
          </w:tcPr>
          <w:p>
            <w:pPr>
              <w:spacing w:after="0"/>
              <w:rPr>
                <w:sz w:val="4"/>
                <w:szCs w:val="4"/>
                <w:color w:val="auto"/>
              </w:rPr>
            </w:pPr>
          </w:p>
        </w:tc>
        <w:tc>
          <w:tcPr>
            <w:tcW w:w="284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PERSON</w:t>
            </w:r>
          </w:p>
        </w:tc>
        <w:tc>
          <w:tcPr>
            <w:tcW w:w="18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0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0</w:t>
            </w:r>
          </w:p>
        </w:tc>
        <w:tc>
          <w:tcPr>
            <w:tcW w:w="28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60" w:type="dxa"/>
            <w:vAlign w:val="bottom"/>
            <w:tcBorders>
              <w:lef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ind w:left="140"/>
              <w:spacing w:after="0" w:line="164" w:lineRule="exact"/>
              <w:rPr>
                <w:sz w:val="20"/>
                <w:szCs w:val="20"/>
                <w:color w:val="auto"/>
              </w:rPr>
            </w:pPr>
            <w:r>
              <w:rPr>
                <w:rFonts w:ascii="Times New Roman" w:cs="Times New Roman" w:eastAsia="Times New Roman" w:hAnsi="Times New Roman"/>
                <w:sz w:val="18"/>
                <w:szCs w:val="18"/>
                <w:b w:val="1"/>
                <w:bCs w:val="1"/>
                <w:color w:val="auto"/>
              </w:rPr>
              <w:t>WITH</w:t>
            </w:r>
          </w:p>
        </w:tc>
        <w:tc>
          <w:tcPr>
            <w:tcW w:w="180" w:type="dxa"/>
            <w:vAlign w:val="bottom"/>
            <w:tcBorders>
              <w:right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spacing w:after="0"/>
              <w:rPr>
                <w:sz w:val="16"/>
                <w:szCs w:val="16"/>
                <w:color w:val="auto"/>
              </w:rPr>
            </w:pPr>
          </w:p>
        </w:tc>
        <w:tc>
          <w:tcPr>
            <w:tcW w:w="6060" w:type="dxa"/>
            <w:vAlign w:val="bottom"/>
            <w:tcBorders>
              <w:bottom w:val="single" w:sz="8" w:color="auto"/>
            </w:tcBorders>
            <w:vMerge w:val="continue"/>
          </w:tcPr>
          <w:p>
            <w:pPr>
              <w:spacing w:after="0"/>
              <w:rPr>
                <w:sz w:val="16"/>
                <w:szCs w:val="16"/>
                <w:color w:val="auto"/>
              </w:rPr>
            </w:pPr>
          </w:p>
        </w:tc>
        <w:tc>
          <w:tcPr>
            <w:tcW w:w="2840" w:type="dxa"/>
            <w:vAlign w:val="bottom"/>
            <w:tcBorders>
              <w:bottom w:val="single" w:sz="8" w:color="auto"/>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10</w:t>
            </w:r>
          </w:p>
        </w:tc>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8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60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14,787</w:t>
            </w:r>
          </w:p>
        </w:tc>
        <w:tc>
          <w:tcPr>
            <w:tcW w:w="28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60" w:type="dxa"/>
            <w:vAlign w:val="bottom"/>
            <w:tcBorders>
              <w:left w:val="single" w:sz="8" w:color="auto"/>
              <w:right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w:t>
            </w:r>
          </w:p>
        </w:tc>
        <w:tc>
          <w:tcPr>
            <w:tcW w:w="15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9"/>
              </w:rPr>
              <w:t>Aggregate Amount</w:t>
            </w:r>
          </w:p>
        </w:tc>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Beneficially Owned by Each Reporting Person</w:t>
            </w:r>
          </w:p>
        </w:tc>
        <w:tc>
          <w:tcPr>
            <w:tcW w:w="28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14,787</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60" w:type="dxa"/>
            <w:vAlign w:val="bottom"/>
            <w:tcBorders>
              <w:bottom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Borders>
              <w:right w:val="single" w:sz="8" w:color="auto"/>
            </w:tcBorders>
          </w:tcPr>
          <w:p>
            <w:pPr>
              <w:spacing w:after="0"/>
              <w:rPr>
                <w:sz w:val="20"/>
                <w:szCs w:val="20"/>
                <w:color w:val="auto"/>
              </w:rPr>
            </w:pPr>
          </w:p>
        </w:tc>
        <w:tc>
          <w:tcPr>
            <w:tcW w:w="76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tc>
        <w:tc>
          <w:tcPr>
            <w:tcW w:w="28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60" w:type="dxa"/>
            <w:vAlign w:val="bottom"/>
            <w:tcBorders>
              <w:bottom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Borders>
              <w:right w:val="single" w:sz="8" w:color="auto"/>
            </w:tcBorders>
          </w:tcPr>
          <w:p>
            <w:pPr>
              <w:spacing w:after="0"/>
              <w:rPr>
                <w:sz w:val="20"/>
                <w:szCs w:val="20"/>
                <w:color w:val="auto"/>
              </w:rPr>
            </w:pPr>
          </w:p>
        </w:tc>
        <w:tc>
          <w:tcPr>
            <w:tcW w:w="76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28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0.2%</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60" w:type="dxa"/>
            <w:vAlign w:val="bottom"/>
            <w:tcBorders>
              <w:bottom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Borders>
              <w:right w:val="single" w:sz="8" w:color="auto"/>
            </w:tcBorders>
          </w:tcPr>
          <w:p>
            <w:pPr>
              <w:spacing w:after="0"/>
              <w:rPr>
                <w:sz w:val="20"/>
                <w:szCs w:val="20"/>
                <w:color w:val="auto"/>
              </w:rPr>
            </w:pPr>
          </w:p>
        </w:tc>
        <w:tc>
          <w:tcPr>
            <w:tcW w:w="762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8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62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OO (Limited Liability Company)</w:t>
            </w:r>
          </w:p>
        </w:tc>
        <w:tc>
          <w:tcPr>
            <w:tcW w:w="28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5" w:name="page6"/>
    <w:bookmarkEnd w:id="5"/>
    <w:p>
      <w:pPr>
        <w:spacing w:after="0"/>
        <w:tabs>
          <w:tab w:leader="none" w:pos="5560" w:val="left"/>
          <w:tab w:leader="none" w:pos="96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38046W105</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color w:val="auto"/>
        </w:rPr>
        <w:t>Page 5 of 11 pages</w:t>
      </w:r>
    </w:p>
    <w:p>
      <w:pPr>
        <w:spacing w:after="0" w:line="15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Security and Issuer.</w:t>
      </w:r>
    </w:p>
    <w:p>
      <w:pPr>
        <w:spacing w:after="0" w:line="121"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This statement on Schedule 13D (the “Schedule 13D”) relates to the shares of Class A Common Stock, par value $0.0001 per share (the “Class A Common Stock”), of GoHealth, Inc., a Delaware corporation (the “Issuer”), whose principal executive offices are located at 214 West Huron St., Chicago, IL 60654.</w:t>
      </w:r>
    </w:p>
    <w:p>
      <w:pPr>
        <w:spacing w:after="0" w:line="32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Identity and Background.</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Schedule 13D is being filed by the following persons (each a “Reporting Person” and collectively, the “Reporting Persons”):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NVX Holdings, Inc. (“NVX”);</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Brandon M. Cruz;</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Clinton P. Jones; and</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BCCJ, LLC (“BCCJ”).</w:t>
      </w:r>
    </w:p>
    <w:p>
      <w:pPr>
        <w:spacing w:after="0" w:line="207" w:lineRule="exact"/>
        <w:rPr>
          <w:sz w:val="20"/>
          <w:szCs w:val="20"/>
          <w:color w:val="auto"/>
        </w:rPr>
      </w:pPr>
    </w:p>
    <w:p>
      <w:pPr>
        <w:ind w:right="240" w:firstLine="440"/>
        <w:spacing w:after="0" w:line="258" w:lineRule="auto"/>
        <w:rPr>
          <w:sz w:val="20"/>
          <w:szCs w:val="20"/>
          <w:color w:val="auto"/>
        </w:rPr>
      </w:pPr>
      <w:r>
        <w:rPr>
          <w:rFonts w:ascii="Times New Roman" w:cs="Times New Roman" w:eastAsia="Times New Roman" w:hAnsi="Times New Roman"/>
          <w:sz w:val="18"/>
          <w:szCs w:val="18"/>
          <w:color w:val="auto"/>
        </w:rPr>
        <w:t>Each of Messrs. Cruz and Jones is a citizen of the United States. Each of the other Reporting Persons is organized under the laws of the State of Delaware. The principal business address of each of the Reporting Persons is 214 West Huron St., Chicago, IL 60654. The principal occupation of Mr. Cruz is Co-Founder and Non-Executive Co-Chair of the Board of Directors (the “Board”) of the Issuer. The principal occupation of Mr. Jones is Co-Founder and Executive Chair of the Board of the Issuer. The other Reporting Persons are principally engaged in the business of managing investments in securities, including securities of the Issuer.</w:t>
      </w:r>
    </w:p>
    <w:p>
      <w:pPr>
        <w:spacing w:after="0" w:line="183" w:lineRule="exact"/>
        <w:rPr>
          <w:sz w:val="20"/>
          <w:szCs w:val="20"/>
          <w:color w:val="auto"/>
        </w:rPr>
      </w:pPr>
    </w:p>
    <w:p>
      <w:pPr>
        <w:ind w:right="20" w:firstLine="440"/>
        <w:spacing w:after="0" w:line="281" w:lineRule="auto"/>
        <w:rPr>
          <w:sz w:val="20"/>
          <w:szCs w:val="20"/>
          <w:color w:val="auto"/>
        </w:rPr>
      </w:pPr>
      <w:r>
        <w:rPr>
          <w:rFonts w:ascii="Times New Roman" w:cs="Times New Roman" w:eastAsia="Times New Roman" w:hAnsi="Times New Roman"/>
          <w:sz w:val="17"/>
          <w:szCs w:val="17"/>
          <w:color w:val="auto"/>
        </w:rPr>
        <w:t>By virtue of the agreements made pursuant to the Stockholders Agreement (as defined below), the Reporting Persons and certain persons affiliated with Centerbridge Partners (“Centerbridge,” and collectively with the Reporting Persons, the “Stockholders”) may be deemed to be acting as a group for purposes of Rule 13d-3 under the Securities and Exchange Act of 1934, as amended (the “Exchange Act”). Shares beneficially owned by Centerbridge are not the subject of this Schedule 13D. For a description of the relationship between the Reporting Persons and Centerbridge, see Item 4 below.</w:t>
      </w:r>
    </w:p>
    <w:p>
      <w:pPr>
        <w:spacing w:after="0" w:line="164"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During the last five years, neither the Reporting Persons nor any Related Person (i) has been convicted in any criminal proceeding (excluding traffic violations or similar misdemeanors) or (ii) was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32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Source and Amount of Funds or Other Consideration.</w:t>
      </w:r>
    </w:p>
    <w:p>
      <w:pPr>
        <w:spacing w:after="0" w:line="121"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Prior to the Issuer’s initial public offering (“IPO”), the Reporting Persons acquired membership interests (“LLC Interests”) in GoHealth Holdings, LLC, a subsidiary of the Issuer, in a series of transactions. In connection with certain reorganization transactions consummated at and following pricing of the IPO, and as more fully described in the Issuer’s prospectus filed with the Securities and Exchange Commission (the “SEC”) on July 16, 2020, the Reporting Persons acquired an aggregate of 92,721,798 shares of the Issuer’s Class B common stock, $0.0001 par value per share (the “Class B Common Stock”), each of which votes on a 1-for-1 basis with the Class A Common Stock and which will be proportionately cancelled for no consideration in connection with any redemption of the LLC Interests held by the Reporting Persons.</w:t>
      </w:r>
    </w:p>
    <w:p>
      <w:pPr>
        <w:sectPr>
          <w:pgSz w:w="11900" w:h="16838" w:orient="portrait"/>
          <w:cols w:equalWidth="0" w:num="1">
            <w:col w:w="11020"/>
          </w:cols>
          <w:pgMar w:left="440" w:top="266" w:right="439" w:bottom="1440" w:gutter="0" w:footer="0" w:header="0"/>
        </w:sectPr>
      </w:pPr>
    </w:p>
    <w:bookmarkStart w:id="6" w:name="page7"/>
    <w:bookmarkEnd w:id="6"/>
    <w:p>
      <w:pPr>
        <w:spacing w:after="0"/>
        <w:tabs>
          <w:tab w:leader="none" w:pos="5560" w:val="left"/>
          <w:tab w:leader="none" w:pos="96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38046W105</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color w:val="auto"/>
        </w:rPr>
        <w:t>Page 6 of 11 pages</w:t>
      </w:r>
    </w:p>
    <w:p>
      <w:pPr>
        <w:spacing w:after="0" w:line="162" w:lineRule="exact"/>
        <w:rPr>
          <w:sz w:val="20"/>
          <w:szCs w:val="20"/>
          <w:color w:val="auto"/>
        </w:rPr>
      </w:pPr>
    </w:p>
    <w:p>
      <w:pPr>
        <w:ind w:right="400" w:firstLine="440"/>
        <w:spacing w:after="0" w:line="266" w:lineRule="auto"/>
        <w:rPr>
          <w:sz w:val="20"/>
          <w:szCs w:val="20"/>
          <w:color w:val="auto"/>
        </w:rPr>
      </w:pPr>
      <w:r>
        <w:rPr>
          <w:rFonts w:ascii="Times New Roman" w:cs="Times New Roman" w:eastAsia="Times New Roman" w:hAnsi="Times New Roman"/>
          <w:sz w:val="18"/>
          <w:szCs w:val="18"/>
          <w:color w:val="auto"/>
        </w:rPr>
        <w:t>On March 16, 2021, BCCJ purchased 178,000 shares of Class A Common Stock for aggregate consideration of approximately $2 million in a series of open-market transactions. From August 16, 2021 to November 11, 2021, NVX purchased 807,300 shares of Class A Common Stock for aggregate consideration of approximately $3.2 million in a series of open-market transactions.</w:t>
      </w:r>
    </w:p>
    <w:p>
      <w:pPr>
        <w:spacing w:after="0" w:line="176"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On November 17, 2022, after market close, the Issuer effected a 1-for-15 reverse stock split of its Class A Common Stock and Class B Common Stock (the “Stock Split”). The beneficial ownership amounts in this Schedule 13D are presented on a post-split basis.</w:t>
      </w:r>
    </w:p>
    <w:p>
      <w:pPr>
        <w:spacing w:after="0" w:line="162"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The Reporting Persons obtained the funds used to acquire their interests in the Issuer’s securities through capital contributions from their partners and members.</w:t>
      </w:r>
    </w:p>
    <w:p>
      <w:pPr>
        <w:spacing w:after="0" w:line="30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Purpose of Transaction.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Stockholders Agreement</w:t>
      </w:r>
    </w:p>
    <w:p>
      <w:pPr>
        <w:spacing w:after="0" w:line="119" w:lineRule="exact"/>
        <w:rPr>
          <w:sz w:val="20"/>
          <w:szCs w:val="20"/>
          <w:color w:val="auto"/>
        </w:rPr>
      </w:pPr>
    </w:p>
    <w:p>
      <w:pPr>
        <w:ind w:right="80" w:firstLine="440"/>
        <w:spacing w:after="0" w:line="272" w:lineRule="auto"/>
        <w:rPr>
          <w:sz w:val="20"/>
          <w:szCs w:val="20"/>
          <w:color w:val="auto"/>
        </w:rPr>
      </w:pPr>
      <w:r>
        <w:rPr>
          <w:rFonts w:ascii="Times New Roman" w:cs="Times New Roman" w:eastAsia="Times New Roman" w:hAnsi="Times New Roman"/>
          <w:sz w:val="17"/>
          <w:szCs w:val="17"/>
          <w:color w:val="auto"/>
        </w:rPr>
        <w:t>In connection with the IPO, the Issuer entered into a stockholders agreement, dated July 15, 2020 (the “Stockholders Agreement”), with the Stockholders. Pursuant to the Stockholders Agreement, each of the Stockholders has the right to nominate to the Issuer’s board of directors (the “Board”) (i) two directors, if the respective Stockholder continues to beneficially own at least 10% of the aggregate number of shares of the outstanding Class A Common Stock, or (ii) one director, if the respective Stockholder continues to beneficially own less than 10% but at least 5% of the aggregate number of shares of the outstanding Class A Common Stock. Each of the Stockholders has the right to nominate to the Board an additional (i) two independent directors (within the meaning of the NASDAQ Listing Rules), if the respective Stockholder continues to beneficially own at least 20% of the aggregate number of shares of the outstanding Class A Common Stock, or (ii) one independent director, if the respective Stockholder continues to beneficially own less than 20% but at least 15% of the aggregate number of shares of the outstanding Class A Common Stock.</w:t>
      </w:r>
    </w:p>
    <w:p>
      <w:pPr>
        <w:spacing w:after="0" w:line="172"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Additionally, pursuant to the Stockholders Agreement, each of the Stockholders will have the right to appoint one board observer so long as the respective Stockholder beneficially owns, directly or indirectly, at least 5% of the outstanding Class A Common Stock.</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119"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IPO, the Issuer entered into a registration rights agreement, dated July 15, 2020 (the “Registration Rights Agreement”), with certain of the Reporting Persons and the other parties thereto, pursuant to which the Issuer granted shelf registration rights, piggyback registration rights and demand registration rights to the Reporting Persons, for the resale under the Securities Act of 1933, as amended, of the Class A Common Stock held by them, directly or indirectly, as a result of the IPO, subject to certain conditions set forth therein.</w:t>
      </w:r>
    </w:p>
    <w:p>
      <w:pPr>
        <w:sectPr>
          <w:pgSz w:w="11900" w:h="16838" w:orient="portrait"/>
          <w:cols w:equalWidth="0" w:num="1">
            <w:col w:w="11020"/>
          </w:cols>
          <w:pgMar w:left="440" w:top="266" w:right="439" w:bottom="1440" w:gutter="0" w:footer="0" w:header="0"/>
        </w:sectPr>
      </w:pPr>
    </w:p>
    <w:bookmarkStart w:id="7" w:name="page8"/>
    <w:bookmarkEnd w:id="7"/>
    <w:p>
      <w:pPr>
        <w:spacing w:after="0"/>
        <w:tabs>
          <w:tab w:leader="none" w:pos="5560" w:val="left"/>
          <w:tab w:leader="none" w:pos="96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38046W105</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color w:val="auto"/>
        </w:rPr>
        <w:t>Page 7 of 11 pages</w:t>
      </w:r>
    </w:p>
    <w:p>
      <w:pPr>
        <w:spacing w:after="0" w:line="162"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Stockholders Agreement and the Registration Rights Agreement do not purport to be complete and are qualified in their entirety by reference to the full text of such agreements, which are attached as exhibits to this Schedule 13D and are incorporated herein by reference.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Promissory Note</w:t>
      </w:r>
    </w:p>
    <w:p>
      <w:pPr>
        <w:spacing w:after="0" w:line="119"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the IPO, certain Centerbridge Partners affiliates entered into a contingent promissory note (the “Note”), dated July 15, 2020, with certain of the Issuer’s other securityholders, including NVX, BCCJ and Blizzard Management Feeder, LLC (collectively, the “Payees”), pursuant to which such Centerbridge Partners affiliates have agreed to pay the Payees up to approximately $71.3 million in the event such Centerbridge Partners affiliates’ Realized Cash Proceeds (as defined in the Note) exceed certain dollar thresholds. Specifically, if such Centerbridge Partners affiliates’ Realized Cash Proceeds on their equity holdings as of the time of the IPO (whether from dividends, distributions, or sales) exceeds approximately $1.35 billion, the Payees shall be entitled to receive a cash payment in the amount of such excess, up to approximately $35.6 million. The remaining amount due under the Note shall be paid in the event the Realized Cash Proceeds exceed $1.62 billion (in the amount of such excess, up to the remaining amount due). The Note will automatically terminate upon the earlier to occur of (a) its full payment and (b) 30 days following the date on which such Centerbridge Partners affiliates no longer hold any of the equity securities of the Issuer held at the effective date of the Note.</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19"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The Reporting Persons acquired the securities described in this Schedule 13D for investment purposes and intend to review their investments in the Issuer on a continuing basis. Any actions the Reporting Persons might undertake may be made at any time and from time to time without prior notice and will be dependent upon the Reporting Persons’ review of numerous factors, including, but not limited to: an ongoing evaluation of the Issuer’s business, financial condition, operations and prospects; price levels of the Issuer’s securities; general market, industry and economic conditions; the relative attractiveness of alternative business and investment opportunities; and other future developments.</w:t>
      </w:r>
    </w:p>
    <w:p>
      <w:pPr>
        <w:spacing w:after="0" w:line="183"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The Reporting Persons may acquire additional securities of the Issuer, or retain or sell all or a portion of the securities then held, in the open market or in privately negotiated transactions. In addition, pursuant and in addition to the rights granted under the Stockholders Agreement, the Reporting Persons, including Messrs. Cruz and Jones in their respective positions at the Issuer, may engage in discussions with management, the Board, stockholders of the Issuer and other relevant parties or encourage, cause or seek to cause the Issuer or such persons to consider or explore extraordinary corporate transactions, such as: a merger, reorganization or take-private transaction that could result in the de-listing or de-registration of the Class A Common Stock; sales or acquisitions of assets or businesses; changes to the capitalization or dividend policy of the Issuer; or other material changes to the Issuer’s business or corporate structure, including changes in management or the composition of the Board. To facilitate their consideration of such matters, the Reporting Persons may retain consultants and advisors and may enter into</w:t>
      </w:r>
    </w:p>
    <w:p>
      <w:pPr>
        <w:sectPr>
          <w:pgSz w:w="11900" w:h="16838" w:orient="portrait"/>
          <w:cols w:equalWidth="0" w:num="1">
            <w:col w:w="11020"/>
          </w:cols>
          <w:pgMar w:left="440" w:top="266" w:right="439" w:bottom="1440" w:gutter="0" w:footer="0" w:header="0"/>
        </w:sectPr>
      </w:pPr>
    </w:p>
    <w:bookmarkStart w:id="8" w:name="page9"/>
    <w:bookmarkEnd w:id="8"/>
    <w:p>
      <w:pPr>
        <w:spacing w:after="0"/>
        <w:tabs>
          <w:tab w:leader="none" w:pos="5560" w:val="left"/>
          <w:tab w:leader="none" w:pos="96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38046W105</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color w:val="auto"/>
        </w:rPr>
        <w:t>Page 8 of 11 pages</w:t>
      </w:r>
    </w:p>
    <w:p>
      <w:pPr>
        <w:spacing w:after="0" w:line="16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discussions with potential sources of capital and other third parties. The Reporting Persons may exchange information with any such persons pursuant to appropriate confidentiality or similar agreements. The Reporting Persons will likely take some or all of the foregoing steps at preliminary stages in their consideration of various possible courses of action before forming any intention to pursue any particular plan or direction.</w:t>
      </w:r>
    </w:p>
    <w:p>
      <w:pPr>
        <w:spacing w:after="0" w:line="176"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Other than as described above, the Reporting Persons do not currently have any plans or proposals that relate to, or would result in, any of the matters listed in Items 4(a)–(j) of Schedule 13D, although, depending on the factors discussed herein, the Reporting Persons may change their purpose or formulate different plans or proposals with respect thereto at any time.</w:t>
      </w:r>
    </w:p>
    <w:p>
      <w:pPr>
        <w:sectPr>
          <w:pgSz w:w="11900" w:h="16838" w:orient="portrait"/>
          <w:cols w:equalWidth="0" w:num="1">
            <w:col w:w="11020"/>
          </w:cols>
          <w:pgMar w:left="440" w:top="266" w:right="439" w:bottom="1440" w:gutter="0" w:footer="0" w:header="0"/>
        </w:sectPr>
      </w:pPr>
    </w:p>
    <w:bookmarkStart w:id="9" w:name="page10"/>
    <w:bookmarkEnd w:id="9"/>
    <w:p>
      <w:pPr>
        <w:spacing w:after="0"/>
        <w:tabs>
          <w:tab w:leader="none" w:pos="5560" w:val="left"/>
          <w:tab w:leader="none" w:pos="96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38046W105</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color w:val="auto"/>
        </w:rPr>
        <w:t>Page 9 of 11 pages</w:t>
      </w:r>
    </w:p>
    <w:p>
      <w:pPr>
        <w:spacing w:after="0" w:line="15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 in Securities of the Issuer.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 (b)</w:t>
      </w:r>
    </w:p>
    <w:p>
      <w:pPr>
        <w:spacing w:after="0" w:line="117"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The following sets forth, as of the date of this Schedule 13D, the aggregate number of shares of Class A Common Stock and percentage of Class A Common Stock beneficially owned by each of the Reporting Persons, as well as the number of shares of Class A Common Stock as to which each Reporting Person has the sole power to vote or to direct the vote, shared power to vote or to direct the vote, sole power to dispose or to direct the disposition of, or shared power to dispose or to direct the disposition of, as of the date hereof, based on 8,890,469 shares of Class A Common Stock outstanding as of November 18, 2022 following the Stock Split, as provided by the Issuer:</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Sole power</w:t>
            </w: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Shared</w:t>
            </w: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Sole power</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Shared</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9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power to</w:t>
            </w:r>
          </w:p>
        </w:tc>
        <w:tc>
          <w:tcPr>
            <w:tcW w:w="8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to dispose</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power to</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7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8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to vote or</w:t>
            </w: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vote or to</w:t>
            </w:r>
          </w:p>
        </w:tc>
        <w:tc>
          <w:tcPr>
            <w:tcW w:w="8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or to direct</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dispose or to</w:t>
            </w:r>
          </w:p>
        </w:tc>
        <w:tc>
          <w:tcPr>
            <w:tcW w:w="0" w:type="dxa"/>
            <w:vAlign w:val="bottom"/>
          </w:tcPr>
          <w:p>
            <w:pPr>
              <w:spacing w:after="0"/>
              <w:rPr>
                <w:sz w:val="1"/>
                <w:szCs w:val="1"/>
                <w:color w:val="auto"/>
              </w:rPr>
            </w:pPr>
          </w:p>
        </w:tc>
      </w:tr>
      <w:tr>
        <w:trPr>
          <w:trHeight w:val="148"/>
        </w:trPr>
        <w:tc>
          <w:tcPr>
            <w:tcW w:w="1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Reporting Person</w:t>
            </w:r>
          </w:p>
        </w:tc>
        <w:tc>
          <w:tcPr>
            <w:tcW w:w="4720" w:type="dxa"/>
            <w:vAlign w:val="bottom"/>
            <w:vMerge w:val="restart"/>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780" w:type="dxa"/>
            <w:vAlign w:val="bottom"/>
            <w:gridSpan w:val="2"/>
            <w:vMerge w:val="continue"/>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to direct</w:t>
            </w: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direct the</w:t>
            </w:r>
          </w:p>
        </w:tc>
        <w:tc>
          <w:tcPr>
            <w:tcW w:w="8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the</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direct the</w:t>
            </w:r>
          </w:p>
        </w:tc>
        <w:tc>
          <w:tcPr>
            <w:tcW w:w="0" w:type="dxa"/>
            <w:vAlign w:val="bottom"/>
          </w:tcPr>
          <w:p>
            <w:pPr>
              <w:spacing w:after="0"/>
              <w:rPr>
                <w:sz w:val="1"/>
                <w:szCs w:val="1"/>
                <w:color w:val="auto"/>
              </w:rPr>
            </w:pPr>
          </w:p>
        </w:tc>
      </w:tr>
      <w:tr>
        <w:trPr>
          <w:trHeight w:val="165"/>
        </w:trPr>
        <w:tc>
          <w:tcPr>
            <w:tcW w:w="1080" w:type="dxa"/>
            <w:vAlign w:val="bottom"/>
            <w:tcBorders>
              <w:bottom w:val="single" w:sz="8" w:color="auto"/>
            </w:tcBorders>
            <w:vMerge w:val="continue"/>
          </w:tcPr>
          <w:p>
            <w:pPr>
              <w:spacing w:after="0"/>
              <w:rPr>
                <w:sz w:val="13"/>
                <w:szCs w:val="13"/>
                <w:color w:val="auto"/>
              </w:rPr>
            </w:pPr>
          </w:p>
        </w:tc>
        <w:tc>
          <w:tcPr>
            <w:tcW w:w="4720" w:type="dxa"/>
            <w:vAlign w:val="bottom"/>
            <w:vMerge w:val="continue"/>
          </w:tcPr>
          <w:p>
            <w:pPr>
              <w:spacing w:after="0"/>
              <w:rPr>
                <w:sz w:val="13"/>
                <w:szCs w:val="13"/>
                <w:color w:val="auto"/>
              </w:rPr>
            </w:pPr>
          </w:p>
        </w:tc>
        <w:tc>
          <w:tcPr>
            <w:tcW w:w="94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owned</w:t>
            </w:r>
          </w:p>
        </w:tc>
        <w:tc>
          <w:tcPr>
            <w:tcW w:w="780" w:type="dxa"/>
            <w:vAlign w:val="bottom"/>
            <w:gridSpan w:val="2"/>
          </w:tcPr>
          <w:p>
            <w:pPr>
              <w:jc w:val="right"/>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of class</w:t>
            </w:r>
          </w:p>
        </w:tc>
        <w:tc>
          <w:tcPr>
            <w:tcW w:w="86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the vote</w:t>
            </w:r>
          </w:p>
        </w:tc>
        <w:tc>
          <w:tcPr>
            <w:tcW w:w="94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vote</w:t>
            </w:r>
          </w:p>
        </w:tc>
        <w:tc>
          <w:tcPr>
            <w:tcW w:w="86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disposition</w:t>
            </w:r>
          </w:p>
        </w:tc>
        <w:tc>
          <w:tcPr>
            <w:tcW w:w="8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disposition</w:t>
            </w:r>
          </w:p>
        </w:tc>
        <w:tc>
          <w:tcPr>
            <w:tcW w:w="0" w:type="dxa"/>
            <w:vAlign w:val="bottom"/>
          </w:tcPr>
          <w:p>
            <w:pPr>
              <w:spacing w:after="0"/>
              <w:rPr>
                <w:sz w:val="1"/>
                <w:szCs w:val="1"/>
                <w:color w:val="auto"/>
              </w:rPr>
            </w:pPr>
          </w:p>
        </w:tc>
      </w:tr>
      <w:tr>
        <w:trPr>
          <w:trHeight w:val="20"/>
        </w:trPr>
        <w:tc>
          <w:tcPr>
            <w:tcW w:w="58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NVX Holdings, Inc.</w:t>
            </w:r>
          </w:p>
        </w:tc>
        <w:tc>
          <w:tcPr>
            <w:tcW w:w="7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00" w:type="dxa"/>
            <w:vAlign w:val="bottom"/>
            <w:gridSpan w:val="2"/>
            <w:vMerge w:val="continue"/>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6,232,352</w:t>
            </w:r>
          </w:p>
        </w:tc>
        <w:tc>
          <w:tcPr>
            <w:tcW w:w="160" w:type="dxa"/>
            <w:vAlign w:val="bottom"/>
            <w:vMerge w:val="continue"/>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line="203" w:lineRule="exact"/>
              <w:rPr>
                <w:sz w:val="20"/>
                <w:szCs w:val="20"/>
                <w:color w:val="auto"/>
              </w:rPr>
            </w:pPr>
            <w:r>
              <w:rPr>
                <w:rFonts w:ascii="Times New Roman" w:cs="Times New Roman" w:eastAsia="Times New Roman" w:hAnsi="Times New Roman"/>
                <w:sz w:val="18"/>
                <w:szCs w:val="18"/>
                <w:color w:val="auto"/>
              </w:rPr>
              <w:t>41.4%</w:t>
            </w:r>
          </w:p>
        </w:tc>
        <w:tc>
          <w:tcPr>
            <w:tcW w:w="7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160" w:type="dxa"/>
            <w:vAlign w:val="bottom"/>
            <w:vMerge w:val="continue"/>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6,232,352</w:t>
            </w:r>
          </w:p>
        </w:tc>
        <w:tc>
          <w:tcPr>
            <w:tcW w:w="160" w:type="dxa"/>
            <w:vAlign w:val="bottom"/>
            <w:vMerge w:val="continue"/>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160" w:type="dxa"/>
            <w:vAlign w:val="bottom"/>
            <w:vMerge w:val="continue"/>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6,232,352</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Brandon M. Cruz</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6,433,058</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42.2%</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185,919</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6,247,139</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185,919</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6,247,139</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Clinton P. Jones</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6,433,058</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42.2%</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185,919</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6,247,139</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185,919</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6,247,139</w:t>
            </w:r>
          </w:p>
        </w:tc>
        <w:tc>
          <w:tcPr>
            <w:tcW w:w="0" w:type="dxa"/>
            <w:vAlign w:val="bottom"/>
          </w:tcPr>
          <w:p>
            <w:pPr>
              <w:spacing w:after="0"/>
              <w:rPr>
                <w:sz w:val="1"/>
                <w:szCs w:val="1"/>
                <w:color w:val="auto"/>
              </w:rPr>
            </w:pPr>
          </w:p>
        </w:tc>
      </w:tr>
      <w:tr>
        <w:trPr>
          <w:trHeight w:val="234"/>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BCCJ, LLC</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14,787</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14,787</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14,787</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right="80" w:firstLine="440"/>
        <w:spacing w:after="0" w:line="282" w:lineRule="auto"/>
        <w:rPr>
          <w:sz w:val="20"/>
          <w:szCs w:val="20"/>
          <w:color w:val="auto"/>
        </w:rPr>
      </w:pPr>
      <w:r>
        <w:rPr>
          <w:rFonts w:ascii="Times New Roman" w:cs="Times New Roman" w:eastAsia="Times New Roman" w:hAnsi="Times New Roman"/>
          <w:sz w:val="18"/>
          <w:szCs w:val="18"/>
          <w:color w:val="auto"/>
        </w:rPr>
        <w:t>NVX is the record holder of 53,820 shares of Class A Common Stock and 6,178,532 LLC Interests. BCCJ is the record holder of 11,866 shares of Class A Common Stock and 2,921 LLC Interests. Each of Messrs. Jones and Cruz is the record holder of 3,000 shares of Class A Common Stock.</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Messrs. Jones and Cruz are the Chief Executive Officer and President of NVX, respectively, and are members of the Board of Managers of BCCJ.</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each of Messrs. Jones and Cruz may be deemed to beneficially own the securities held by each of NVX and BCCJ.</w:t>
      </w:r>
    </w:p>
    <w:p>
      <w:pPr>
        <w:spacing w:after="0" w:line="207"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In addition, each of Messrs. Jones and Cruz may be deemed to beneficially own: (i) 2,508 shares of Class A Common Stock underlying stock options and (ii) 180,411 shares of Class A Common Stock underlying Blizzard Management Feeder LLC Interests, in each case that are currently vested or will vest within 60 days.</w:t>
      </w:r>
    </w:p>
    <w:p>
      <w:pPr>
        <w:spacing w:after="0" w:line="176" w:lineRule="exact"/>
        <w:rPr>
          <w:sz w:val="20"/>
          <w:szCs w:val="20"/>
          <w:color w:val="auto"/>
        </w:rPr>
      </w:pPr>
    </w:p>
    <w:p>
      <w:pPr>
        <w:jc w:val="both"/>
        <w:ind w:right="280" w:firstLine="440"/>
        <w:spacing w:after="0" w:line="266" w:lineRule="auto"/>
        <w:rPr>
          <w:sz w:val="20"/>
          <w:szCs w:val="20"/>
          <w:color w:val="auto"/>
        </w:rPr>
      </w:pPr>
      <w:r>
        <w:rPr>
          <w:rFonts w:ascii="Times New Roman" w:cs="Times New Roman" w:eastAsia="Times New Roman" w:hAnsi="Times New Roman"/>
          <w:sz w:val="18"/>
          <w:szCs w:val="18"/>
          <w:color w:val="auto"/>
        </w:rPr>
        <w:t>In addition, as discussed in Item 2 above, by virtue of the agreements made pursuant to the Stockholders Agreement, the Stockholders may be deemed to be acting as a group for purposes of Rule 13d-3 under the Exchange Act. Shares beneficially owned by Centerbridge are not the subject of this Schedule 13D and accordingly, Centerbridge is not included as a reporting person 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During the past 60 days, the Reporting Persons have not effected any transactions with respect to the Class A Common Stock.</w:t>
      </w:r>
    </w:p>
    <w:p>
      <w:pPr>
        <w:sectPr>
          <w:pgSz w:w="11900" w:h="16838" w:orient="portrait"/>
          <w:cols w:equalWidth="0" w:num="1">
            <w:col w:w="11020"/>
          </w:cols>
          <w:pgMar w:left="440" w:top="266" w:right="439" w:bottom="1440" w:gutter="0" w:footer="0" w:header="0"/>
        </w:sectPr>
      </w:pPr>
    </w:p>
    <w:bookmarkStart w:id="10" w:name="page11"/>
    <w:bookmarkEnd w:id="10"/>
    <w:p>
      <w:pPr>
        <w:ind w:left="4"/>
        <w:spacing w:after="0"/>
        <w:tabs>
          <w:tab w:leader="none" w:pos="5564" w:val="left"/>
          <w:tab w:leader="none" w:pos="954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38046W105</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8"/>
          <w:szCs w:val="18"/>
          <w:color w:val="auto"/>
        </w:rPr>
        <w:t>Page 10 of 11 pages</w:t>
      </w:r>
    </w:p>
    <w:p>
      <w:pPr>
        <w:spacing w:after="0" w:line="162" w:lineRule="exact"/>
        <w:rPr>
          <w:sz w:val="20"/>
          <w:szCs w:val="20"/>
          <w:color w:val="auto"/>
        </w:rPr>
      </w:pPr>
    </w:p>
    <w:p>
      <w:pPr>
        <w:ind w:left="264" w:hanging="264"/>
        <w:spacing w:after="0"/>
        <w:tabs>
          <w:tab w:leader="none" w:pos="2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17"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Contracts, Arrangements, Understandings or Relationships with Respect to Securities of the Issuer.</w:t>
      </w:r>
    </w:p>
    <w:p>
      <w:pPr>
        <w:spacing w:after="0" w:line="121" w:lineRule="exact"/>
        <w:rPr>
          <w:sz w:val="20"/>
          <w:szCs w:val="20"/>
          <w:color w:val="auto"/>
        </w:rPr>
      </w:pPr>
    </w:p>
    <w:p>
      <w:pPr>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t>Item 4 above summarizes certain provisions of the Stockholders Agreement, the Registration Rights Agreement and the Note, and is incorporated herein by reference. A copy of each of the Stockholders Agreement and the Registration Rights Agreement is attached as an exhibit to this Schedule 13D, and is incorporated herein by reference.</w:t>
      </w:r>
    </w:p>
    <w:p>
      <w:pPr>
        <w:spacing w:after="0" w:line="176" w:lineRule="exact"/>
        <w:rPr>
          <w:sz w:val="20"/>
          <w:szCs w:val="20"/>
          <w:color w:val="auto"/>
        </w:rPr>
      </w:pPr>
    </w:p>
    <w:p>
      <w:pPr>
        <w:ind w:left="4" w:right="140" w:firstLine="440"/>
        <w:spacing w:after="0" w:line="261" w:lineRule="auto"/>
        <w:rPr>
          <w:sz w:val="20"/>
          <w:szCs w:val="20"/>
          <w:color w:val="auto"/>
        </w:rPr>
      </w:pPr>
      <w:r>
        <w:rPr>
          <w:rFonts w:ascii="Times New Roman" w:cs="Times New Roman" w:eastAsia="Times New Roman" w:hAnsi="Times New Roman"/>
          <w:sz w:val="18"/>
          <w:szCs w:val="18"/>
          <w:color w:val="auto"/>
        </w:rPr>
        <w:t>Except as set forth in Item 4, the Reporting Persons do not have any contracts, arrangements, understandings or relationships (legal or otherwise) with any person with respect to any securities of the Issuer, including but not limited to any contracts, arrangements, understandings or relationships concerning the transfer or voting of such securities, finder’s fees, joint ventures, loan or option arrangements, puts or calls, guarantees of profits, division of profits or losses, or the giving or withholding of proxies.</w:t>
      </w:r>
    </w:p>
    <w:p>
      <w:pPr>
        <w:spacing w:after="0" w:line="324"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102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Materials to be Filed as Exhibits</w:t>
            </w:r>
          </w:p>
        </w:tc>
        <w:tc>
          <w:tcPr>
            <w:tcW w:w="0" w:type="dxa"/>
            <w:vAlign w:val="bottom"/>
          </w:tcPr>
          <w:p>
            <w:pPr>
              <w:spacing w:after="0"/>
              <w:rPr>
                <w:sz w:val="1"/>
                <w:szCs w:val="1"/>
                <w:color w:val="auto"/>
              </w:rPr>
            </w:pPr>
          </w:p>
        </w:tc>
      </w:tr>
      <w:tr>
        <w:trPr>
          <w:trHeight w:val="367"/>
        </w:trPr>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40" w:type="dxa"/>
            <w:vAlign w:val="bottom"/>
          </w:tcPr>
          <w:p>
            <w:pPr>
              <w:spacing w:after="0"/>
              <w:rPr>
                <w:sz w:val="24"/>
                <w:szCs w:val="24"/>
                <w:color w:val="auto"/>
              </w:rPr>
            </w:pPr>
          </w:p>
        </w:tc>
        <w:tc>
          <w:tcPr>
            <w:tcW w:w="9760" w:type="dxa"/>
            <w:vAlign w:val="bottom"/>
            <w:vMerge w:val="restart"/>
          </w:tcPr>
          <w:p>
            <w:pPr>
              <w:ind w:left="45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40" w:type="dxa"/>
            <w:vAlign w:val="bottom"/>
          </w:tcPr>
          <w:p>
            <w:pPr>
              <w:spacing w:after="0"/>
              <w:rPr>
                <w:sz w:val="15"/>
                <w:szCs w:val="15"/>
                <w:color w:val="auto"/>
              </w:rPr>
            </w:pPr>
          </w:p>
        </w:tc>
        <w:tc>
          <w:tcPr>
            <w:tcW w:w="9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1264" w:hanging="1264"/>
        <w:spacing w:after="0"/>
        <w:tabs>
          <w:tab w:leader="none" w:pos="12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Joint Filing Agreement.</w:t>
      </w:r>
    </w:p>
    <w:p>
      <w:pPr>
        <w:spacing w:after="0" w:line="117" w:lineRule="exact"/>
        <w:rPr>
          <w:sz w:val="20"/>
          <w:szCs w:val="20"/>
          <w:color w:val="auto"/>
        </w:rPr>
      </w:pPr>
    </w:p>
    <w:p>
      <w:pPr>
        <w:ind w:left="1264" w:right="160" w:hanging="1264"/>
        <w:spacing w:after="0" w:line="266" w:lineRule="auto"/>
        <w:tabs>
          <w:tab w:leader="none" w:pos="1264" w:val="left"/>
        </w:tabs>
        <w:numPr>
          <w:ilvl w:val="0"/>
          <w:numId w:val="4"/>
        </w:numPr>
        <w:rPr>
          <w:rFonts w:ascii="Times New Roman" w:cs="Times New Roman" w:eastAsia="Times New Roman" w:hAnsi="Times New Roman"/>
          <w:sz w:val="18"/>
          <w:szCs w:val="18"/>
          <w:u w:val="single" w:color="auto"/>
          <w:color w:val="0000EE"/>
        </w:rPr>
      </w:pPr>
      <w:hyperlink r:id="rId27">
        <w:r>
          <w:rPr>
            <w:rFonts w:ascii="Times New Roman" w:cs="Times New Roman" w:eastAsia="Times New Roman" w:hAnsi="Times New Roman"/>
            <w:sz w:val="18"/>
            <w:szCs w:val="18"/>
            <w:u w:val="single" w:color="auto"/>
            <w:color w:val="0000EE"/>
          </w:rPr>
          <w:t>Stockholders Agreement, dated July 15, 2020, by and among GoHealth, Inc. and the persons and entities listed on the schedules</w:t>
        </w:r>
      </w:hyperlink>
      <w:r>
        <w:rPr>
          <w:rFonts w:ascii="Times New Roman" w:cs="Times New Roman" w:eastAsia="Times New Roman" w:hAnsi="Times New Roman"/>
          <w:sz w:val="18"/>
          <w:szCs w:val="18"/>
          <w:u w:val="single" w:color="auto"/>
          <w:color w:val="0000EE"/>
        </w:rPr>
        <w:t xml:space="preserve"> </w:t>
      </w:r>
      <w:hyperlink r:id="rId27">
        <w:r>
          <w:rPr>
            <w:rFonts w:ascii="Times New Roman" w:cs="Times New Roman" w:eastAsia="Times New Roman" w:hAnsi="Times New Roman"/>
            <w:sz w:val="18"/>
            <w:szCs w:val="18"/>
            <w:u w:val="single" w:color="auto"/>
            <w:color w:val="0000EE"/>
          </w:rPr>
          <w:t>attached thereto (incorporated by reference to Exhibit 10.4 to the Issuer’s Current Report on Form 8-K filed with the SEC on July 17,</w:t>
        </w:r>
      </w:hyperlink>
      <w:r>
        <w:rPr>
          <w:rFonts w:ascii="Times New Roman" w:cs="Times New Roman" w:eastAsia="Times New Roman" w:hAnsi="Times New Roman"/>
          <w:sz w:val="18"/>
          <w:szCs w:val="18"/>
          <w:u w:val="single" w:color="auto"/>
          <w:color w:val="0000EE"/>
        </w:rPr>
        <w:t xml:space="preserve"> </w:t>
      </w:r>
      <w:hyperlink r:id="rId27">
        <w:r>
          <w:rPr>
            <w:rFonts w:ascii="Times New Roman" w:cs="Times New Roman" w:eastAsia="Times New Roman" w:hAnsi="Times New Roman"/>
            <w:sz w:val="18"/>
            <w:szCs w:val="18"/>
            <w:u w:val="single" w:color="auto"/>
            <w:color w:val="0000EE"/>
          </w:rPr>
          <w:t>2020).</w:t>
        </w:r>
      </w:hyperlink>
    </w:p>
    <w:p>
      <w:pPr>
        <w:spacing w:after="0" w:line="68" w:lineRule="exact"/>
        <w:rPr>
          <w:rFonts w:ascii="Times New Roman" w:cs="Times New Roman" w:eastAsia="Times New Roman" w:hAnsi="Times New Roman"/>
          <w:sz w:val="18"/>
          <w:szCs w:val="18"/>
          <w:u w:val="single" w:color="auto"/>
          <w:color w:val="0000EE"/>
        </w:rPr>
      </w:pPr>
    </w:p>
    <w:p>
      <w:pPr>
        <w:jc w:val="both"/>
        <w:ind w:left="1264" w:right="60" w:hanging="1264"/>
        <w:spacing w:after="0" w:line="266" w:lineRule="auto"/>
        <w:tabs>
          <w:tab w:leader="none" w:pos="1264" w:val="left"/>
        </w:tabs>
        <w:numPr>
          <w:ilvl w:val="0"/>
          <w:numId w:val="5"/>
        </w:numPr>
        <w:rPr>
          <w:rFonts w:ascii="Times New Roman" w:cs="Times New Roman" w:eastAsia="Times New Roman" w:hAnsi="Times New Roman"/>
          <w:sz w:val="18"/>
          <w:szCs w:val="18"/>
          <w:u w:val="single" w:color="auto"/>
          <w:color w:val="0000EE"/>
        </w:rPr>
      </w:pPr>
      <w:hyperlink r:id="rId28">
        <w:r>
          <w:rPr>
            <w:rFonts w:ascii="Times New Roman" w:cs="Times New Roman" w:eastAsia="Times New Roman" w:hAnsi="Times New Roman"/>
            <w:sz w:val="18"/>
            <w:szCs w:val="18"/>
            <w:u w:val="single" w:color="auto"/>
            <w:color w:val="0000EE"/>
          </w:rPr>
          <w:t>Registration Rights Agreement, dated July 15, 2020, by and among GoHealth, Inc. and each other person identified on the schedule of</w:t>
        </w:r>
      </w:hyperlink>
      <w:r>
        <w:rPr>
          <w:rFonts w:ascii="Times New Roman" w:cs="Times New Roman" w:eastAsia="Times New Roman" w:hAnsi="Times New Roman"/>
          <w:sz w:val="18"/>
          <w:szCs w:val="18"/>
          <w:u w:val="single" w:color="auto"/>
          <w:color w:val="0000EE"/>
        </w:rPr>
        <w:t xml:space="preserve"> </w:t>
      </w:r>
      <w:hyperlink r:id="rId28">
        <w:r>
          <w:rPr>
            <w:rFonts w:ascii="Times New Roman" w:cs="Times New Roman" w:eastAsia="Times New Roman" w:hAnsi="Times New Roman"/>
            <w:sz w:val="18"/>
            <w:szCs w:val="18"/>
            <w:u w:val="single" w:color="auto"/>
            <w:color w:val="0000EE"/>
          </w:rPr>
          <w:t>investors attached thereto (incorporated by reference to Exhibit 10.2 to the Issuer’s Current Report on Form 8-K filed with the SEC on</w:t>
        </w:r>
      </w:hyperlink>
      <w:r>
        <w:rPr>
          <w:rFonts w:ascii="Times New Roman" w:cs="Times New Roman" w:eastAsia="Times New Roman" w:hAnsi="Times New Roman"/>
          <w:sz w:val="18"/>
          <w:szCs w:val="18"/>
          <w:u w:val="single" w:color="auto"/>
          <w:color w:val="0000EE"/>
        </w:rPr>
        <w:t xml:space="preserve"> </w:t>
      </w:r>
      <w:hyperlink r:id="rId28">
        <w:r>
          <w:rPr>
            <w:rFonts w:ascii="Times New Roman" w:cs="Times New Roman" w:eastAsia="Times New Roman" w:hAnsi="Times New Roman"/>
            <w:sz w:val="18"/>
            <w:szCs w:val="18"/>
            <w:u w:val="single" w:color="auto"/>
            <w:color w:val="0000EE"/>
          </w:rPr>
          <w:t>July 17, 2020).</w:t>
        </w:r>
      </w:hyperlink>
    </w:p>
    <w:p>
      <w:pPr>
        <w:sectPr>
          <w:pgSz w:w="11900" w:h="16838" w:orient="portrait"/>
          <w:cols w:equalWidth="0" w:num="1">
            <w:col w:w="11024"/>
          </w:cols>
          <w:pgMar w:left="436" w:top="266" w:right="439" w:bottom="1440" w:gutter="0" w:footer="0" w:header="0"/>
        </w:sectPr>
      </w:pPr>
    </w:p>
    <w:bookmarkStart w:id="11" w:name="page12"/>
    <w:bookmarkEnd w:id="11"/>
    <w:p>
      <w:pPr>
        <w:spacing w:after="0"/>
        <w:tabs>
          <w:tab w:leader="none" w:pos="5560" w:val="left"/>
          <w:tab w:leader="none" w:pos="95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38046W105</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color w:val="auto"/>
        </w:rPr>
        <w:t>Page 11 of 11 pages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November 25, 2022</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NVX Holdings, Inc.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Clinton P. Jones</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Clinton P. Jones</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Clinton P. Jones</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Clinton P.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Brandon M. Cruz</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Brandon M. Cruz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BCCJ, LLC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Clinton P. Jones</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Clinton P. Jones</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Manager</w:t>
            </w:r>
          </w:p>
        </w:tc>
      </w:tr>
    </w:tbl>
    <w:p>
      <w:pPr>
        <w:sectPr>
          <w:pgSz w:w="11900" w:h="16838" w:orient="portrait"/>
          <w:cols w:equalWidth="0" w:num="1">
            <w:col w:w="11020"/>
          </w:cols>
          <w:pgMar w:left="440" w:top="266" w:right="4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In accordance with Rule 13d-1(k)(1) promulgated under the Securities Exchange Act of 1934, as amended, the undersigned hereby agree that they are jointly filing this statement on Schedule 13D. Each of them is responsible for the timely filing of such statement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hereby execute this Joint Filing Agreement as of the 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of November, 2022.</w:t>
      </w:r>
    </w:p>
    <w:p>
      <w:pPr>
        <w:spacing w:after="0" w:line="15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NVX Holdings, Inc.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Clinton P. Jones</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Clinton P. Jones</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Clinton P. Jones</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Clinton P.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Brandon M. Cruz</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Brandon M. Cruz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BCCJ, LLC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Clinton P. Jones</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Clinton P. Jones</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Manager</w:t>
            </w:r>
          </w:p>
        </w:tc>
      </w:tr>
    </w:tbl>
    <w:p>
      <w:pPr>
        <w:spacing w:after="0" w:line="1" w:lineRule="exact"/>
        <w:rPr>
          <w:sz w:val="20"/>
          <w:szCs w:val="20"/>
          <w:color w:val="auto"/>
        </w:rPr>
      </w:pP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1"/>
      <w:numFmt w:val="bullet"/>
      <w:start w:val="1"/>
    </w:lvl>
  </w:abstractNum>
  <w:abstractNum w:abstractNumId="3">
    <w:nsid w:val="238E1F29"/>
    <w:multiLevelType w:val="hybridMultilevel"/>
    <w:lvl w:ilvl="0">
      <w:lvlJc w:val="left"/>
      <w:lvlText w:val="2"/>
      <w:numFmt w:val="bullet"/>
      <w:start w:val="1"/>
    </w:lvl>
  </w:abstractNum>
  <w:abstractNum w:abstractNumId="4">
    <w:nsid w:val="46E87CCD"/>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27" Type="http://schemas.openxmlformats.org/officeDocument/2006/relationships/hyperlink" Target="http://www.sec.gov/Archives/edgar/data/1808220/000119312520194605/d924307dex104.htm" TargetMode="External"/><Relationship Id="rId28" Type="http://schemas.openxmlformats.org/officeDocument/2006/relationships/hyperlink" Target="http://www.sec.gov/Archives/edgar/data/1808220/000119312520194605/d924307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2022-11-25T15:43:25Z</dcterms:created>
  <dcterms:modified xsi:type="dcterms:W3CDTF">2022-11-25T15:43:25Z</dcterms:modified>
</cp:coreProperties>
</file>