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25400</wp:posOffset>
            </wp:positionV>
            <wp:extent cx="6998970" cy="4113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41135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00"/>
            <w:col w:w="842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vMerge w:val="restart"/>
          </w:tcPr>
          <w:p>
            <w:pPr>
              <w:ind w:left="20"/>
              <w:spacing w:after="0"/>
              <w:rPr>
                <w:rFonts w:ascii="Times New Roman" w:cs="Times New Roman" w:eastAsia="Times New Roman" w:hAnsi="Times New Roman"/>
                <w:sz w:val="20"/>
                <w:szCs w:val="20"/>
                <w:color w:val="0000EE"/>
                <w:w w:val="99"/>
              </w:rPr>
            </w:pPr>
            <w:hyperlink r:id="rId12">
              <w:r>
                <w:rPr>
                  <w:rFonts w:ascii="Times New Roman" w:cs="Times New Roman" w:eastAsia="Times New Roman" w:hAnsi="Times New Roman"/>
                  <w:sz w:val="20"/>
                  <w:szCs w:val="20"/>
                  <w:color w:val="0000EE"/>
                  <w:w w:val="99"/>
                </w:rPr>
                <w:t>Cruz Brandon M.</w:t>
              </w:r>
            </w:hyperlink>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GoHealth,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GOCO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X</w:t>
            </w: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20" w:type="dxa"/>
            <w:vAlign w:val="bottom"/>
            <w:gridSpan w:val="2"/>
            <w:vMerge w:val="restart"/>
          </w:tcPr>
          <w:p>
            <w:pPr>
              <w:ind w:left="160"/>
              <w:spacing w:after="0" w:line="130"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20" w:type="dxa"/>
            <w:vAlign w:val="bottom"/>
            <w:gridSpan w:val="4"/>
            <w:vMerge w:val="restart"/>
          </w:tcPr>
          <w:p>
            <w:pPr>
              <w:ind w:left="16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700" w:type="dxa"/>
            <w:vAlign w:val="bottom"/>
            <w:gridSpan w:val="3"/>
          </w:tcPr>
          <w:p>
            <w:pPr>
              <w:ind w:left="500"/>
              <w:spacing w:after="0"/>
              <w:rPr>
                <w:sz w:val="20"/>
                <w:szCs w:val="20"/>
                <w:color w:val="auto"/>
              </w:rPr>
            </w:pPr>
            <w:r>
              <w:rPr>
                <w:rFonts w:ascii="Arial" w:cs="Arial" w:eastAsia="Arial" w:hAnsi="Arial"/>
                <w:sz w:val="12"/>
                <w:szCs w:val="12"/>
                <w:color w:val="auto"/>
              </w:rPr>
              <w:t>(First)</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214 WEST HURON ST.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0000FF"/>
              </w:rPr>
              <w:t>06/06/2022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6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5"/>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300" w:type="dxa"/>
            <w:vAlign w:val="bottom"/>
            <w:tcBorders>
              <w:top w:val="single" w:sz="8" w:color="2C2C2C"/>
            </w:tcBorders>
            <w:gridSpan w:val="6"/>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5"/>
              </w:rPr>
              <w:t>CHICAGO</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IL</w:t>
            </w:r>
          </w:p>
        </w:tc>
        <w:tc>
          <w:tcPr>
            <w:tcW w:w="10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60654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700" w:type="dxa"/>
            <w:vAlign w:val="bottom"/>
            <w:gridSpan w:val="3"/>
          </w:tcPr>
          <w:p>
            <w:pPr>
              <w:ind w:left="50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6"/>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6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8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Class A</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Appreciation</w:t>
            </w: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continue"/>
          </w:tcPr>
          <w:p>
            <w:pPr>
              <w:spacing w:after="0"/>
              <w:rPr>
                <w:sz w:val="5"/>
                <w:szCs w:val="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2,649,896</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60" w:type="dxa"/>
            <w:vAlign w:val="bottom"/>
            <w:vMerge w:val="restart"/>
          </w:tcPr>
          <w:p>
            <w:pPr>
              <w:ind w:left="1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w:t>
            </w:r>
          </w:p>
        </w:tc>
        <w:tc>
          <w:tcPr>
            <w:tcW w:w="40" w:type="dxa"/>
            <w:vAlign w:val="bottom"/>
          </w:tcPr>
          <w:p>
            <w:pPr>
              <w:spacing w:after="0"/>
              <w:rPr>
                <w:sz w:val="6"/>
                <w:szCs w:val="6"/>
                <w:color w:val="auto"/>
              </w:rPr>
            </w:pPr>
          </w:p>
        </w:tc>
        <w:tc>
          <w:tcPr>
            <w:tcW w:w="1000" w:type="dxa"/>
            <w:vAlign w:val="bottom"/>
            <w:vMerge w:val="restart"/>
          </w:tcPr>
          <w:p>
            <w:pPr>
              <w:ind w:left="240"/>
              <w:spacing w:after="0" w:line="137" w:lineRule="exact"/>
              <w:rPr>
                <w:sz w:val="20"/>
                <w:szCs w:val="20"/>
                <w:color w:val="auto"/>
              </w:rPr>
            </w:pPr>
            <w:r>
              <w:rPr>
                <w:rFonts w:ascii="Times New Roman" w:cs="Times New Roman" w:eastAsia="Times New Roman" w:hAnsi="Times New Roman"/>
                <w:sz w:val="12"/>
                <w:szCs w:val="12"/>
                <w:color w:val="0000FF"/>
              </w:rPr>
              <w:t>06/06/2022</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20" w:type="dxa"/>
            <w:vAlign w:val="bottom"/>
            <w:vMerge w:val="restart"/>
          </w:tcPr>
          <w:p>
            <w:pPr>
              <w:ind w:left="100"/>
              <w:spacing w:after="0" w:line="137" w:lineRule="exact"/>
              <w:rPr>
                <w:sz w:val="20"/>
                <w:szCs w:val="20"/>
                <w:color w:val="auto"/>
              </w:rPr>
            </w:pPr>
            <w:r>
              <w:rPr>
                <w:rFonts w:ascii="Times New Roman" w:cs="Times New Roman" w:eastAsia="Times New Roman" w:hAnsi="Times New Roman"/>
                <w:sz w:val="12"/>
                <w:szCs w:val="12"/>
                <w:color w:val="0000FF"/>
              </w:rPr>
              <w:t>2,649,896</w:t>
            </w: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660" w:type="dxa"/>
            <w:vAlign w:val="bottom"/>
            <w:vMerge w:val="restart"/>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2,649,896</w:t>
            </w:r>
          </w:p>
        </w:tc>
        <w:tc>
          <w:tcPr>
            <w:tcW w:w="600" w:type="dxa"/>
            <w:vAlign w:val="bottom"/>
            <w:vMerge w:val="restart"/>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Rights</w:t>
            </w: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(SAR)</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-1702435</wp:posOffset>
            </wp:positionV>
            <wp:extent cx="28575" cy="1708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081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Stock Appreciation Rights (SARs) were granted pursuant to the 2020 Incentive Award Plan. Each SAR Award will vest in full on June 6, 2025. When exercised, the SARs will be settled in cash.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Brian Farley, Attorney-in-fact 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-5715</wp:posOffset>
            </wp:positionV>
            <wp:extent cx="18649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4995" cy="7620"/>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3" w:lineRule="auto"/>
        <w:tabs>
          <w:tab w:leader="none" w:pos="171"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15855"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2022-06-08T18:12:12Z</dcterms:created>
  <dcterms:modified xsi:type="dcterms:W3CDTF">2022-06-08T18:12:12Z</dcterms:modified>
</cp:coreProperties>
</file>