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60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591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Matthiesen Travis J.</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07/17/2020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0"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10"/>
        <w:spacing w:after="0"/>
        <w:rPr>
          <w:sz w:val="20"/>
          <w:szCs w:val="20"/>
          <w:color w:val="auto"/>
        </w:rPr>
      </w:pPr>
      <w:r>
        <w:rPr>
          <w:rFonts w:ascii="Arial" w:cs="Arial" w:eastAsia="Arial" w:hAnsi="Arial"/>
          <w:sz w:val="17"/>
          <w:szCs w:val="17"/>
          <w:color w:val="0000FF"/>
        </w:rPr>
        <w:t>Chief Financial Officer</w:t>
      </w:r>
    </w:p>
    <w:p>
      <w:pPr>
        <w:spacing w:after="0" w:line="304"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40"/>
              <w:spacing w:after="0"/>
              <w:rPr>
                <w:sz w:val="20"/>
                <w:szCs w:val="20"/>
                <w:color w:val="auto"/>
              </w:rPr>
            </w:pPr>
            <w:r>
              <w:rPr>
                <w:rFonts w:ascii="Arial" w:cs="Arial" w:eastAsia="Arial" w:hAnsi="Arial"/>
                <w:sz w:val="17"/>
                <w:szCs w:val="17"/>
                <w:color w:val="0000FF"/>
              </w:rPr>
              <w:t>IL</w:t>
            </w:r>
          </w:p>
        </w:tc>
        <w:tc>
          <w:tcPr>
            <w:tcW w:w="1620" w:type="dxa"/>
            <w:vAlign w:val="bottom"/>
          </w:tcPr>
          <w:p>
            <w:pPr>
              <w:ind w:left="420"/>
              <w:spacing w:after="0"/>
              <w:rPr>
                <w:sz w:val="20"/>
                <w:szCs w:val="20"/>
                <w:color w:val="auto"/>
              </w:rPr>
            </w:pPr>
            <w:r>
              <w:rPr>
                <w:rFonts w:ascii="Arial" w:cs="Arial" w:eastAsia="Arial" w:hAnsi="Arial"/>
                <w:sz w:val="17"/>
                <w:szCs w:val="17"/>
                <w:color w:val="0000FF"/>
              </w:rPr>
              <w:t>60654</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149860</wp:posOffset>
            </wp:positionV>
            <wp:extent cx="6969125" cy="871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855"/>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86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8661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800" w:type="dxa"/>
            <w:vAlign w:val="bottom"/>
          </w:tcPr>
          <w:p>
            <w:pPr>
              <w:ind w:left="60"/>
              <w:spacing w:after="0"/>
              <w:rPr>
                <w:sz w:val="20"/>
                <w:szCs w:val="20"/>
                <w:color w:val="auto"/>
              </w:rPr>
            </w:pPr>
            <w:r>
              <w:rPr>
                <w:rFonts w:ascii="Arial" w:cs="Arial" w:eastAsia="Arial" w:hAnsi="Arial"/>
                <w:sz w:val="13"/>
                <w:szCs w:val="13"/>
                <w:color w:val="0000FF"/>
              </w:rPr>
              <w:t>Blizzard</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0" w:type="dxa"/>
            <w:vAlign w:val="bottom"/>
          </w:tcPr>
          <w:p>
            <w:pPr>
              <w:ind w:left="60"/>
              <w:spacing w:after="0" w:line="141" w:lineRule="exact"/>
              <w:rPr>
                <w:sz w:val="20"/>
                <w:szCs w:val="20"/>
                <w:color w:val="auto"/>
              </w:rPr>
            </w:pPr>
            <w:r>
              <w:rPr>
                <w:rFonts w:ascii="Arial" w:cs="Arial" w:eastAsia="Arial" w:hAnsi="Arial"/>
                <w:sz w:val="13"/>
                <w:szCs w:val="13"/>
                <w:color w:val="0000FF"/>
                <w:w w:val="94"/>
              </w:rPr>
              <w:t>Management</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vMerge w:val="restart"/>
          </w:tcPr>
          <w:p>
            <w:pPr>
              <w:jc w:val="right"/>
              <w:ind w:right="181"/>
              <w:spacing w:after="0"/>
              <w:rPr>
                <w:sz w:val="20"/>
                <w:szCs w:val="20"/>
                <w:color w:val="auto"/>
              </w:rPr>
            </w:pPr>
            <w:r>
              <w:rPr>
                <w:rFonts w:ascii="Arial" w:cs="Arial" w:eastAsia="Arial" w:hAnsi="Arial"/>
                <w:sz w:val="13"/>
                <w:szCs w:val="13"/>
                <w:color w:val="0000FF"/>
              </w:rPr>
              <w:t>07/17/2020</w:t>
            </w:r>
          </w:p>
        </w:tc>
        <w:tc>
          <w:tcPr>
            <w:tcW w:w="110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25,972</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4"/>
              <w:spacing w:after="0"/>
              <w:rPr>
                <w:sz w:val="20"/>
                <w:szCs w:val="20"/>
                <w:color w:val="auto"/>
              </w:rPr>
            </w:pPr>
            <w:r>
              <w:rPr>
                <w:rFonts w:ascii="Arial" w:cs="Arial" w:eastAsia="Arial" w:hAnsi="Arial"/>
                <w:sz w:val="11"/>
                <w:szCs w:val="11"/>
                <w:color w:val="008000"/>
              </w:rPr>
              <w:t>(3)</w:t>
            </w:r>
          </w:p>
        </w:tc>
        <w:tc>
          <w:tcPr>
            <w:tcW w:w="640" w:type="dxa"/>
            <w:vAlign w:val="bottom"/>
          </w:tcPr>
          <w:p>
            <w:pPr>
              <w:ind w:left="180"/>
              <w:spacing w:after="0" w:line="141" w:lineRule="exact"/>
              <w:rPr>
                <w:sz w:val="20"/>
                <w:szCs w:val="20"/>
                <w:color w:val="auto"/>
              </w:rPr>
            </w:pPr>
            <w:r>
              <w:rPr>
                <w:rFonts w:ascii="Arial" w:cs="Arial" w:eastAsia="Arial" w:hAnsi="Arial"/>
                <w:sz w:val="13"/>
                <w:szCs w:val="13"/>
                <w:color w:val="0000FF"/>
              </w:rPr>
              <w:t>LLC</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25,972</w:t>
            </w:r>
          </w:p>
        </w:tc>
        <w:tc>
          <w:tcPr>
            <w:tcW w:w="7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19.95</w:t>
            </w:r>
            <w:r>
              <w:rPr>
                <w:rFonts w:ascii="Arial" w:cs="Arial" w:eastAsia="Arial" w:hAnsi="Arial"/>
                <w:sz w:val="21"/>
                <w:szCs w:val="21"/>
                <w:color w:val="008000"/>
                <w:vertAlign w:val="superscript"/>
              </w:rPr>
              <w:t>(2)</w:t>
            </w:r>
          </w:p>
        </w:tc>
        <w:tc>
          <w:tcPr>
            <w:tcW w:w="920" w:type="dxa"/>
            <w:vAlign w:val="bottom"/>
            <w:vMerge w:val="restart"/>
          </w:tcPr>
          <w:p>
            <w:pPr>
              <w:ind w:left="200"/>
              <w:spacing w:after="0"/>
              <w:rPr>
                <w:sz w:val="20"/>
                <w:szCs w:val="20"/>
                <w:color w:val="auto"/>
              </w:rPr>
            </w:pPr>
            <w:r>
              <w:rPr>
                <w:rFonts w:ascii="Arial" w:cs="Arial" w:eastAsia="Arial" w:hAnsi="Arial"/>
                <w:sz w:val="13"/>
                <w:szCs w:val="13"/>
                <w:color w:val="0000FF"/>
              </w:rPr>
              <w:t>1,468,204</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00" w:type="dxa"/>
            <w:vAlign w:val="bottom"/>
          </w:tcPr>
          <w:p>
            <w:pPr>
              <w:ind w:left="60"/>
              <w:spacing w:after="0"/>
              <w:rPr>
                <w:sz w:val="20"/>
                <w:szCs w:val="20"/>
                <w:color w:val="auto"/>
              </w:rPr>
            </w:pPr>
            <w:r>
              <w:rPr>
                <w:rFonts w:ascii="Arial" w:cs="Arial" w:eastAsia="Arial" w:hAnsi="Arial"/>
                <w:sz w:val="13"/>
                <w:szCs w:val="13"/>
                <w:color w:val="0000FF"/>
              </w:rPr>
              <w:t>Feeder LLC</w:t>
            </w:r>
          </w:p>
        </w:tc>
        <w:tc>
          <w:tcPr>
            <w:tcW w:w="7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Interests</w:t>
            </w:r>
          </w:p>
        </w:tc>
        <w:tc>
          <w:tcPr>
            <w:tcW w:w="5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Interests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Blizzard Management Feeder Interests ("Feeder Interests") are convertible at the option of the holder for LLC Interests on a 1-for-1 basis, which will be subsequently redeemed for an equal number of shares of Class A Common Stock.</w:t>
      </w:r>
    </w:p>
    <w:p>
      <w:pPr>
        <w:spacing w:after="0" w:line="26" w:lineRule="exact"/>
        <w:rPr>
          <w:rFonts w:ascii="Arial" w:cs="Arial" w:eastAsia="Arial" w:hAnsi="Arial"/>
          <w:sz w:val="13"/>
          <w:szCs w:val="13"/>
          <w:color w:val="008000"/>
        </w:rPr>
      </w:pPr>
    </w:p>
    <w:p>
      <w:pPr>
        <w:ind w:left="40" w:right="1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described in the prospectus filed by the Issuer with the Securities and Exchange Commission, upon the closing of the offering, the Issuer redeemed the Feeder Interests from the reporting person in exchange for an aggregate consideration of $19.95 per Feeder Interest.</w:t>
      </w:r>
    </w:p>
    <w:p>
      <w:pPr>
        <w:spacing w:after="0" w:line="26" w:lineRule="exact"/>
        <w:rPr>
          <w:rFonts w:ascii="Arial" w:cs="Arial" w:eastAsia="Arial" w:hAnsi="Arial"/>
          <w:sz w:val="13"/>
          <w:szCs w:val="13"/>
          <w:color w:val="008000"/>
        </w:rPr>
      </w:pPr>
    </w:p>
    <w:p>
      <w:pPr>
        <w:ind w:left="40" w:right="3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1,051,870 of the Blizzard Management Feeder LLC Interests ("Feeder Interests") are currently vested. The remaining Feeder Interests will vest in five equal annual installments beginning on September 13, 2020 and have no expiration date..</w:t>
      </w:r>
    </w:p>
    <w:p>
      <w:pPr>
        <w:sectPr>
          <w:pgSz w:w="11900" w:h="16838" w:orient="portrait"/>
          <w:cols w:equalWidth="0" w:num="1">
            <w:col w:w="11080"/>
          </w:cols>
          <w:pgMar w:left="460" w:top="221"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Clinton P. Jones,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271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in-fact for Travis J. Matthiesen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311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65"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07/21/2020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2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15991"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2020-07-21T18:51:21Z</dcterms:created>
  <dcterms:modified xsi:type="dcterms:W3CDTF">2020-07-21T18:51:21Z</dcterms:modified>
</cp:coreProperties>
</file>