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4"/>
        <w:gridCol w:w="592"/>
        <w:gridCol w:w="521"/>
        <w:gridCol w:w="521"/>
        <w:gridCol w:w="521"/>
        <w:gridCol w:w="521"/>
        <w:gridCol w:w="589"/>
        <w:gridCol w:w="589"/>
        <w:gridCol w:w="589"/>
        <w:gridCol w:w="589"/>
        <w:gridCol w:w="483"/>
        <w:gridCol w:w="401"/>
        <w:gridCol w:w="629"/>
        <w:gridCol w:w="527"/>
        <w:gridCol w:w="441"/>
        <w:gridCol w:w="441"/>
        <w:gridCol w:w="441"/>
        <w:gridCol w:w="636"/>
      </w:tblGrid>
      <w:tr>
        <w:trPr/>
        <w:tc>
          <w:tcPr>
            <w:tcW w:w="11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November 26, 2025</w:t>
            </w:r>
          </w:p>
        </w:tc>
      </w:tr>
      <w:tr>
        <w:trPr/>
        <w:tc>
          <w:tcPr>
            <w:tcW w:w="3850" w:type="dxa"/>
            <w:gridSpan w:val="6"/>
            <w:tcBorders>
              <w:bottom w:val="double" w:sz="13" w:space="0" w:color="000000"/>
            </w:tcBorders>
            <w:tcMar>
              <w:top w:w="0" w:type="dxa"/>
              <w:left w:w="0" w:type="dxa"/>
              <w:right w:w="0" w:type="dxa"/>
            </w:tcMar>
            <w:vAlign w:val="center"/>
          </w:tcPr>
          <w:p>
            <w:pPr>
              <w:pStyle w:val="TableContents"/>
              <w:bidi w:val="0"/>
              <w:spacing w:before="0" w:after="0"/>
              <w:jc w:val="left"/>
              <w:rPr/>
            </w:pPr>
            <w:r>
              <w:rPr/>
            </w:r>
          </w:p>
        </w:tc>
        <w:tc>
          <w:tcPr>
            <w:tcW w:w="3240" w:type="dxa"/>
            <w:gridSpan w:val="6"/>
            <w:tcBorders>
              <w:bottom w:val="double" w:sz="13" w:space="0" w:color="000000"/>
            </w:tcBorders>
            <w:tcMar>
              <w:top w:w="0" w:type="dxa"/>
              <w:left w:w="0" w:type="dxa"/>
              <w:right w:w="0" w:type="dxa"/>
            </w:tcMar>
            <w:vAlign w:val="center"/>
          </w:tcPr>
          <w:p>
            <w:pPr>
              <w:pStyle w:val="TableContents"/>
              <w:bidi w:val="0"/>
              <w:spacing w:before="0" w:after="0"/>
              <w:jc w:val="left"/>
              <w:rPr/>
            </w:pPr>
            <w:r>
              <w:rPr/>
            </w:r>
          </w:p>
        </w:tc>
        <w:tc>
          <w:tcPr>
            <w:tcW w:w="3115" w:type="dxa"/>
            <w:gridSpan w:val="6"/>
            <w:tcBorders>
              <w:bottom w:val="double" w:sz="13" w:space="0" w:color="000000"/>
            </w:tcBorders>
            <w:tcMar>
              <w:top w:w="0" w:type="dxa"/>
              <w:left w:w="0" w:type="dxa"/>
              <w:bottom w:w="30" w:type="dxa"/>
              <w:right w:w="0" w:type="dxa"/>
            </w:tcMar>
            <w:vAlign w:val="center"/>
          </w:tcPr>
          <w:p>
            <w:pPr>
              <w:pStyle w:val="TableContents"/>
              <w:bidi w:val="0"/>
              <w:spacing w:lineRule="auto" w:line="276" w:before="0" w:after="0"/>
              <w:jc w:val="right"/>
              <w:rPr>
                <w:rFonts w:ascii="Times New Roman;serif" w:hAnsi="Times New Roman;serif"/>
                <w:b/>
                <w:color w:val="000000"/>
                <w:sz w:val="16"/>
              </w:rPr>
            </w:pPr>
            <w:r>
              <w:rPr>
                <w:rFonts w:ascii="Times New Roman;serif" w:hAnsi="Times New Roman;serif"/>
                <w:b/>
                <w:color w:val="000000"/>
                <w:sz w:val="16"/>
              </w:rPr>
              <w:t>No. 333-291587</w:t>
            </w:r>
          </w:p>
        </w:tc>
      </w:tr>
      <w:tr>
        <w:trPr/>
        <w:tc>
          <w:tcPr>
            <w:tcW w:w="10205" w:type="dxa"/>
            <w:gridSpan w:val="18"/>
            <w:tcBorders>
              <w:top w:val="double" w:sz="13"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UNITED STATES</w:t>
              <w:br/>
              <w:t>SECURITIES AND EXCHANGE COMMISSION</w:t>
            </w:r>
          </w:p>
        </w:tc>
      </w:tr>
      <w:tr>
        <w:trPr/>
        <w:tc>
          <w:tcPr>
            <w:tcW w:w="385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40"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Washington, D.C. 20549</w:t>
              <w:br/>
              <w:t>___________________</w:t>
            </w:r>
          </w:p>
        </w:tc>
        <w:tc>
          <w:tcPr>
            <w:tcW w:w="3115"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120" w:after="283"/>
              <w:jc w:val="center"/>
              <w:rPr>
                <w:rFonts w:ascii="Times New Roman;serif" w:hAnsi="Times New Roman;serif"/>
                <w:b/>
                <w:color w:val="000000"/>
                <w:sz w:val="26"/>
              </w:rPr>
            </w:pPr>
            <w:r>
              <w:rPr>
                <w:rFonts w:ascii="Times New Roman;serif" w:hAnsi="Times New Roman;serif"/>
                <w:b/>
                <w:color w:val="000000"/>
                <w:sz w:val="26"/>
              </w:rPr>
              <w:t>AMENDMENT NO. 1 TO</w:t>
            </w:r>
          </w:p>
          <w:p>
            <w:pPr>
              <w:pStyle w:val="TableContents"/>
              <w:bidi w:val="0"/>
              <w:spacing w:lineRule="auto" w:line="276" w:before="0" w:after="120"/>
              <w:jc w:val="center"/>
              <w:rPr/>
            </w:pPr>
            <w:r>
              <w:rPr>
                <w:rFonts w:ascii="Times New Roman;serif" w:hAnsi="Times New Roman;serif"/>
                <w:b/>
                <w:color w:val="000000"/>
                <w:sz w:val="36"/>
              </w:rPr>
              <w:t>FORM S-3</w:t>
              <w:br/>
              <w:t>REGISTRATION STATEMENT</w:t>
            </w:r>
            <w:r>
              <w:rPr>
                <w:rFonts w:ascii="Times New Roman;serif" w:hAnsi="Times New Roman;serif"/>
                <w:b/>
                <w:color w:val="000000"/>
                <w:sz w:val="26"/>
              </w:rPr>
              <w:br/>
              <w:t>UNDER</w:t>
              <w:br/>
              <w:t>THE SECURITIES ACT OF 1933</w:t>
              <w:br/>
            </w:r>
            <w:r>
              <w:rPr>
                <w:rFonts w:ascii="Times New Roman;serif" w:hAnsi="Times New Roman;serif"/>
                <w:b/>
                <w:color w:val="000000"/>
                <w:sz w:val="16"/>
              </w:rPr>
              <w:t>___________________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40"/>
              </w:rPr>
              <w:t>GoHealth, Inc.</w:t>
            </w:r>
            <w:r>
              <w:rPr>
                <w:rFonts w:ascii="Times New Roman;serif" w:hAnsi="Times New Roman;serif"/>
                <w:b/>
                <w:color w:val="000000"/>
                <w:sz w:val="36"/>
              </w:rPr>
              <w:br/>
            </w:r>
            <w:r>
              <w:rPr>
                <w:rFonts w:ascii="Times New Roman;serif" w:hAnsi="Times New Roman;serif"/>
                <w:b w:val="false"/>
                <w:color w:val="000000"/>
                <w:sz w:val="16"/>
              </w:rPr>
              <w:t>(Exact name of registrant as specified in its charter)</w:t>
            </w:r>
          </w:p>
        </w:tc>
      </w:tr>
      <w:tr>
        <w:trPr/>
        <w:tc>
          <w:tcPr>
            <w:tcW w:w="3850"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or organization)</w:t>
            </w:r>
          </w:p>
        </w:tc>
        <w:tc>
          <w:tcPr>
            <w:tcW w:w="3240" w:type="dxa"/>
            <w:gridSpan w:val="6"/>
            <w:tcBorders/>
            <w:tcMar>
              <w:top w:w="0" w:type="dxa"/>
              <w:left w:w="0" w:type="dxa"/>
              <w:bottom w:w="0" w:type="dxa"/>
              <w:right w:w="0" w:type="dxa"/>
            </w:tcMar>
            <w:vAlign w:val="center"/>
          </w:tcPr>
          <w:p>
            <w:pPr>
              <w:pStyle w:val="TableContents"/>
              <w:bidi w:val="0"/>
              <w:spacing w:before="0" w:after="0"/>
              <w:jc w:val="center"/>
              <w:rPr/>
            </w:pPr>
            <w:r>
              <w:rPr/>
            </w:r>
          </w:p>
        </w:tc>
        <w:tc>
          <w:tcPr>
            <w:tcW w:w="3115" w:type="dxa"/>
            <w:gridSpan w:val="6"/>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85-0563805</w:t>
            </w:r>
            <w:r>
              <w:rPr>
                <w:rFonts w:ascii="Times New Roman;serif" w:hAnsi="Times New Roman;serif"/>
                <w:b w:val="false"/>
                <w:color w:val="000000"/>
                <w:sz w:val="20"/>
              </w:rPr>
              <w:br/>
            </w:r>
            <w:r>
              <w:rPr>
                <w:rFonts w:ascii="Times New Roman;serif" w:hAnsi="Times New Roman;serif"/>
                <w:b w:val="false"/>
                <w:color w:val="000000"/>
                <w:sz w:val="16"/>
              </w:rPr>
              <w:t>(I.R.S. Employer Identification No.)</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222 W Merchandise Mart Plaza, Suite 1750</w:t>
              <w:br/>
              <w:t>Chicago, IL 60654</w:t>
              <w:br/>
              <w:t>(312) 386-8200</w:t>
              <w:br/>
            </w:r>
            <w:r>
              <w:rPr>
                <w:rFonts w:ascii="Times New Roman;serif" w:hAnsi="Times New Roman;serif"/>
                <w:b w:val="false"/>
                <w:color w:val="000000"/>
                <w:sz w:val="16"/>
              </w:rPr>
              <w:t>(Address, including zip code, and telephone number, including area code, of registrant’s principal executive offices)</w:t>
            </w:r>
          </w:p>
          <w:p>
            <w:pPr>
              <w:pStyle w:val="TableContents"/>
              <w:bidi w:val="0"/>
              <w:spacing w:lineRule="auto" w:line="276" w:before="0" w:after="0"/>
              <w:jc w:val="center"/>
              <w:rPr/>
            </w:pPr>
            <w:r>
              <w:rPr>
                <w:rFonts w:ascii="Times New Roman;serif" w:hAnsi="Times New Roman;serif"/>
                <w:b/>
                <w:color w:val="000000"/>
                <w:sz w:val="16"/>
              </w:rPr>
              <w:t>___________________</w:t>
            </w:r>
            <w:r>
              <w:rPr>
                <w:rFonts w:ascii="Times New Roman;serif" w:hAnsi="Times New Roman;serif"/>
                <w:b/>
                <w:color w:val="000000"/>
                <w:sz w:val="20"/>
              </w:rPr>
              <w:br/>
              <w:t xml:space="preserve">Bradley Burd </w:t>
              <w:br/>
              <w:t xml:space="preserve">Chief Legal Officer </w:t>
              <w:br/>
              <w:t xml:space="preserve">222 W Merchandise Mart Plaza, Suite 1750 </w:t>
              <w:br/>
              <w:t xml:space="preserve">Chicago, IL 60654 </w:t>
              <w:br/>
              <w:t>(312) 386-8200</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(Name, address, including zip code, and telephone number, including area code, of agent for service)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___________________</w:t>
            </w:r>
          </w:p>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Copies to:</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Robert M. Hayward, P.C.</w:t>
              <w:br/>
              <w:t>Sharon Freiman, P.C.</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Katherine Shaia</w:t>
              <w:br/>
              <w:t xml:space="preserve">Kirkland &amp; Ellis LLP </w:t>
              <w:br/>
              <w:t>333 West Wolf Point Plaza</w:t>
              <w:br/>
              <w:t>Chicago, IL 60654</w:t>
              <w:br/>
              <w:t>(312) 862-2000</w:t>
            </w:r>
          </w:p>
        </w:tc>
      </w:tr>
      <w:tr>
        <w:trPr/>
        <w:tc>
          <w:tcPr>
            <w:tcW w:w="10205" w:type="dxa"/>
            <w:gridSpan w:val="18"/>
            <w:tcBorders/>
            <w:tcMar>
              <w:top w:w="0" w:type="dxa"/>
              <w:left w:w="0" w:type="dxa"/>
              <w:bottom w:w="0" w:type="dxa"/>
              <w:right w:w="0" w:type="dxa"/>
            </w:tcMar>
            <w:vAlign w:val="center"/>
          </w:tcPr>
          <w:p>
            <w:pPr>
              <w:pStyle w:val="TableContents"/>
              <w:bidi w:val="0"/>
              <w:spacing w:lineRule="auto" w:line="276" w:before="120" w:after="283"/>
              <w:jc w:val="center"/>
              <w:rPr/>
            </w:pPr>
            <w:r>
              <w:rPr>
                <w:rFonts w:ascii="Times New Roman;serif" w:hAnsi="Times New Roman;serif"/>
                <w:b/>
                <w:color w:val="000000"/>
                <w:sz w:val="16"/>
              </w:rPr>
              <w:t xml:space="preserve">Approximate date of commencement of proposed sale to the public: </w:t>
            </w:r>
            <w:r>
              <w:rPr>
                <w:rFonts w:ascii="Times New Roman;serif" w:hAnsi="Times New Roman;serif"/>
                <w:b w:val="false"/>
                <w:color w:val="000000"/>
                <w:sz w:val="16"/>
              </w:rPr>
              <w:t>As soon as practicable after this Registration Statement becomes effective.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___________________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ind w:left="0" w:right="0" w:firstLine="720"/>
              <w:jc w:val="left"/>
              <w:rPr/>
            </w:pPr>
            <w:r>
              <w:rPr>
                <w:rFonts w:ascii="Times New Roman;serif" w:hAnsi="Times New Roman;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ind w:left="0" w:right="0" w:firstLine="720"/>
              <w:jc w:val="left"/>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ind w:left="0" w:right="0" w:firstLine="720"/>
              <w:jc w:val="left"/>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ind w:left="0" w:right="0" w:firstLine="720"/>
              <w:jc w:val="left"/>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22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07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151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330" w:type="dxa"/>
            <w:gridSpan w:val="6"/>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070"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18"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r>
        <w:trPr/>
        <w:tc>
          <w:tcPr>
            <w:tcW w:w="22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07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151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330" w:type="dxa"/>
            <w:gridSpan w:val="6"/>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070"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1518"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r>
        <w:trPr/>
        <w:tc>
          <w:tcPr>
            <w:tcW w:w="22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07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151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2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070"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1518"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6"/>
        <w:gridCol w:w="550"/>
        <w:gridCol w:w="550"/>
        <w:gridCol w:w="550"/>
        <w:gridCol w:w="550"/>
        <w:gridCol w:w="550"/>
        <w:gridCol w:w="550"/>
        <w:gridCol w:w="550"/>
        <w:gridCol w:w="550"/>
        <w:gridCol w:w="550"/>
        <w:gridCol w:w="550"/>
        <w:gridCol w:w="550"/>
        <w:gridCol w:w="550"/>
        <w:gridCol w:w="550"/>
        <w:gridCol w:w="550"/>
        <w:gridCol w:w="550"/>
        <w:gridCol w:w="550"/>
        <w:gridCol w:w="779"/>
      </w:tblGrid>
      <w:tr>
        <w:trPr/>
        <w:tc>
          <w:tcPr>
            <w:tcW w:w="6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tc>
      </w:tr>
      <w:tr>
        <w:trPr/>
        <w:tc>
          <w:tcPr>
            <w:tcW w:w="10205" w:type="dxa"/>
            <w:gridSpan w:val="18"/>
            <w:tcBorders>
              <w:bottom w:val="double" w:sz="13"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- 2 -</w:t>
                      </w:r>
                    </w:p>
                  </w:txbxContent>
                </v:textbox>
                <w10:wrap type="none"/>
              </v:rect>
            </w:pict>
          </mc:Fallback>
        </mc:AlternateContent>
      </w:r>
    </w:p>
    <w:p>
      <w:pPr>
        <w:pStyle w:val="TextBody"/>
        <w:bidi w:val="0"/>
        <w:spacing w:lineRule="auto" w:line="276" w:before="0" w:after="240"/>
        <w:jc w:val="left"/>
        <w:rPr/>
      </w:pPr>
      <w:r>
        <w:rPr>
          <w:rFonts w:ascii="Times New Roman;serif" w:hAnsi="Times New Roman;serif"/>
          <w:b/>
          <w:color w:val="FF0000"/>
          <w:sz w:val="20"/>
        </w:rPr>
        <w:t>The information in this preliminary prospectus is not complete and may be changed. The selling stockholders may not sell these securities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r>
        <w:rPr>
          <w:color w:val="FF0000"/>
        </w:rPr>
        <w:t xml:space="preserve"> </w:t>
      </w:r>
    </w:p>
    <w:p>
      <w:pPr>
        <w:pStyle w:val="TextBody"/>
        <w:bidi w:val="0"/>
        <w:spacing w:lineRule="auto" w:line="276" w:before="0" w:after="240"/>
        <w:jc w:val="center"/>
        <w:rPr>
          <w:rFonts w:ascii="Times New Roman;serif" w:hAnsi="Times New Roman;serif"/>
          <w:b/>
          <w:color w:val="FF0000"/>
          <w:sz w:val="20"/>
        </w:rPr>
      </w:pPr>
      <w:r>
        <w:rPr>
          <w:rFonts w:ascii="Times New Roman;serif" w:hAnsi="Times New Roman;serif"/>
          <w:b/>
          <w:color w:val="FF0000"/>
          <w:sz w:val="20"/>
        </w:rPr>
        <w:t>SUBJECT TO COMPLETION, DATED NOVEMBER 26, 2025</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240"/>
        <w:jc w:val="center"/>
        <w:rPr/>
      </w:pPr>
      <w:r>
        <w:rPr/>
        <w:drawing>
          <wp:inline distT="0" distB="0" distL="0" distR="0">
            <wp:extent cx="2638425" cy="514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38425" cy="514350"/>
                    </a:xfrm>
                    <a:prstGeom prst="rect">
                      <a:avLst/>
                    </a:prstGeom>
                  </pic:spPr>
                </pic:pic>
              </a:graphicData>
            </a:graphic>
          </wp:inline>
        </w:drawing>
      </w:r>
    </w:p>
    <w:p>
      <w:pPr>
        <w:pStyle w:val="TextBody"/>
        <w:bidi w:val="0"/>
        <w:spacing w:lineRule="auto" w:line="276" w:before="0" w:after="240"/>
        <w:jc w:val="center"/>
        <w:rPr>
          <w:rFonts w:ascii="Times New Roman;serif" w:hAnsi="Times New Roman;serif"/>
          <w:b/>
          <w:color w:val="000000"/>
          <w:sz w:val="36"/>
        </w:rPr>
      </w:pPr>
      <w:r>
        <w:rPr>
          <w:rFonts w:ascii="Times New Roman;serif" w:hAnsi="Times New Roman;serif"/>
          <w:b/>
          <w:color w:val="000000"/>
          <w:sz w:val="36"/>
        </w:rPr>
        <w:t>GoHealth, Inc.</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12,026,489 Shares of Class A Common Stock</w:t>
      </w:r>
    </w:p>
    <w:p>
      <w:pPr>
        <w:pStyle w:val="TextBody"/>
        <w:bidi w:val="0"/>
        <w:spacing w:before="0" w:after="240"/>
        <w:jc w:val="center"/>
        <w:rPr/>
      </w:pPr>
      <w:r>
        <w:rPr/>
        <w:drawing>
          <wp:inline distT="0" distB="0" distL="0" distR="0">
            <wp:extent cx="5943600" cy="190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943600" cy="19050"/>
                    </a:xfrm>
                    <a:prstGeom prst="rect">
                      <a:avLst/>
                    </a:prstGeom>
                  </pic:spPr>
                </pic:pic>
              </a:graphicData>
            </a:graphic>
          </wp:inline>
        </w:drawing>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offer and sale, from time to time, by the selling stockholders identified in this prospectus (the “Selling Stockholders”) of up to 12,026,489 shares of Class A common stock, par value $0.0001 per share (the “Class A common stock”), of GoHealth, Inc. (“GoHealth,” the “Company,” “we,” “us” or “our”).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from time to time offer and sell shares of Class A common stock covered by this prospectus through underwriters, broker-dealers or agents, or directly to purchasers. The shares of Class A common stock may be sold in one or more transactions at fixed prices, at prevailing market prices at the time of the sale, at varying prices determined at the time of sale, or at negotiated prices, or through any other means described under “Plan of Distribution.”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describes the general manner in which shares of Class A common stock may be offered and sold by the Selling Stockholders. When the Selling Stockholders offer and sell shares of Class A common stock under this prospectus, we may, to the extent required by law, provide a prospectus supplement that will contain specific information about the terms of that offering.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registration of the Class A common stock covered by this prospectus does not mean that the Selling Stockholders will offer or sell any shares of Class A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selling any shares of Class A common stock under this prospectus and we will not receive any proceeds from the sale of shares of Class A common stock by the Selling Stockholders pursuant to this prospectus. We have agreed to pay certain expenses incurred in connection with the registration of the shares of Class A common stock covered by this prospectus. The Selling Stockholders will be responsible for any underwriting discounts and selling commissions.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Market (“Nasdaq”) under the symbol “GOCO.” On November 25, 2025, the last reported sale price of the Class A common stock was $2.93 per share.</w:t>
      </w:r>
    </w:p>
    <w:p>
      <w:pPr>
        <w:pStyle w:val="TextBody"/>
        <w:bidi w:val="0"/>
        <w:spacing w:lineRule="auto" w:line="276"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Investing in our Class A common stock involves risks. See “Risk Factors” beginning on page 5 of this prospectus and any risk factors described in any applicable prospectus supplement and in the documents incorporated by reference in this prospectus and the applicable prospectus supplement for factors you should consider before making the decision to invest in our Class A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The date of this prospectus is , 2025</w:t>
      </w:r>
    </w:p>
    <w:p>
      <w:pPr>
        <w:pStyle w:val="TextBody"/>
        <w:bidi w:val="0"/>
        <w:spacing w:before="0" w:after="240"/>
        <w:jc w:val="left"/>
        <w:rPr/>
      </w:pPr>
      <w:r>
        <w:rPr/>
        <w:drawing>
          <wp:inline distT="0" distB="0" distL="0" distR="0">
            <wp:extent cx="5943600" cy="190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5943600" cy="19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CAUTIONARY NOTE REGARDING FORWARD-LOOKING STATEMENTS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3</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RISK FACTORS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5</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USE OF PROCEEDS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6</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DESCRIPTION OF CAPITAL STOCK</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7</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SELLING STOCKHOLDERS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14</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PLAN OF DISTRIBUTION</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19</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LEGAL MATTERS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23</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EXPERTS</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24</w:t>
        </w:r>
      </w:hyperlink>
    </w:p>
    <w:p>
      <w:pPr>
        <w:pStyle w:val="TextBody"/>
        <w:bidi w:val="0"/>
        <w:spacing w:lineRule="auto" w:line="276" w:before="0" w:after="0"/>
        <w:ind w:left="0" w:right="0" w:hanging="360"/>
        <w:jc w:val="left"/>
        <w:rPr/>
      </w:pPr>
      <w:hyperlink w:anchor="ic6f39a7cec874050bc9e2add64b3f52b_10">
        <w:r>
          <w:rPr>
            <w:rStyle w:val="InternetLink"/>
            <w:rFonts w:ascii="Times New Roman;serif" w:hAnsi="Times New Roman;serif"/>
            <w:b w:val="false"/>
            <w:color w:val="000000"/>
            <w:sz w:val="20"/>
            <w:u w:val="single"/>
          </w:rPr>
          <w:t>WHERE YOU CAN FIND ADDITIONAL INFORMATION</w:t>
        </w:r>
      </w:hyperlink>
      <w:hyperlink w:anchor="ic6f39a7cec874050bc9e2add64b3f52b_10">
        <w:r>
          <w:rPr>
            <w:rStyle w:val="InternetLink"/>
            <w:strike w:val="false"/>
            <w:dstrike w:val="false"/>
            <w:color w:val="000000"/>
            <w:u w:val="none"/>
            <w:effect w:val="none"/>
          </w:rPr>
          <w:t>    </w:t>
        </w:r>
      </w:hyperlink>
      <w:hyperlink w:anchor="ic6f39a7cec874050bc9e2add64b3f52b_10">
        <w:r>
          <w:rPr>
            <w:rStyle w:val="InternetLink"/>
            <w:rFonts w:ascii="Times New Roman;serif" w:hAnsi="Times New Roman;serif"/>
            <w:b w:val="false"/>
            <w:strike w:val="false"/>
            <w:dstrike w:val="false"/>
            <w:color w:val="000000"/>
            <w:sz w:val="20"/>
            <w:u w:val="none"/>
            <w:effect w:val="none"/>
          </w:rPr>
          <w:t>25</w:t>
        </w:r>
      </w:hyperlink>
    </w:p>
    <w:p>
      <w:pPr>
        <w:pStyle w:val="TextBody"/>
        <w:bidi w:val="0"/>
        <w:spacing w:before="0" w:after="240"/>
        <w:jc w:val="right"/>
        <w:rPr/>
      </w:pPr>
      <w:r>
        <w:rPr/>
      </w:r>
    </w:p>
    <w:p>
      <w:pPr>
        <w:pStyle w:val="TextBody"/>
        <w:bidi w:val="0"/>
        <w:spacing w:before="0" w:after="240"/>
        <w:jc w:val="right"/>
        <w:rPr/>
      </w:pPr>
      <w:r>
        <w:rPr/>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this shelf registration process, the Selling Stockholders may, from time to time, offer and sell the shares of Class A common stock described in this prospectus in one or more offerings.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or post-effective amendment to this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Additional Information.” You should assume that the information in this prospectus and, if applicable, any prospectus supplement is accurate only as of the date on its respective cover and that any information we have incorporated by reference is accurate only as of the date of the document incorporated by reference, regardless of the time of delivery of this prospectus and, if applicable, any prospectus supplement or of any sale of our Class A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do not constitute an offer to sell or the solicitation of an offer to buy any securities in any jurisdiction to any person to whom it is unlawful to make such offer or solicitation.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all references in this prospectus to “GoHealth,” the “Company,” “we,” “us” or “our” refer to GoHealth, Inc.</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it, which means we can disclose important information to you by referring you to those documents. The following documents (other than any portions of such documents, including any exhibits, that are deemed to have been furnished and not filed with the SEC) are incorporated by reference into this prospectus: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Annual Report on Form 10-K for the fiscal year ended December 31, 2024 filed with the SEC on </w:t>
      </w:r>
      <w:hyperlink r:id="rId5">
        <w:r>
          <w:rPr>
            <w:rStyle w:val="InternetLink"/>
            <w:rFonts w:ascii="Times New Roman;serif" w:hAnsi="Times New Roman;serif"/>
            <w:b w:val="false"/>
            <w:color w:val="0000FF"/>
            <w:sz w:val="20"/>
            <w:u w:val="single"/>
          </w:rPr>
          <w:t>February 27, 2025</w:t>
        </w:r>
      </w:hyperlink>
      <w:r>
        <w:rPr>
          <w:rFonts w:ascii="Times New Roman;serif" w:hAnsi="Times New Roman;serif"/>
          <w:b w:val="false"/>
          <w:color w:val="000000"/>
          <w:sz w:val="20"/>
        </w:rPr>
        <w:t>;</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Quarterly Reports on Form 10-Q for the quarterly periods ended March 31, 2025, June 30, 2025 and September 30, 2025 filed with the SEC on </w:t>
      </w:r>
      <w:hyperlink r:id="rId6">
        <w:r>
          <w:rPr>
            <w:rStyle w:val="InternetLink"/>
            <w:rFonts w:ascii="Times New Roman;serif" w:hAnsi="Times New Roman;serif"/>
            <w:b w:val="false"/>
            <w:color w:val="0000FF"/>
            <w:sz w:val="20"/>
            <w:u w:val="single"/>
          </w:rPr>
          <w:t>May 16, 2025</w:t>
        </w:r>
      </w:hyperlink>
      <w:r>
        <w:rPr>
          <w:rFonts w:ascii="Times New Roman;serif" w:hAnsi="Times New Roman;serif"/>
          <w:b w:val="false"/>
          <w:color w:val="000000"/>
          <w:sz w:val="20"/>
        </w:rPr>
        <w:t>, </w:t>
      </w:r>
      <w:hyperlink r:id="rId7">
        <w:r>
          <w:rPr>
            <w:rStyle w:val="InternetLink"/>
            <w:rFonts w:ascii="Times New Roman;serif" w:hAnsi="Times New Roman;serif"/>
            <w:b w:val="false"/>
            <w:color w:val="0000FF"/>
            <w:sz w:val="20"/>
            <w:u w:val="single"/>
          </w:rPr>
          <w:t>August 12, 2025</w:t>
        </w:r>
      </w:hyperlink>
      <w:r>
        <w:rPr>
          <w:color w:val="000000"/>
        </w:rPr>
        <w:t> </w:t>
      </w:r>
      <w:r>
        <w:rPr>
          <w:rFonts w:ascii="Times New Roman;serif" w:hAnsi="Times New Roman;serif"/>
          <w:b w:val="false"/>
          <w:color w:val="000000"/>
          <w:sz w:val="20"/>
        </w:rPr>
        <w:t xml:space="preserve">and </w:t>
      </w:r>
      <w:hyperlink r:id="rId8">
        <w:r>
          <w:rPr>
            <w:rStyle w:val="InternetLink"/>
            <w:rFonts w:ascii="Times New Roman;serif" w:hAnsi="Times New Roman;serif"/>
            <w:b w:val="false"/>
            <w:color w:val="0000FF"/>
            <w:sz w:val="20"/>
            <w:u w:val="single"/>
          </w:rPr>
          <w:t>November 14, 2025</w:t>
        </w:r>
      </w:hyperlink>
      <w:r>
        <w:rPr>
          <w:rFonts w:ascii="Times New Roman;serif" w:hAnsi="Times New Roman;serif"/>
          <w:b w:val="false"/>
          <w:color w:val="000000"/>
          <w:sz w:val="20"/>
        </w:rPr>
        <w:t>, respectively;</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Current Reports on Form 8-K filed with the SEC on each of </w:t>
      </w:r>
      <w:hyperlink r:id="rId9">
        <w:r>
          <w:rPr>
            <w:rStyle w:val="InternetLink"/>
            <w:rFonts w:ascii="Times New Roman;serif" w:hAnsi="Times New Roman;serif"/>
            <w:b w:val="false"/>
            <w:color w:val="0000FF"/>
            <w:sz w:val="20"/>
            <w:u w:val="single"/>
          </w:rPr>
          <w:t>April 7, 2025</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June 20, 2025</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June 30, 2025</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August 7, 2025</w:t>
        </w:r>
      </w:hyperlink>
      <w:r>
        <w:rPr>
          <w:color w:val="000000"/>
        </w:rPr>
        <w:t xml:space="preserve"> </w:t>
      </w:r>
      <w:r>
        <w:rPr>
          <w:rFonts w:ascii="Times New Roman;serif" w:hAnsi="Times New Roman;serif"/>
          <w:b w:val="false"/>
          <w:color w:val="000000"/>
          <w:sz w:val="20"/>
        </w:rPr>
        <w:t xml:space="preserve">and </w:t>
      </w:r>
      <w:hyperlink r:id="rId13">
        <w:r>
          <w:rPr>
            <w:rStyle w:val="InternetLink"/>
            <w:rFonts w:ascii="Times New Roman;serif" w:hAnsi="Times New Roman;serif"/>
            <w:b w:val="false"/>
            <w:color w:val="0000FF"/>
            <w:sz w:val="20"/>
            <w:u w:val="single"/>
          </w:rPr>
          <w:t>August 19, 2025</w:t>
        </w:r>
      </w:hyperlink>
      <w:r>
        <w:rPr>
          <w:rFonts w:ascii="Times New Roman;serif" w:hAnsi="Times New Roman;serif"/>
          <w:b w:val="false"/>
          <w:color w:val="000000"/>
          <w:sz w:val="20"/>
        </w:rPr>
        <w:t xml:space="preserve">; and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the description of our securities contained in Exhibit 4.2 to our Annual Report on Form 10-K filed with the SEC on </w:t>
      </w:r>
      <w:hyperlink r:id="rId14">
        <w:r>
          <w:rPr>
            <w:rStyle w:val="InternetLink"/>
            <w:rFonts w:ascii="Times New Roman;serif" w:hAnsi="Times New Roman;serif"/>
            <w:b w:val="false"/>
            <w:color w:val="0000FF"/>
            <w:sz w:val="20"/>
            <w:u w:val="single"/>
          </w:rPr>
          <w:t>March 16, 2021</w:t>
        </w:r>
      </w:hyperlink>
      <w:r>
        <w:rPr>
          <w:rFonts w:ascii="Times New Roman;serif" w:hAnsi="Times New Roman;serif"/>
          <w:b w:val="false"/>
          <w:color w:val="000000"/>
          <w:sz w:val="20"/>
        </w:rPr>
        <w:t>, including any amendment or report filed for the purpose of updating such description.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incorporate by reference into this prospectus all documents that we file under Section 13(a), 13(c), 14 or 15(d) of the Securities Exchange Act of 1934, as amended (the “Exchange Act”), other than any documents or portions of documents that are deemed to have been furnished and not filed with the SEC, after the date of this prospectus and prior to the termination of any offering contemplated by this prospectus.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this prospectus or in a document incorporated or deemed to be incorporated by reference herein shall be deemed to be modified or superseded, for purposes of this prospectus, to the extent that a statement contained herein or in any other subsequently filed or furnished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Any statement so modified or superseded shall not be deemed, except as so modified or superseded, to constitute a part of this prospectus.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Copies of the documents incorporated herein by reference may be obtained without charge upon request directed to GoHealth, Inc., 222 W Merchandise Mart Plaza, Suite 1750, Chicago, IL 60654, telephone number (312) 386-8200.</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of 1933, as amended, (the “Securities Act”), and Section 21E of the Exchange Act. These forward-looking statements are made in reliance upon the safe harbor provision of the Private Securities Litigation Reform Act of 1995.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Insurance, Inc. (“e-TeleQuote”) and our ability to successfully integrate e-TeleQuote’s operations, technologies and employees into our business, are forward-looking statements.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prospectus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prospectus and are subject to a number of important factors that could cause actual results to differ materially from those in the forward-looking statements, including:</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potential for an adverse change in our relationships with health plan partners, including a loss of health plan partner relationships;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health plan partners’ ability to reduce commissions paid to us and adversely change their underwriting practices;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reliance on a small group of health plan partners for a substantial portion of our revenue;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ability to comply with the numerous, complex and frequently changing laws regulating the marketing and sale of Medicare plans;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changes in the health insurance system and laws and regulation governing health insurance markets;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factors that adversely impact our estimate of Lifetime Value of Commissions;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reliance on data provided to us by health plan partners;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risks related to our expansion of the Encompass operating model;</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ability to realize the expected benefits from our strategic cash flow optimization and other cash management initiatives;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ability to attract and retain employees;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dependence on our licensed health insurance agents to sell Medicare-related health insurance plans;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potential disruptions in our business from acquisitions of other businesses or technologies;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information technology systems failures and security risks;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failure to grow our customer base or retain our existing customers;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volatility in general economic conditions, including inflation, interest rates, and other commodity prices and exchange rates;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legal proceedings;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need for additional capital to operate and grow our business;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liquidity position and ability to service our indebtedness;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risks relating to sales of a substantial number of shares of Class A common stock in the public market or the perception that such sales may occur;</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significant influence that our founders and principal stockholders have over us, including control over decisions that require the approval of stockholders; and •any other factors discussed in this prospectus or the applicable prospectus supplement.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and the documents that we reference in this prospectus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approximately 66 million Medicare-eligible Americans as of September 30, 2025, as well as the approximately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 as of September 30, 2025.</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GoHealth, Inc. is a Delaware corporation. Our principal executive offices are located at 222 W Merchandise Mart Plaza, Suite 1750, Chicago, IL 60654, and our telephone number is (312) 386-8200. Our principal website address is www.gohealth.com. Information contained in, or accessible through, our website is not a part of, and is not incorporated into,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76"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risks. You should consider carefully the risks and uncertainties described in our Annual Report on Form 10-K for the most recently completed fiscal year and subsequent Quarterly Reports on Form 10-Q, together with all of the other information included in or incorporated by reference into this prospectus and the applicable prospectus supplement before deciding whether to purchase any shares of our Class A common stock. You should be aware that it is not possible to predict or identify all of the risks to our business and financial condition and that the risk factors described in our Annual Report on Form 10-K, Quarterly Reports on Form 10-Q and other information included in or incorporated by reference into this prospectus and the applicable prospectus supplement are not meant to be a complete discussion of all potential risks or uncertainties. We may face additional risks and uncertainties that are not presently known to us or that we currently deem immaterial, which may also impair our business or financial condition. In such event, the market price of our Class A common stock could decline, and you could lose all or part of your investment.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resale of any shares of Class A common stock offered by this prospectus by the Selling Stockholders. The Selling Stockholders will receive all of the proceeds from any sale.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amended and restated certificate of incorporation and amended and restated bylaws. The following description may not contain all of the information that is important to you. To understand the material terms of our Class A common stock, you should read our amended and restated certificate of incorporation and amended and restated bylaws, copies of which have been filed with the SEC as exhibits to the registration statement, of which this prospectus is a part.</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capital stock consisting of:</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1,100,000,000 shares of Class A common stock, par value $0.0001 per share;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690,000,000 shares of Class B common stock, par value $0.0001 per share; and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20,000,000 shares of preferred stock, par value $0.0001 per share.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13, 2025, we had 16,093,116, 12,620,884 and 50,000 shares of Class A common stock, Class B common stock and Series A convertible preferred stock issued and outstanding, respectively.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summary describes the material provisions of our capital stock. We urge you to read the below in conjunction with our amended and restated certificate of incorporation and our amended and restated bylaws.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one vote for each share held of record on all matters submitted to a vote of stockholders.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receive dividends when and if declared by our board of directors (the “Board”)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our dissolution or liquidation, after payment in full of all amounts required to be paid to creditors and to the holders of preferred stock having liquidation preferences, if any, the holders of shares of our Class A common stock and Class B common stock are entitled to receive ratable portions of our remaining assets available for distribution; provided, that the holders of shares of Class B common stock shall not be entitled to receive more than $0.0001 per share of Class B common stock and upon receiving such amount, shall not be entitled to receive any of our other assets or funds with respect to such shares of Class B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do not have preemptive, subscription, redemption, or conversion rights with respect to such share of Class A common stock. There are no redemption or sinking fund provisions applicable to the Class A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share of our Class B common stock entitles its holders to one vote per share on all matters presented to our stockholders generally.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 are issued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are permitted transferees of Class B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are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 (2) any right to convert into or be exchanged for Class A common stock or (3) any other economic rights will require, in addition to stockholder approval, the affirmative vote of holders of our Class A common stock voting separately as a class.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of our authorized shares of preferred stock is 20,000,000 shares.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is authorized to direct us to issue shares of preferred stock in one or more series without stockholder approval. The Board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Series A Convertible Perpetual 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2022, we issued 50,000 shares of Series A Convertible Perpetual Preferred Stock, par value $0.0001 per share (the “Series A convertible preferred stock”), for an aggregate purchase price of $50.0 million, at $1,000 per share of the Series A convertible 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A convertible preferred stock ranks senior to the shares of Class A common stock and Class B common stock with respect to dividend rights and rights on the distribution of assets on any voluntary or involuntary liquidation, dissolution or winding up of the affairs of the Company. The Series A convertible preferred stock has an initial liquidation preference of $1,000 per share, which shall increase by accumulated quarterly dividends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not paid in cash. Dividends on each share of Series A convertible preferred stock accrue at an annual rate equal to 7%.</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A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September 30, 2025 and subject to adjustment based on certain changes to our Class A common stock) as of the applicable conversion date. Notwithstanding the foregoing, a holder of Series A convertible preferred stock may elect to receive upon conversion, in lieu of the shares of Class A common stock otherwise deliverable, one share of our Series A-1 Convertible Non-Voting Perpetual Preferred Stock, par value $0.0001 per share (the “Series A-1 convertible preferred stock”), for every 1,000 shares of Class A common stock otherwise deliverable upon conversion. The Series A-1 convertible preferred stock will be essentially a substitute for the Class A common stock in the form of non-voting preferred stock. Holders of Series A-1 convertible preferred stock are only entitled to dividends if the Company declares such dividends.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Series A convertible preferred stock and Series A-1 convertible preferred stock contain certain anti-dilution adjustments. Subject to certain conditions, at any time after the third anniversary of the issuance of the Series A convertible preferred stock, if the volume weighted average price per share of Class A common stock on Nasdaq is equal to or greater than 150.0% of the then-applicable conversion price for each of at least 20 trading days, whether or not consecutive, in any period of 30 consecutive trading days ending on and including the trading day immediately before we provide the holders with notice of its election to convert all or a portion of the Series A convertible preferred stock into the relevant number of shares of Class A common stock or Series A-1 convertible preferred stock (at the election of the holder), we may elect to convert all or a portion of the Series A convertible preferred stock into the relevant number of shares of Class A common stock or Series A-1 convertible preferred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affairs of the Company, the holders of shares of Series A-1 convertible preferred stock (if issued upon conversion of the Series A convertible preferred stock) will be entitled, out of assets legally available therefor, and subject to the rights of the holders of any senior stock (including the Series A convertible preferred stock) or parity stock (including the Class A common stock and Class B common stock) and the rights of our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convertible preferred stock) shall be entitled to receive when, as and if declared by the Board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Series A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Nasdaq listing rules. In addition, holders of the Series A convertible preferred stock are entitled to a separate class vote with respect to certain matters. The Series A-1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any time following the fifth anniversary of the issuance of the Series A convertible preferred stock, we may redeem the Series A convertible preferred stock, in whole or in part, for a per share amount in cash equal to the liquidation preference (reflecting increases for compounded dividends) thereof plus all accrued dividends as of the applicable redemption date. Upon certain change of control events, (i) a holder of the Series A convertible preferred stock may, so long as such payment would not otherwise result in a breach of, or event of default under, then-existing credit agreements, indentures or other financing arrangements, require us to purchase and (ii) subject to a holder’s right to convert its shares of Series A convertible preferred stock into Class A common stock or Series A-1 convertible preferred stock at the then-current conversion price, we may elect to purchase, all or a portion of such holder’s shares of Series A convertible preferred stock that have not been so converted, in each case at a purchase price per share of Series A convertible preferred stock, payable in cash, equal to (i) if the change of control effective date occurs at any time prior to the fifth anniversary of the issuance of the Series A convertible preferred stock, 160.0% of a purchaser’s original investment amount and (ii) if the change of control effective date occurs on or after the fifth anniversary of the issuance of the Series A convertible preferred stock, the liquidation preference (reflecting increases for compounded dividends) of such share of Series A convertible preferred stock plus the accrued dividends in respect of such share of Series A convertible preferred stock as of the change of control purchase date.</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Forum Selection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and Exchange Act. Our amended and restated certificate of incorporation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deemed to have waived our compliance with the federal securities laws and the rules and regulations thereunder.</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Declaration and payment of any dividend are subject to the discretion of the Board. The time and amount of dividends is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the Board may consider relevant.</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our stockholders. However, they also give the Board the power to discourage acquisitions that some stockholders may favor.</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Authorized but Unissued Shares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authorized but unissued shares of our common stock and our preferred stock are available for future issuance without stockholder approval, subject to any limitations imposed by the Nasdaq listing rules. These additional shares may be used for a variety of corporate finance transactions, acquisitions and employee benefit plans and funding of redemptions of the common units of GoHealth Holdings, LLC, including those that we purchased with a portion of the net proceeds from our initial public offering (“LLC Interests”).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Classified Board of Directors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Board is divided into three classes, with the classes as nearly equal in number as possible and each class serving three-year staggered terms. Our amended and restated certificate of incorporation also provides that subject to the rights of the holders of any series of preferred stock then outstanding, for as long as the amended and restated certificate of incorporation provides for a classified board of directors, any director, or the entire Board, may otherwise be removed only for cause by an affirmative vote of at least 66 2/3% of the voting power of all the outstanding shares of stock entitled to vote generally in the election of directors, at a meeting duly called for that purpose; provided, however, that the directors appointed pursuant to the Stockholders Agreement among Centerbridge, NVX Holdings and us (the “Stockholders Agreement”) may be removed with or without cause in accordance with the terms thereof and the requirements of the DGCL. These provisions may have the effect of deferring, delaying or discouraging hostile takeovers, or changes in control of us or our management.</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Stockholder Action by Written Consent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at any time when Centerbridge Capital Partners III, L.P., our sponsor and a Delaware limited partnership, certain funds affiliated with Centerbridge Capital Partners III, L.P. and other entities over which Centerbridge Capital Partners III, L.P. has voting control (collectively, “Centerbridge”) beneficially owns, in the aggregate, at least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Special Meetings of Stockholders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only the chairperson or co-chairperson of the Board or a majority of the Board may call special meetings of our stockholders.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Advance Notice Requirements for Stockholder Proposals and Director Nominations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amended and restated bylaws establishes an advance notice procedure for stockholder proposals to be brought before an annual meeting of stockholders, including proposed nominations of candidates for election to the Board; provided, however, that so long as Centerbridge is entitled to nominate a director pursuant to the Stockholders Agreement, such advance notice provisions do not apply to Centerbridge in connection with the nomination of directors. In order for any matter to be “properly brought” before a meeting, a stockholder has to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comply with advance notice and duration of ownership requirements and provide us with certain information. Stockholders at an annual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Amendment of Certificate of Incorporation or Bylaws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(i) a majority vote of the Board or (ii) at any time when Centerbridge beneficially owns, in the aggregate, less than 40% in voting power of the corporation entitled to vote generally in the election of directors, by the affirmative vote of at least 66 2/3% of the voting power of all outstanding voting stock of the corporation entitled to vote, voting together as a single class.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Section 203 of the DGCL</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the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under our amended and restated certificate of incorporation, Centerbridge and NVX Holdings, Inc., a Delaware corporation that is controlled by Brandon M. Cruz, our Co-Founder and Chief Strategy Officer and Special Advisor to the Executive Team, and Clinton P. Jones, our Co-Founder and Chief Executive Officer (“NVX Holdings”) and any of their respective affiliates are not deemed to be interested stockholders regardless of the percentage of our outstanding voting stock owned by them, and accordingly are not subject to such restrictions.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may be held not to be enforceable for violations of the federal securities laws of the United States.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Corporate Opportunity Doctrine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 by Delaware law, provides that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not have a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Dissenters’ Rights of Appraisal and Payment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DGCL, with certain exceptions, our stockholders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Stockholders’ Derivative Actions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Trading Symbol and Market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Nasdaq under the symbol “GOCO.”</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the resale by the Selling Stockholders from time to time of up to 12,026,489 shares of Class A common stock, consisting of (i) 7,260,270 shares of Class A common stock that may be offered and sold by the IPO Selling Stockholders (as defined below), including 7,180,734 shares of Class A common stock that are issuable upon the exchange of common units (“LLC Interests”) of GoHealth Holdings, LLC and the cancellation of a corresponding number of shares of our Class B common stock and (ii) 4,766,219 shares of Class A common stock that may be offered and sold by the Lender Selling Stockholders (as defined below).</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initial public offering (“IPO”), we entered into a Registration Rights Agreement with certain of our pre-IPO stockholders (the “IPO Selling Stockholders”), pursuant to which we agreed to provide such IPO Selling Stockholders with certain “demand” and “piggyback” registration rights with respect to the shares of Class A common stock held by them, including shares of Class A common stock that are issuable upon the exchange of LLC Interests and the cancellation of a corresponding number of shares of Class B common stock. In connection with our initial public offering and the related reorganization transactions, we issued to the IPO Selling Stockholders one share of Class B common stock for each LLC Interest that they held immediately following our IPO and the related reorganization transactions. Each IPO Selling Stockholder may exchange, at its option (subject in certain circumstances to time-based vesting requirements and certain other restrictions set forth in the Second Amended and Restated Limited Liability Company Agreement of GoHealth Holdings, LLC dated July 15, 2020, as amended), in whole or in part from time to time, its LLC Interests (along with an equal number of shares of Class B common stock (and such shares of Class B common stock shall be immediately cancelled)), for, at our election (determined by at least two of our independent directors (within the meaning of the Nasdaq rules) who are disinterested), cash or newly-issued shares of Class A common stock. Mr. Jones and Mr. Cruz are directors and Co-Chairmen of the Board. See “Certain Relationships and Related Person Transactions” in the proxy statement for our 2025 annual meeting of stockholders for additional information. For additional information, see “Where You Can Find Additional Information” included elsewhere in this prospectus.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6, 2025 (the “Closing Date”), Norvax, LLC, a Delaware limited liability company and a wholly owned subsidiary of the Company (the “Borrower”), and Blizzard Midco, LLC, a Delaware limited liability company and a wholly owned subsidiary of the Company (“Holdings”), entered into Amendment No. 14 (the “Amendment”) to the Credit Agreement, dated as of September 13, 2019 (as amended), with the lenders party thereto and Blue Torch Finance, LLC, as administrative agent and as collateral agent. As consideration for, and as a condition to, the lenders’ entry into Amendment No. 14, the Company issued to such lenders or their affiliates (herein referred to as the “Lender Selling Stockholders” and, together with the IPO Selling Stockholders, the “Selling Stockholders”) an aggregate of 4,766,219 shares of Class A common stock in a private placement. In connection with the issuance of Class A common stock to the Lender Selling Stockholders, the Company and the Lender Selling Stockholders entered into a Registration Rights Agreement, dated as of August 27, 2025, pursuant to which we agreed to prepare and file a registration statement to permit the resale of such shares of Class A common stock from time to time as permitted by Rule 415 under the Securities Act.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the Closing Date, the Borrower and Holdings entered into a Superpriority Senior Secured Credit Agreement (the “Priming Credit Agreement”) with the lenders party thereto, and Blue Torch Finance, LLC, as administrative agent and as collateral agent. As a condition to the lenders’ entry into the Priming Credit Agreement and the Amendment, on the Closing Date, the Board appointed three new directors and three existing directors of the Board resigned and departed the Board. In addition, the Board established a committee of the Board called the “Transformation Committee,” which has the exclusive power and authority to review, formulate and negotiate, and recommend to the Board for approval, various strategic alternatives, including, among others, refinancings, securitizations, mergers, acquisitions or restructurings. The Transformation Committee also works together with the Compensation Committee of the Board to review and recommend to the Board, as necessary, any employee incentive plans designed to retain employees and certain other compensation arrangements. Until the fourth anniversary of the Closing Date, any modification to the authority of the Transformation Committee and certain other governance changes must comply with the Priming Credit Agreement and the Amendment, and the Lender Selling Stockholders or their affiliates are lenders thereunder.</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as of the date of this prospectus, the names of the Selling Stockholders, the aggregate number of shares of Class A common stock beneficially owned prior to the offering, the aggregate number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of shares of Class A common stock that the Selling Stockholders may offer pursuant to this prospectus, and the number of shares of Class A common stock beneficially owned by, and percentage ownership of, the Selling Stockholders after the sale of the shares of Class A common stock offered hereby. Unless otherwise indicated, we have based percentage ownership following the offering on 16,093,116 shares of Class A common stock outstanding as of November 13, 2025 and have assumed that each Selling Stockholder will sell all shares of Class A common stock offered pursuant to this prospectus.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shares of Class A common stock that they beneficially own, subject to community property laws where applicable.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advise you as to whether the Selling Stockholders will in fact sell any or all of such Class A common stock. In addition, the Selling Stockholders may sell, transfer or otherwise dispose of, at any time and from time to time, the Class A common stock in transactions exempt from the registration requirements of the Securities Act after the date of this prospectus. For purposes of this table, except as otherwise set forth herein, we have assumed that the Selling Stockholders will have sold all of the shares of Class A common stock covered by this prospectus upon the completion of the offering.</w:t>
      </w:r>
    </w:p>
    <w:tbl>
      <w:tblPr>
        <w:tblW w:w="10205" w:type="dxa"/>
        <w:jc w:val="left"/>
        <w:tblInd w:w="0" w:type="dxa"/>
        <w:tblLayout w:type="fixed"/>
        <w:tblCellMar>
          <w:top w:w="28" w:type="dxa"/>
          <w:left w:w="28" w:type="dxa"/>
          <w:bottom w:w="28" w:type="dxa"/>
          <w:right w:w="28" w:type="dxa"/>
        </w:tblCellMar>
      </w:tblPr>
      <w:tblGrid>
        <w:gridCol w:w="761"/>
        <w:gridCol w:w="621"/>
        <w:gridCol w:w="625"/>
        <w:gridCol w:w="752"/>
        <w:gridCol w:w="305"/>
        <w:gridCol w:w="305"/>
        <w:gridCol w:w="454"/>
        <w:gridCol w:w="305"/>
        <w:gridCol w:w="732"/>
        <w:gridCol w:w="1034"/>
        <w:gridCol w:w="835"/>
        <w:gridCol w:w="838"/>
        <w:gridCol w:w="559"/>
        <w:gridCol w:w="358"/>
        <w:gridCol w:w="358"/>
        <w:gridCol w:w="488"/>
        <w:gridCol w:w="358"/>
        <w:gridCol w:w="517"/>
      </w:tblGrid>
      <w:tr>
        <w:trPr/>
        <w:tc>
          <w:tcPr>
            <w:tcW w:w="76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of Class A Common Stock Beneficially Owned Prior to the Offering</w:t>
            </w:r>
          </w:p>
        </w:tc>
        <w:tc>
          <w:tcPr>
            <w:tcW w:w="2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Number of Shares of Class A Common Stock that may Be Sold in the Offering</w:t>
            </w:r>
          </w:p>
        </w:tc>
        <w:tc>
          <w:tcPr>
            <w:tcW w:w="263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Shares of Class A Common Stock Beneficially Owned After the Offering</w:t>
            </w:r>
            <w:r>
              <w:rPr>
                <w:rFonts w:ascii="Times New Roman;serif" w:hAnsi="Times New Roman;serif"/>
                <w:b/>
                <w:color w:val="000000"/>
                <w:sz w:val="12"/>
              </w:rPr>
              <w:t>(1)</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4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270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2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3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Blue Torch Credit Opportunities Fund III LP</w:t>
            </w:r>
            <w:r>
              <w:rPr>
                <w:rFonts w:ascii="Times New Roman;serif" w:hAnsi="Times New Roman;serif"/>
                <w:b w:val="false"/>
                <w:color w:val="000000"/>
                <w:sz w:val="12"/>
              </w:rPr>
              <w:t>(1)</w:t>
            </w:r>
          </w:p>
        </w:tc>
        <w:tc>
          <w:tcPr>
            <w:tcW w:w="10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668,554 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668,554 </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Blue Torch Offshore Credit Opportunities Master Fund III LP</w:t>
            </w:r>
            <w:r>
              <w:rPr>
                <w:rFonts w:ascii="Times New Roman;serif" w:hAnsi="Times New Roman;serif"/>
                <w:b w:val="false"/>
                <w:color w:val="000000"/>
                <w:sz w:val="12"/>
              </w:rPr>
              <w:t>(2)</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691,914 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7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691,914 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Blue Torch Credit Opportunities Unlevered Fund III LP</w:t>
            </w:r>
            <w:r>
              <w:rPr>
                <w:rFonts w:ascii="Times New Roman;serif" w:hAnsi="Times New Roman;serif"/>
                <w:b w:val="false"/>
                <w:color w:val="000000"/>
                <w:sz w:val="12"/>
              </w:rPr>
              <w:t>(3)</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84,713 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84,713 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PSP Investments Credit USA LLC</w:t>
            </w:r>
            <w:r>
              <w:rPr>
                <w:rFonts w:ascii="Times New Roman;serif" w:hAnsi="Times New Roman;serif"/>
                <w:b w:val="false"/>
                <w:color w:val="000000"/>
                <w:sz w:val="12"/>
              </w:rPr>
              <w:t>(4)</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1,680,444 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7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1,680,444 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Redwood Master Fund, Ltd.</w:t>
            </w:r>
            <w:r>
              <w:rPr>
                <w:rFonts w:ascii="Times New Roman;serif" w:hAnsi="Times New Roman;serif"/>
                <w:b w:val="false"/>
                <w:color w:val="000000"/>
                <w:sz w:val="12"/>
              </w:rPr>
              <w:t>(5)</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507,664 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507,644 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Redwood Drawdown Master Fund III, L.P.</w:t>
            </w:r>
            <w:r>
              <w:rPr>
                <w:rFonts w:ascii="Times New Roman;serif" w:hAnsi="Times New Roman;serif"/>
                <w:b w:val="false"/>
                <w:color w:val="000000"/>
                <w:sz w:val="12"/>
              </w:rPr>
              <w:t>(6)</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342,853 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7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342,853 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Redwood Enhanced Income Corp.</w:t>
            </w:r>
            <w:r>
              <w:rPr>
                <w:rFonts w:ascii="Times New Roman;serif" w:hAnsi="Times New Roman;serif"/>
                <w:b w:val="false"/>
                <w:color w:val="000000"/>
                <w:sz w:val="12"/>
              </w:rPr>
              <w:t>(7)</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73,747 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73,747 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Calamos Aksia Alternative Credit and Income Fund</w:t>
            </w:r>
            <w:r>
              <w:rPr>
                <w:rFonts w:ascii="Times New Roman;serif" w:hAnsi="Times New Roman;serif"/>
                <w:b w:val="false"/>
                <w:color w:val="000000"/>
                <w:sz w:val="12"/>
              </w:rPr>
              <w:t>(8)</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67,218 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67,218 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Empire Credit Co-Investment Fund LLC</w:t>
            </w:r>
            <w:r>
              <w:rPr>
                <w:rFonts w:ascii="Times New Roman;serif" w:hAnsi="Times New Roman;serif"/>
                <w:b w:val="false"/>
                <w:color w:val="000000"/>
                <w:sz w:val="12"/>
              </w:rPr>
              <w:t>(9)</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42,011 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Frontier Tiger Fund Series1 L.P.</w:t>
            </w:r>
            <w:r>
              <w:rPr>
                <w:rFonts w:ascii="Times New Roman;serif" w:hAnsi="Times New Roman;serif"/>
                <w:b w:val="false"/>
                <w:color w:val="000000"/>
                <w:sz w:val="12"/>
              </w:rPr>
              <w:t>(10)</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84,022 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Prospector Opportunities Fund, LP</w:t>
            </w:r>
            <w:r>
              <w:rPr>
                <w:rFonts w:ascii="Times New Roman;serif" w:hAnsi="Times New Roman;serif"/>
                <w:b w:val="false"/>
                <w:color w:val="000000"/>
                <w:sz w:val="12"/>
              </w:rPr>
              <w:t>(11)</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42,011 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MidCap Financial Investment Corporation</w:t>
            </w:r>
            <w:r>
              <w:rPr>
                <w:rFonts w:ascii="Times New Roman;serif" w:hAnsi="Times New Roman;serif"/>
                <w:b w:val="false"/>
                <w:color w:val="000000"/>
                <w:sz w:val="12"/>
              </w:rPr>
              <w:t>(12)</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8,648 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MidCap Funding XXVII Trust</w:t>
            </w:r>
            <w:r>
              <w:rPr>
                <w:rFonts w:ascii="Times New Roman;serif" w:hAnsi="Times New Roman;serif"/>
                <w:b w:val="false"/>
                <w:color w:val="000000"/>
                <w:sz w:val="12"/>
              </w:rPr>
              <w:t>(13)</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18,532 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Barclays Converted Investments (no. 2) Limited</w:t>
            </w:r>
            <w:r>
              <w:rPr>
                <w:rFonts w:ascii="Times New Roman;serif" w:hAnsi="Times New Roman;serif"/>
                <w:b w:val="false"/>
                <w:color w:val="000000"/>
                <w:sz w:val="12"/>
              </w:rPr>
              <w:t>(14)</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62,514 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Bank of America, N.A.</w:t>
            </w:r>
            <w:r>
              <w:rPr>
                <w:rFonts w:ascii="Times New Roman;serif" w:hAnsi="Times New Roman;serif"/>
                <w:b w:val="false"/>
                <w:color w:val="000000"/>
                <w:sz w:val="12"/>
              </w:rPr>
              <w:t>(15)</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Capital Opportunity Fund II L.P.</w:t>
            </w:r>
            <w:r>
              <w:rPr>
                <w:rFonts w:ascii="Times New Roman;serif" w:hAnsi="Times New Roman;serif"/>
                <w:b w:val="false"/>
                <w:color w:val="000000"/>
                <w:sz w:val="12"/>
              </w:rPr>
              <w:t>(16)</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Debt Fund IV L.P.</w:t>
            </w:r>
            <w:r>
              <w:rPr>
                <w:rFonts w:ascii="Times New Roman;serif" w:hAnsi="Times New Roman;serif"/>
                <w:b w:val="false"/>
                <w:color w:val="000000"/>
                <w:sz w:val="12"/>
              </w:rPr>
              <w:t>(17)</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8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2"/>
        <w:gridCol w:w="660"/>
        <w:gridCol w:w="662"/>
        <w:gridCol w:w="789"/>
        <w:gridCol w:w="316"/>
        <w:gridCol w:w="286"/>
        <w:gridCol w:w="440"/>
        <w:gridCol w:w="286"/>
        <w:gridCol w:w="685"/>
        <w:gridCol w:w="1051"/>
        <w:gridCol w:w="774"/>
        <w:gridCol w:w="777"/>
        <w:gridCol w:w="586"/>
        <w:gridCol w:w="335"/>
        <w:gridCol w:w="335"/>
        <w:gridCol w:w="471"/>
        <w:gridCol w:w="335"/>
        <w:gridCol w:w="485"/>
      </w:tblGrid>
      <w:tr>
        <w:trPr/>
        <w:tc>
          <w:tcPr>
            <w:tcW w:w="93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of Class A Common Stock Beneficially Owned Prior to the Offering</w:t>
            </w:r>
          </w:p>
        </w:tc>
        <w:tc>
          <w:tcPr>
            <w:tcW w:w="2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Number of Shares of Class A Common Stock that may Be Sold in the Offering</w:t>
            </w:r>
          </w:p>
        </w:tc>
        <w:tc>
          <w:tcPr>
            <w:tcW w:w="2547"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Shares of Class A Common Stock Beneficially Owned After the Offering</w:t>
            </w:r>
            <w:r>
              <w:rPr>
                <w:rFonts w:ascii="Times New Roman;serif" w:hAnsi="Times New Roman;serif"/>
                <w:b/>
                <w:color w:val="000000"/>
                <w:sz w:val="12"/>
              </w:rPr>
              <w:t>(1)</w:t>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4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260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2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12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Debt Fund IV Master (Non-US) L.P.</w:t>
            </w:r>
            <w:r>
              <w:rPr>
                <w:rFonts w:ascii="Times New Roman;serif" w:hAnsi="Times New Roman;serif"/>
                <w:b w:val="false"/>
                <w:color w:val="000000"/>
                <w:sz w:val="12"/>
              </w:rPr>
              <w:t>(18)</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Senior Secured Opportunities (U) Master Fund (Non-US) L.P.</w:t>
            </w:r>
            <w:r>
              <w:rPr>
                <w:rFonts w:ascii="Times New Roman;serif" w:hAnsi="Times New Roman;serif"/>
                <w:b w:val="false"/>
                <w:color w:val="000000"/>
                <w:sz w:val="12"/>
              </w:rPr>
              <w:t>(19)</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Senior Secured Opportunities Fund L.P.</w:t>
            </w:r>
            <w:r>
              <w:rPr>
                <w:rFonts w:ascii="Times New Roman;serif" w:hAnsi="Times New Roman;serif"/>
                <w:b w:val="false"/>
                <w:color w:val="000000"/>
                <w:sz w:val="12"/>
              </w:rPr>
              <w:t>(20)</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Senior Secured Opportunities Master Fund (Non-US) L.P.</w:t>
            </w:r>
            <w:r>
              <w:rPr>
                <w:rFonts w:ascii="Times New Roman;serif" w:hAnsi="Times New Roman;serif"/>
                <w:b w:val="false"/>
                <w:color w:val="000000"/>
                <w:sz w:val="12"/>
              </w:rPr>
              <w:t>(21)</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SMA LM L.P.</w:t>
            </w:r>
            <w:r>
              <w:rPr>
                <w:rFonts w:ascii="Times New Roman;serif" w:hAnsi="Times New Roman;serif"/>
                <w:b w:val="false"/>
                <w:color w:val="000000"/>
                <w:sz w:val="12"/>
              </w:rPr>
              <w:t>(22)</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SMA-C II L.P.</w:t>
            </w:r>
            <w:r>
              <w:rPr>
                <w:rFonts w:ascii="Times New Roman;serif" w:hAnsi="Times New Roman;serif"/>
                <w:b w:val="false"/>
                <w:color w:val="000000"/>
                <w:sz w:val="12"/>
              </w:rPr>
              <w:t>(23)</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SMA-K L.P.</w:t>
            </w:r>
            <w:r>
              <w:rPr>
                <w:rFonts w:ascii="Times New Roman;serif" w:hAnsi="Times New Roman;serif"/>
                <w:b w:val="false"/>
                <w:color w:val="000000"/>
                <w:sz w:val="12"/>
              </w:rPr>
              <w:t>(24)</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Benefit Street Partners SMA-T L.P.</w:t>
            </w:r>
            <w:r>
              <w:rPr>
                <w:rFonts w:ascii="Times New Roman;serif" w:hAnsi="Times New Roman;serif"/>
                <w:b w:val="false"/>
                <w:color w:val="000000"/>
                <w:sz w:val="12"/>
              </w:rPr>
              <w:t>(25)</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54th Street Equity Holdings, Inc.</w:t>
            </w:r>
            <w:r>
              <w:rPr>
                <w:rFonts w:ascii="Times New Roman;serif" w:hAnsi="Times New Roman;serif"/>
                <w:b w:val="false"/>
                <w:color w:val="000000"/>
                <w:sz w:val="12"/>
              </w:rPr>
              <w:t>(26)</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3,131 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Landmark Wall SMA L.P.</w:t>
            </w:r>
            <w:r>
              <w:rPr>
                <w:rFonts w:ascii="Times New Roman;serif" w:hAnsi="Times New Roman;serif"/>
                <w:b w:val="false"/>
                <w:color w:val="000000"/>
                <w:sz w:val="12"/>
              </w:rPr>
              <w:t>(27)</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Blue Owl Capital Corporation</w:t>
            </w:r>
            <w:r>
              <w:rPr>
                <w:rFonts w:ascii="Times New Roman;serif" w:hAnsi="Times New Roman;serif"/>
                <w:b w:val="false"/>
                <w:color w:val="000000"/>
                <w:sz w:val="12"/>
              </w:rPr>
              <w:t>(28)</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33,357 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33,357 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Blue Owl Capital Corporation II</w:t>
            </w:r>
            <w:r>
              <w:rPr>
                <w:rFonts w:ascii="Times New Roman;serif" w:hAnsi="Times New Roman;serif"/>
                <w:b w:val="false"/>
                <w:color w:val="000000"/>
                <w:sz w:val="12"/>
              </w:rPr>
              <w:t>(29)</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7,413 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Goldman Sachs &amp; Co. LLC</w:t>
            </w:r>
            <w:r>
              <w:rPr>
                <w:rFonts w:ascii="Times New Roman;serif" w:hAnsi="Times New Roman;serif"/>
                <w:b w:val="false"/>
                <w:color w:val="000000"/>
                <w:sz w:val="12"/>
              </w:rPr>
              <w:t>(30)</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Morgan Stanley &amp; Co. LLC</w:t>
            </w:r>
            <w:r>
              <w:rPr>
                <w:rFonts w:ascii="Times New Roman;serif" w:hAnsi="Times New Roman;serif"/>
                <w:b w:val="false"/>
                <w:color w:val="000000"/>
                <w:sz w:val="12"/>
              </w:rPr>
              <w:t>(31)</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76,104 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Royal Bank of Canada</w:t>
            </w:r>
            <w:r>
              <w:rPr>
                <w:rFonts w:ascii="Times New Roman;serif" w:hAnsi="Times New Roman;serif"/>
                <w:b w:val="false"/>
                <w:color w:val="000000"/>
                <w:sz w:val="12"/>
              </w:rPr>
              <w:t>(32)</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62,514 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Truist Bank</w:t>
            </w:r>
            <w:r>
              <w:rPr>
                <w:rFonts w:ascii="Times New Roman;serif" w:hAnsi="Times New Roman;serif"/>
                <w:b w:val="false"/>
                <w:color w:val="000000"/>
                <w:sz w:val="12"/>
              </w:rPr>
              <w:t>(33)</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46,206 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Clinton P. Jones</w:t>
            </w:r>
            <w:r>
              <w:rPr>
                <w:rFonts w:ascii="Times New Roman;serif" w:hAnsi="Times New Roman;serif"/>
                <w:b w:val="false"/>
                <w:color w:val="000000"/>
                <w:sz w:val="12"/>
              </w:rPr>
              <w:t>(34)</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6,469,756 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6,462,231 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7,525 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Brandon Cruz</w:t>
            </w:r>
            <w:r>
              <w:rPr>
                <w:rFonts w:ascii="Times New Roman;serif" w:hAnsi="Times New Roman;serif"/>
                <w:b w:val="false"/>
                <w:color w:val="000000"/>
                <w:sz w:val="12"/>
              </w:rPr>
              <w:t>(35)</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6,469,756 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6,462,231 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NVX Holdings, Inc.</w:t>
            </w:r>
            <w:r>
              <w:rPr>
                <w:rFonts w:ascii="Times New Roman;serif" w:hAnsi="Times New Roman;serif"/>
                <w:b w:val="false"/>
                <w:color w:val="000000"/>
                <w:sz w:val="12"/>
              </w:rPr>
              <w:t>(36)</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6,247,139 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6,247,139 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 xml:space="preserve">BCCJ, LLC </w:t>
            </w:r>
            <w:r>
              <w:rPr>
                <w:rFonts w:ascii="Times New Roman;serif" w:hAnsi="Times New Roman;serif"/>
                <w:b w:val="false"/>
                <w:color w:val="000000"/>
                <w:sz w:val="12"/>
              </w:rPr>
              <w:t>(37)</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8"/>
              <w:jc w:val="left"/>
              <w:rPr/>
            </w:pPr>
            <w:r>
              <w:rPr>
                <w:rFonts w:ascii="Times New Roman;serif" w:hAnsi="Times New Roman;serif"/>
                <w:b w:val="false"/>
                <w:color w:val="000000"/>
                <w:sz w:val="18"/>
              </w:rPr>
              <w:t>Blizzard Management Feeder, LLC</w:t>
            </w:r>
            <w:r>
              <w:rPr>
                <w:rFonts w:ascii="Times New Roman;serif" w:hAnsi="Times New Roman;serif"/>
                <w:b w:val="false"/>
                <w:color w:val="000000"/>
                <w:sz w:val="12"/>
              </w:rPr>
              <w:t>(38)</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999,281 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999,281 </w:t>
            </w:r>
          </w:p>
        </w:tc>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8"/>
              <w:jc w:val="left"/>
              <w:rPr>
                <w:rFonts w:ascii="Times New Roman;serif" w:hAnsi="Times New Roman;serif"/>
                <w:b/>
                <w:color w:val="000000"/>
                <w:sz w:val="18"/>
              </w:rPr>
            </w:pPr>
            <w:r>
              <w:rPr>
                <w:rFonts w:ascii="Times New Roman;serif" w:hAnsi="Times New Roman;serif"/>
                <w:b/>
                <w:color w:val="000000"/>
                <w:sz w:val="18"/>
              </w:rPr>
              <w:t>Total</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12,041,539 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12,026,489 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0" w:after="0"/>
        <w:jc w:val="left"/>
        <w:rPr>
          <w:color w:val="000000"/>
          <w:u w:val="single"/>
        </w:rPr>
      </w:pPr>
      <w:r>
        <w:rPr>
          <w:color w:val="000000"/>
          <w:u w:val="single"/>
        </w:rPr>
        <w:t>    </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Blue Torch Credit Opportunities Fund III LP is controlled by Blue Torch Credit Opportunities GP III LLC (“BTCO”), general partner with KPG BTC Management LLC (“KPG”), as managing member of BTCO and Kevin Genda as managing member of KPG, and may be deemed to have beneficial ownership over, the Class A common stock held by Blue Torch Credit Opportunities Fund III LP. The address of the selling stockholder is 150 E. 58th Street, 39th Floor, New York, NY 101055.</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Blue Torch Offshore Credit Opportunities Master Fund III LP is controlled by BTOCO, general partner with KPG, as managing member and Kevin Genda as managing member of KPG, and may be deemed to have beneficial ownership over, the Class A common stock held by Blue Torch Offshore Credit Opportunities Master Fund III LP. The address of the selling stockholder is 150 E. 58th Street, 39th Floor, New York, NY 101055.</w:t>
      </w:r>
    </w:p>
    <w:p>
      <w:pPr>
        <w:pStyle w:val="TextBody"/>
        <w:bidi w:val="0"/>
        <w:spacing w:lineRule="auto" w:line="276"/>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Blue Torch Credit Opportunities Unlevered Fund III LP is controlled by BTCO, general partner with KPG as managing member of BTCO and Kevin Genda as managing member of KPG, and may be deemed to have beneficial ownership over, the Class A common stock held by Blue Torch Credit Opportunities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Unlevered Fund III LP. The address of the selling stockholder is 150 E. 58th Street, 39th Floor, New York, NY 101055.</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Deborah K. Orida is the President and CEO of PSP Investments Credit USA LLC, and shares voting and investment power, and may be deemed to have beneficial ownership over, the Class A common stock held by PSP Investments Credit USA LLC. The address of the selling stockholder is 450 Lexington Avenue, Suite 3750, New York, NY 10017.</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Redwood Capital Management, LLC (“RCM”) is the investment manager of Redwood Master Fund Ltd. and has voting and disposition control over the securities beneficially owned by Redwood Master Fund Ltd. RCM is wholly owned by Redwood Capital Management Holdings, LP (“RCM Holdings”). Mr. Ruben Kliksberg is the Chief Executive Officer of RCM, is the sole managing member of the general partner of RCM Holdings, and controls a majority of the limited partnership interests in RCM Holdings. The address for Redwood Master Fund, Ltd. is c/o Redwood Capital Management, LLC, 250 W 55th Street, New York, NY 10019.</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    RCM is the investment manager of Redwood Drawdown Master Fund III, L.P. and has voting and disposition control over the securities beneficially owned by Redwood Drawdown Master Fund III, L.P. RCM is wholly owned by RCM Holdings. Mr. Ruben Kliksberg is the Chief Executive Officer of RCM, is the sole managing member of the general partner of RCM Holdings, and controls a majority of the limited partnership interests in RCM Holdings. The address for Redwood Drawdown Master Fund III, L.P. is c/o Redwood Capital Management, LLC, 250 W 55th Street, New York, NY 10019.</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    RCM is the investment manager of Redwood Enhanced Income Corp. and has voting and disposition control over the securities beneficially owned by Redwood Enhanced Income Corp. RCM is wholly owned by RCM Holdings. Mr. Ruben Kliksberg is the Chief Executive Officer of RCM, is the sole managing member of the general partner of RCM Holdings, and controls a majority of the limited partnership interests in RCM Holdings. The address for Redwood Enhanced Income Corp. is c/o Redwood Capital Management, LLC, 250 W 55th Street, New York, NY 10019.</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    Calamos Aksia Alternative Credit and Income Fund is a Delaware statutory trust governed by a board of trustees, and Aksia LLC, as sub-advisor, shares investment power over, the Class A common stock held by Calamos Aksia Alternative Credit and Income Fund. The address of the selling stockholder is c/o Aksia LLC, 599 Lexington Avenue, 37th Floor, New York, NY 10022.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(9)    Empire Credit Co-Investment Fund LLC is controlled by Aksia Pi Advisors LP, as managing member, and Aksia LLC, as general partner of Aksia Pi Advisors, and Jim Hayden Vos, as manager of Aksia LLC, and may be deemed to have beneficial ownership over, the Class A common stock held by Empire Credit Co-Investment Fund LLC. The address of the selling stockholder is c/o Aksia LLC, 599 Lexington Avenue, 37th Floor, New York, NY 10022.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    Frontier Tiger Fund Series1 L.P. is controlled by Aksia Phi Advisors LP, as general partner, and Aksia LLC, as general partner of Aksia Phi Advisors, and Jim Hayden Vos, as manager of Aksia LLC, and may be deemed to have beneficial ownership over, the Class A common stock held by Frontier Tiger Fund Series1 L.P. The address of the selling stockholder is c/o Aksia LLC, 599 Lexington Avenue, 37th Floor, New York, NY 10022.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    Prospector Opportunities Fund, LP is controlled by Aksia Tau Advisors LP, as managing member, and Aksia LLC, as general partner of Aksia Tau Advisors, and Jim Hayden Vos, as manager of Aksia LLC, and may be deemed to have beneficial ownership over, the Class A common stock held by Prospector Opportunities Fund, LP. The address of the selling stockholder is c/o Aksia LLC, 599 Lexington Avenue, 37th Floor, New York, NY 10022.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(12)    MidCap Financial Investment Corporation is a reporting company under the 1940 Act and has elected to be treated as a business development company, and Apollo Investment Management, L.P. retains voting and investment control as the investment advisor of, and may be deemed to have beneficial ownership over, the Class A common stock held by MidCap Financial Investment Corporation. The address of the selling stockholder is 9 West 57th Street, New York, NY 10019.</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(13)    MidCap Funding XXVII Trust is controlled by Apollo Capital Management, L.P., and Maurice Amsellem and Howard Widra as authorized signatories of Apollo Capital Management, L.P., and shares voting and investment power, and may be deemed to have beneficial ownership over, the Class A common stock held by MidCap Funding XXVII Trust. The address of the selling stockholder is 7255 Woodmont Ave., Bethesda, MD 20814.</w:t>
      </w:r>
    </w:p>
    <w:p>
      <w:pPr>
        <w:pStyle w:val="TextBody"/>
        <w:bidi w:val="0"/>
        <w:spacing w:lineRule="auto" w:line="276"/>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(14)    Barclays Converted Investments (no. 2) Limited is controlled by Barclays Equity Holdings Limited, which is controlled by Barclays Principal Investments Limited, a wholly owned subsidiary of Barclays PLC, and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may be deemed to have beneficial ownership over, the Class A common stock held by Barclays Converted Investments (no. 2) Limited. The address of the selling stockholder is One Churchill Place, London, United Kingdom E14-5HP.</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(15)    Bank of America, N.A. is a national bank. The address of the selling stockholder is One Bank of America Center, 150 N. College Street, Charlotte, NC 28255.</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(16)    Benefit Street Partners Capital Opportunity Fund II L.P. is controlled by Benefit Street Partners LLC, and may be deemed to have beneficial ownership over, the Class A common stock held by Benefit Street Partners Capital Opportunity Fund II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(17)    Benefit Street Partners Debt Fund IV L.P. is controlled by Benefit Street Partners LLC, and may be deemed to have beneficial ownership over, the Class A common stock held by Benefit Street Partners Debt Fund IV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(18)    Benefit Street Partners Debt Fund IV Master (Non-US) L.P. is controlled by Benefit Street Partners LLC, and may be deemed to have beneficial ownership over, the Class A common stock held by Benefit Street Partners Debt Fund IV Master (Non-US)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(19)    Benefit Street Partners Senior Secured Opportunities (U) Master Fund (Non-US) L.P. is controlled by Benefit Street Partners LLC, and may be deemed to have beneficial ownership over, the Class A common stock held by Benefit Street Partners Senior Secured Opportunities (U) Master Fund (Non-US)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(20)    Benefit Street Partners Senior Secured Opportunities Fund L.P. is controlled by Benefit Street Partners LLC, and may be deemed to have beneficial ownership over, the Class A common stock held by Benefit Street Partners Senior Secured Opportunities Fund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(21)    Benefit Street Partners Senior Secured Opportunities Master Fund (Non-US) L.P. is controlled by Benefit Street Partners LLC, and may be deemed to have beneficial ownership over, the Class A common stock held by Benefit Street Partners Senior Secured Opportunities Master Fund (Non-US)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(22)    Benefit Street Partners SMA LM L.P. is controlled by Benefit Street Partners LLC, and may be deemed to have beneficial ownership over, the Class A common stock held by Benefit Street Partners SMA LM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(23)    Benefit Street Partners SMA-C II L.P. is controlled by Benefit Street Partners LLC, and may be deemed to have beneficial ownership over, the Class A common stock held by Benefit Street Partners SMA-C II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(24)    Benefit Street Partners SMA-K L.P. is controlled by Benefit Street Partners LLC, and may be deemed to have beneficial ownership over, the Class A common stock held by Benefit Street Partners SMA-K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(25)    Benefit Street Partners SMA-T L.P. is controlled by Benefit Street Partners LLC, and may be deemed to have beneficial ownership over, the Class A common stock held by Benefit Street Partners SMA-T L.P.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(26)    54th Street Equity Holdings, Inc. is controlled by Benefit Street Partners LLC, and may be deemed to have beneficial ownership over, the Class A common stock held by 54th Street Equity Holdings, Inc. The address of the selling stockholder is 1 Madison Avenue, Suite 1600, New York, NY 10010.</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(27)    Landmark Wall SMA L.P. is controlled by Benefit Street Partners LLC, and may be deemed to have beneficial ownership over, the Class A common stock held by Landmark Wall SMA L.P. The address of the selling stockholder is 1 Madison Avenue, Suite 1600, New York, NY 10010.</w:t>
      </w:r>
    </w:p>
    <w:p>
      <w:pPr>
        <w:pStyle w:val="TextBody"/>
        <w:bidi w:val="0"/>
        <w:spacing w:lineRule="auto" w:line="276"/>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(28)    Blue Owl Credit Advisors LLC is the investment adviser of Blue Owl Capital Corporation and exercises voting and investment power over the shares of Class A common stock owned by Blue Owl Capital Corporation through an investment committee comprised of Doug Ostrover, Marc Lipschultz, Craig Packer, Alexis Maged, Meenal Mehta, Logan Nicholson and Patrick Linneman, who each individually disclaim beneficial ownership over the shares of Class A common stock held by Blue Owl Corporation, and Blue Owl Capital Corporation is controlled by Blue Owl Credit Advisors, an investment adviser registered with the SEC, and may be deemed to have beneficial ownership over, the Class A common stock held by Blue Owl Corporation. The address of the selling stockholder is 399 Park Avenue, 37th Floor, New York, NY 10022.</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(29)    Blue Owl Credit Advisors LLC is the investment adviser of Blue Owl Capital Corporation II and exercises voting and investment power over the shares of Class A common stock owned by Blue Owl Capital Corporation II through an investment committee comprised of Doug Ostrover, Marc Lipschultz, Craig Packer, Alexis Maged, Meenal Mehta, Logan Nicholson and Patrick Linneman, who each individually disclaim beneficial ownership over the shares of Class A common stock held by Blue Owl Corporation II, and Blue Owl Capital Corporation II is controlled by Blue Owel Credit Advisors, an investment adviser registered with the SEC, and may be deemed to have beneficial ownership over, the Class A common stock held by Blue Owl Corporation II. The address of the selling stockholder is 399 Park Avenue, 37th Floor, New York, NY 10022.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(30)    Goldman Sachs &amp; Co. LLC is controlled by and a wholly owned subsidiary of, The Goldman Sachs Group, Inc., a publicly traded company listed on the New York Stock Exchange, and may be deemed to have beneficial ownership over, the Class A common stock held by Goldman Sachs &amp; Co. LLC. The address of the selling stockholder is 200 West Street, New York, NY 10282.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(31)    Morgan Stanley &amp; Co. LLC is controlled by Morgan Stanley Capital Management, LLC, which is controlled by Morgan Stanley, a publicly held corporation, and may be deemed to have beneficial ownership over, the Class A common stock held by Morgan Stanley &amp; Co. LLC. The address of the selling stockholder is 1585 Broadway, New York, NY 10036.</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(32)    Royal Bank of Canada is a Canadian chartered bank. The address of the selling stockholder is 30 Hudson Street, Jersey City, NJ, 07302.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(33)    Truist Bank is a wholly owned subsidiary of Truist Financial Corporation, a reporting company under the Exchange Act, and Amanda Parks and Frank McCormack as officers of Truist Bank shares voting and investment power over and may be deemed to have beneficial ownership over the Class A common stock held by Truist Bank. The address of the selling stockholder is 214 N. Tryon St., Floor 46, Charlotte, NC 28202.</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(34)    Includes 208,167 shares of Class A common stock issuable upon exchange of LLC Interests (and associated shares of Class B common stock) directly held by Blizzard Management Feeder, LLC (“Feeder”) for the benefit of Mr. Jones. Also includes (i) 6,925 shares of Class A common stock and (ii) 7,525 stock options, each directly owned by Mr. Jones. Also includes the numbers discussed in Footnote 36 for NVX Holdings, Inc. and BCCJ, LLC due to Mr. Jones’ affiliation with such entities. The address of the selling stockholder is 222 West Merchandise Mart Plaza, Suite 1750, Chicago, IL 60654.</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(35)    Includes 208,167 shares of Class A common stock issuable upon exchange of LLC Interests (and associated shares of Class B common stock) directly held by Feeder for the benefit of Mr. Cruz. Also includes (i) 6,925 shares of Class A common stock and (ii) 7,525 stock options, each directly owned by Mr. Cruz. Also includes the numbers discussed in Footnote 36 for NVX Holdings, Inc. and BCCJ, LLC due to Mr. Cruz’s affiliation with such entities. The address of the selling stockholder is 346 Sheridan Rd., Winnetka, IL 60093.</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(36)    Consists of (i) 6,178,532 shares of Class A common stock issuable upon exchange of LLC Interests (and associated shares of Class B common stock) held by NVX Holdings, Inc., (ii) 53,820 shares of Class A common stock held by NVX Holdings, Inc., (iii) 2,921 shares of Class A common stock issuable upon exchange of LLC Interests (and associated shares of Class B common stock) held by BCCJ, LLC and (iv) 11,866 shares of Class A common stock held by BCCJ, LLC. Clinton P. Jones and Brandon M. Cruz are the Chief Executive Officer and President of NVX Holdings, Inc., respectively, are members of the Board of Managers of BCCJ, LLC, and share voting and investment control over the shares held by NVX Holdings, Inc. and BCCJ, LLC. The business address of each of NVX Holdings, Inc. and BCCJ, LLC are c/o NVX Holdings, Inc., 222 West Merchandise Mart Plaza, Suite 1750, Chicago, IL 60654.</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(37)    Consists of (i) 2,921 shares of Class A common stock issuable upon exchange of LLC Interests (and associated shares of Class B common stock) held by BCCJ, LLC and (ii) 11,866 shares of Class A common stock held by BCCJ, LLC. Clinton P. Jones and Brandon M. Cruz are members of the Board of Managers of BCCJ, LLC, and share voting and investment control over the shares held by BCCJ, LLC. The business address of BCCJ, LLC is c/o NVX Holdings, Inc., 222 West Merchandise Mart Plaza, Suite 1750, Chicago, IL 60654.</w:t>
      </w:r>
    </w:p>
    <w:p>
      <w:pPr>
        <w:pStyle w:val="TextBody"/>
        <w:bidi w:val="0"/>
        <w:spacing w:lineRule="auto" w:line="276"/>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(38)    Consists of 999,281 shares of Class A common stock issuable upon exchange of LLC Interests (and associated shares of Class B common stock) directly held by Feeder for the benefit of Feeder’s members. Each of the members of Feeder directly holds common units of Feeder that correspond to the LLC Interests (and associated shares of Class B common stock) directly held by Feeder for each such member’s benefit and are entitled to (subject to time-based vesting requirements) direct Feeder to (i) initiate a redemption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222 West Merchandise Mart Plaza, Suite 1750, Chicago, IL 60654.</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24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sell the Class A common stock offered by this prospectus and any accompanying prospectus supplement in any of the following ways: (1) to or through underwriters, brokers or dealers, (2) directly to purchasers, (3) through agents or (4) through a combination of any of these methods. The Class A common stock may be sold at a fixed price or prices, which may be changed, market prices prevailing at the time of sale, prices related to the prevailing market prices, or negotiated prices.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use any one or more of the following methods when selling the shares of Class A common stock offered by this prospectus: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underwritten transactions;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sales through Nasdaq or on any national securities exchange or quotation service on which the shares of Class A common stock may be listed or quoted at the time of sale;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 over-the-counter distribution in accordance with the rules of Nasdaq;</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ordinary brokerage transactions and transactions in which the broker solicits purchasers;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broker-dealers may agree with the Selling Stockholders to sell a specified number of such shares of Class A common stock at a stipulated price per share;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block trades (which may involve crosses) in which the broker-dealer so engaged will attempt to sell the shares of Class A common stock as agent but may position and resell a portion of the block as principal to facilitate the transaction;</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purchases by a broker-dealer as principal and resale by such broker-dealer for its own account pursuant to this prospectus;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short sales and delivery of shares of Class A common stock to close out short positions;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sales by broker-dealers of shares of Class A common stock that are loaned or pledged to such broker-dealers;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distributions to employees, members, limited partners or stockholders of the Selling Stockholders;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the market” offerings to or through a market maker or into an existing trading market, on an exchange or otherwise;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a combination of any of the above methods of sale; and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will act independently of us in making decisions with respect to the timing, manner and size of each sale of shares of Class A common stock covered by this prospectus.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Selling Stockholders will sell all or any of the shares of Class A common stock offered by this prospectus. In addition, the Selling Stockholders may also sell shares of Class A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under Rule 144 under the Securities Act, if available, or in other transactions exempt from registration, rather than under this prospectus. The Selling Stockholders have the sole and absolute discretion not to accept any purchase offer or make any sale of shares of Class A common stock if they deem the purchase price to be unsatisfactory at any particular time.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a particular offering of the shares of Class A common stock held by the Selling Stockholders,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terms of the offering;</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names of the Selling Stockholders;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names of any underwriters, broker-dealers or agents;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purchase price of the shares of Class A common stock;</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delayed delivery arrangements;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underwriting discounts, commissions or agency fees or other items constituting underwriters’ or agents’ compensation;</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price to the public;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discounts or concessions allowed or reallowed or paid to dealers;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distributions of the shares of Class A common stock or otherwise, the Selling Stockholders may enter into hedging transactions with broker-dealers or other financial institutions. In connection with such transactions, broker-dealers or other financial institutions may engage in short sales of the shares of Class A common stock in the course of hedging the positions they assume with Selling Stockholders. The Selling Stockholders may also sell the shares of Class A common stock short and redeliver the shares of Class A common stock to close out such short positions. The Selling Stockholders may also enter into option or other transactions with broker-dealers or other financial institutions which require the delivery to such broker-dealer or other financial institution of shares of Class A common stock offered by this prospectus, which shares of Class A common stock such broker-dealer or other financial institution may resell pursuant to this prospectus (as supplemented or amended to reflect such transaction). The Selling Stockholders may also pledge shares of Class A common stock to a broker-dealer or other financial institution, and, upon a default, such broker-dealer or other financial institution, may effect sales of the pledged shares of Class A common stock pursuant to this prospectus (as supplemented or amended to reflect such transaction).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facilitate the offering of the shares of Class A common stock, any underwriters or agents, as the case may be, involved in the offering of such shares of Class A common stock may engage in transactions that stabilize, maintain or otherwise affect the price of our Class A common stock. Specifically, the underwriters or agents, as the case may be, may overallot in connection with the offering, creating a short position in our Class A common stock for their own account. In addition, to cover overallotments or to stabilize the price of our securities, the underwriters or agents, as the case may be, may bid for, and purchase, such securities in the open market. Finally, in any offering of Class A common stock through a syndicate of underwriters, the underwriting syndicate may reclaim selling concessions allotted to an underwriter or a broker-dealer for distributing such shares of Class A common stock in the offering if the syndicate repurchases previously distributed shares of Class A common stock in transactions to cover syndicate short positions, in stabilization transactions or otherwise. Any of these activities may stabilize or maintain the market price of the shares of Class A common stock above independent market levels. The underwriters or agents, as the case may be, are not required to engage in these activities, and may end any of these activities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solicit offers to purchase the shares of Class A common stock directly from, and may sell such shares of Class A common stock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that one or more underwriters, broker-dealers or agents may make a market in our shares of Class A common stock, but such underwriters, broker-dealers or agents will not be obligated to do so and may discontinue any market making at any time without notice. We cannot give any assurance as to the liquidity of the trading market for our shares of Class A common stock. Shares of our Class A common stock are currently listed on Nasdaq under the symbol “GOCO.”</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authorize underwriters, broker-dealers or agents to solicit offers by certain purchasers to purchase the shares of Class A common stock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Stockholders pay for solicitation of these contracts.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Selling Stockholder may enter into derivative transactions with third parties, or sell shares of Class A common stock not covered by this prospectus to third parties in privately negotiated transactions. If the applicable prospectus supplement indicates, in connection with those derivatives, the third parties may sell shares of Class A common stock covered by this prospectus and the applicable prospectus supplement, including in short sale transactions. If so, the third party may use shares of Class A common stock pledged by any Selling Stockholder or borrowed from any Selling Stockholder or others to settle those sales or to close out any related open borrowings of stock, and may use shares of Class A common stock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In addition, any Selling Stockholder may otherwise loan or pledge shares of Class A common stock to a financial institution or other third party that in turn may sell the shares of Class A common stock short using this prospectus. Such financial institution or other third party may transfer its economic short position to investors in our Class A common stock or in connection with a concurrent offering of other shares of Class A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offering the shares of Class A common stock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shares of Class A common stock may be underwriting discounts and commissions under the Securities Act.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underwriters, broker-dealers and agents may engage in transactions with us or the Selling Stockholders, may have banking, lending or other relationships with us or perform services for us or the Selling Stockholders, in the ordinary course of business. Underwriters, broker-dealers and agents may be entitled to indemnification by us and the Selling Stockholders against certain civil liabilities, including liabilities under the Securities Act, or to contribution with respect to payments which the underwriters, broker-dealers and agents may be required to make in respect thereof.</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certain states, if applicable, the shares of Class A common stock must be sold in such jurisdictions only through registered or licensed brokers or dealers. In addition, in certain states the shares of Class A common stock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and any other persons participating in the sale or distribution of the shares of Class A common stock will be subject to applicable provisions of the Securities Act and the Exchange Act, and the rules and regulations thereunder, including, without limitation, Regulation M. These provisions may restrict certain activities of, and limit the timing of purchases and sales of any of the shares of Class A common stock by, the Selling Stockholders or any other person, which limitations may affect the marketability of the shares of Class A common stock.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make copies of this prospectus available to the Selling Stockholders for the purpose of satisfying the prospectus delivery requirements of the Securities Act. The Selling Stockholders may indemnify any agent, broker-dealer or underwriter that participates in transactions involving the sale of the shares of Class A common stock against certain liabilities, including liabilities arising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Class A common stock offered hereby will be passed upon for us by Bradley Burd, our Chief Legal Officer. Mr. Burd owns, or has the right to acquire, shares of our Class A common stock representing less than 1% of the total outstanding shares of Class A common stock. Any underwriters or agents will be advised about other issues relating to the offering by counsel to be named in the applicable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filed this registration statement on Form S-3 under the Securities Act with the SEC with respect to the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information reporting requirements of the Exchange Act and, in accordance with these requirements, we are required to file periodic reports and other information with the SEC. Our filings are available to the public on the internet, through a database maintained by the SEC at www.sec.gov.</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make our SEC filings available, free of charge, on the Investor Relations section of our website at www.investors.gohealth.com as soon as reasonably practicable after we electronically file them with, or furnish them to, the SEC. Information contained in, or accessible through, our website is not a part of, and is not incorporated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8"/>
        </w:rPr>
      </w:pPr>
      <w:r>
        <w:rPr>
          <w:rFonts w:ascii="Times New Roman;serif" w:hAnsi="Times New Roman;serif"/>
          <w:b/>
          <w:color w:val="000000"/>
          <w:sz w:val="28"/>
        </w:rPr>
        <w:t>12,026,489 Shares</w:t>
      </w:r>
    </w:p>
    <w:p>
      <w:pPr>
        <w:pStyle w:val="TextBody"/>
        <w:bidi w:val="0"/>
        <w:spacing w:before="0" w:after="240"/>
        <w:jc w:val="center"/>
        <w:rPr/>
      </w:pPr>
      <w:r>
        <w:rPr/>
        <w:drawing>
          <wp:inline distT="0" distB="0" distL="0" distR="0">
            <wp:extent cx="2638425" cy="514350"/>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15"/>
                    <a:stretch>
                      <a:fillRect/>
                    </a:stretch>
                  </pic:blipFill>
                  <pic:spPr bwMode="auto">
                    <a:xfrm>
                      <a:off x="0" y="0"/>
                      <a:ext cx="2638425" cy="514350"/>
                    </a:xfrm>
                    <a:prstGeom prst="rect">
                      <a:avLst/>
                    </a:prstGeom>
                  </pic:spPr>
                </pic:pic>
              </a:graphicData>
            </a:graphic>
          </wp:inline>
        </w:drawing>
      </w:r>
    </w:p>
    <w:p>
      <w:pPr>
        <w:pStyle w:val="TextBody"/>
        <w:bidi w:val="0"/>
        <w:spacing w:lineRule="auto" w:line="276" w:before="0" w:after="240"/>
        <w:jc w:val="center"/>
        <w:rPr>
          <w:rFonts w:ascii="Times New Roman;serif" w:hAnsi="Times New Roman;serif"/>
          <w:b/>
          <w:color w:val="000000"/>
          <w:sz w:val="36"/>
        </w:rPr>
      </w:pPr>
      <w:r>
        <w:rPr>
          <w:rFonts w:ascii="Times New Roman;serif" w:hAnsi="Times New Roman;serif"/>
          <w:b/>
          <w:color w:val="000000"/>
          <w:sz w:val="36"/>
        </w:rPr>
        <w:t>GoHealth, Inc.</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Class A Common Stock</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10210"/>
                <wp:effectExtent l="0" t="0" r="0" b="0"/>
                <wp:wrapNone/>
                <wp:docPr id="37" name="Frame33"/>
                <a:graphic xmlns:a="http://schemas.openxmlformats.org/drawingml/2006/main">
                  <a:graphicData uri="http://schemas.microsoft.com/office/word/2010/wordprocessingShape">
                    <wps:wsp>
                      <wps:cNvSpPr txBox="1"/>
                      <wps:spPr>
                        <a:xfrm>
                          <a:off x="0" y="0"/>
                          <a:ext cx="6480175" cy="410210"/>
                        </a:xfrm>
                        <a:prstGeom prst="rect"/>
                        <a:solidFill>
                          <a:srgbClr val="FFFFFF"/>
                        </a:solidFill>
                      </wps:spPr>
                      <wps:txbx>
                        <w:txbxContent>
                          <w:p>
                            <w:pPr>
                              <w:pStyle w:val="TextBody"/>
                              <w:bidi w:val="0"/>
                              <w:spacing w:before="0" w:after="240"/>
                              <w:jc w:val="left"/>
                              <w:rPr/>
                            </w:pPr>
                            <w:r>
                              <w:rPr/>
                              <w:drawing>
                                <wp:inline distT="0" distB="0" distL="0" distR="0">
                                  <wp:extent cx="5943600" cy="19050"/>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16"/>
                                          <a:stretch>
                                            <a:fillRect/>
                                          </a:stretch>
                                        </pic:blipFill>
                                        <pic:spPr bwMode="auto">
                                          <a:xfrm>
                                            <a:off x="0" y="0"/>
                                            <a:ext cx="5943600" cy="19050"/>
                                          </a:xfrm>
                                          <a:prstGeom prst="rect">
                                            <a:avLst/>
                                          </a:prstGeom>
                                        </pic:spPr>
                                      </pic:pic>
                                    </a:graphicData>
                                  </a:graphic>
                                </wp:inline>
                              </w:drawing>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drawing>
                          <wp:inline distT="0" distB="0" distL="0" distR="0">
                            <wp:extent cx="5943600" cy="19050"/>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17"/>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PART II</w:t>
        <w:br/>
        <w:t>INFORMATION NOT REQUIRED IN PROSPECTUS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all costs and expenses, other than underwriting discounts and commissions, payable by us in connection with the offering of our Class A common stock. All amounts shown are estimates except for the SEC registration fee.</w:t>
      </w:r>
    </w:p>
    <w:tbl>
      <w:tblPr>
        <w:tblW w:w="3930" w:type="dxa"/>
        <w:jc w:val="left"/>
        <w:tblInd w:w="0" w:type="dxa"/>
        <w:tblLayout w:type="fixed"/>
        <w:tblCellMar>
          <w:top w:w="28" w:type="dxa"/>
          <w:left w:w="28" w:type="dxa"/>
          <w:bottom w:w="28" w:type="dxa"/>
          <w:right w:w="28" w:type="dxa"/>
        </w:tblCellMar>
      </w:tblPr>
      <w:tblGrid>
        <w:gridCol w:w="930"/>
        <w:gridCol w:w="816"/>
        <w:gridCol w:w="819"/>
        <w:gridCol w:w="400"/>
        <w:gridCol w:w="400"/>
        <w:gridCol w:w="565"/>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 Paid*</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13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4,550.91</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Printing fees</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w:t>
            </w:r>
          </w:p>
        </w:tc>
      </w:tr>
    </w:tbl>
    <w:p>
      <w:pPr>
        <w:pStyle w:val="TextBody"/>
        <w:bidi w:val="0"/>
        <w:spacing w:lineRule="auto" w:line="276" w:before="0" w:after="0"/>
        <w:jc w:val="left"/>
        <w:rPr>
          <w:color w:val="000000"/>
          <w:u w:val="single"/>
        </w:rPr>
      </w:pPr>
      <w:r>
        <w:rPr>
          <w:color w:val="000000"/>
          <w:u w:val="single"/>
        </w:rPr>
        <w:t>    </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Estimated expenses are not presently known.</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102 of the General Corporation Law of the State of Delaware permits a corporation to eliminate the personal liability of directors and officers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The Company’s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Company’s amended and restated certificate of incorporation and amended and restated bylaws provide indemnification for the Company’s directors and officers to the fullest extent permitted by the General Corporation Law of the State of Delaware.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separate indemnification agreements with each of the Company’s directors and executive officers. Each indemnification agreement provides, among other things, for indemnification to the fullest extent permitted by law against any and all expenses, judgments, fines, penalties and amounts paid in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0"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settlement of any claim. The indemnification agreements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general liability insurance policy that covers certain liabilities of directors and officers of the Company arising out of claims based on acts or omissions in their capacities as directors or officers.</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tbl>
      <w:tblPr>
        <w:tblW w:w="10205" w:type="dxa"/>
        <w:jc w:val="left"/>
        <w:tblInd w:w="0" w:type="dxa"/>
        <w:tblLayout w:type="fixed"/>
        <w:tblCellMar>
          <w:top w:w="28" w:type="dxa"/>
          <w:left w:w="28" w:type="dxa"/>
          <w:bottom w:w="28" w:type="dxa"/>
          <w:right w:w="28" w:type="dxa"/>
        </w:tblCellMar>
      </w:tblPr>
      <w:tblGrid>
        <w:gridCol w:w="338"/>
        <w:gridCol w:w="297"/>
        <w:gridCol w:w="298"/>
        <w:gridCol w:w="2713"/>
        <w:gridCol w:w="2700"/>
        <w:gridCol w:w="3859"/>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2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GoHealth Inc. (incorporated by reference to Exhibit 3.1 to the Current Report on Form 10-Q filed by the Registrant on August 20, 2020).</w:t>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GoHealth Inc. (incorporated by reference to Exhibit 3.2 to the Current Report on Form 10-Q filed by the Registrant on August 20,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health-amendmenttosx3xex.htm">
              <w:r>
                <w:rPr>
                  <w:rStyle w:val="InternetLink"/>
                  <w:rFonts w:ascii="Times New Roman;serif" w:hAnsi="Times New Roman;serif"/>
                  <w:b w:val="false"/>
                  <w:color w:val="000080"/>
                  <w:sz w:val="20"/>
                  <w:u w:val="single"/>
                </w:rPr>
                <w:t xml:space="preserve">Opinion of </w:t>
              </w:r>
            </w:hyperlink>
            <w:hyperlink w:anchor="gohealth-amendmenttosx3xex.htm">
              <w:r>
                <w:rPr>
                  <w:rStyle w:val="InternetLink"/>
                  <w:rFonts w:ascii="Times New Roman;serif" w:hAnsi="Times New Roman;serif"/>
                  <w:b w:val="false"/>
                  <w:color w:val="000080"/>
                  <w:sz w:val="20"/>
                  <w:u w:val="single"/>
                </w:rPr>
                <w:t>Bradley Burd, Chief Legal Officer of GoHealth, Inc.</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health-ex231xsx3consente.htm">
              <w:r>
                <w:rPr>
                  <w:rStyle w:val="InternetLink"/>
                  <w:rFonts w:ascii="Times New Roman;serif" w:hAnsi="Times New Roman;serif"/>
                  <w:b w:val="false"/>
                  <w:color w:val="000000"/>
                  <w:sz w:val="20"/>
                  <w:u w:val="single"/>
                </w:rPr>
                <w:t>Consent of Ernst &amp; Young LLP.</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Bradley Burd, Chief Legal Officer of GoHealth, Inc. (included as part of Exhibit 5.1).</w:t>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to this registration statement).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2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00"/>
                  <w:sz w:val="20"/>
                  <w:u w:val="single"/>
                </w:rPr>
                <w:t>Filing Fee Table.</w:t>
              </w:r>
            </w:hyperlink>
          </w:p>
        </w:tc>
      </w:tr>
    </w:tbl>
    <w:p>
      <w:pPr>
        <w:pStyle w:val="TextBody"/>
        <w:bidi w:val="0"/>
        <w:spacing w:lineRule="auto" w:line="276" w:before="0" w:after="0"/>
        <w:jc w:val="left"/>
        <w:rPr>
          <w:color w:val="000000"/>
          <w:u w:val="single"/>
        </w:rPr>
      </w:pPr>
      <w:r>
        <w:rPr>
          <w:color w:val="000000"/>
          <w:u w:val="single"/>
        </w:rPr>
        <w:t>    </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76" w:before="0" w:after="240"/>
        <w:ind w:left="0" w:right="0" w:hanging="720"/>
        <w:jc w:val="left"/>
        <w:rPr>
          <w:color w:val="000000"/>
        </w:rPr>
      </w:pPr>
      <w:r>
        <w:rPr>
          <w:color w:val="000000"/>
        </w:rPr>
        <w:t>†    </w:t>
      </w:r>
      <w:r>
        <w:rPr>
          <w:rFonts w:ascii="Times New Roman;serif" w:hAnsi="Times New Roman;serif"/>
          <w:b w:val="false"/>
          <w:color w:val="000000"/>
          <w:sz w:val="20"/>
        </w:rPr>
        <w:t>To be filed, if necessary, by a post-effective amendment to the registration statement or as an exhibit to a document incorporated herein by reference.</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76"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1"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76" w:before="0" w:after="24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76" w:before="0" w:after="240"/>
        <w:ind w:left="0" w:right="0" w:hanging="720"/>
        <w:jc w:val="left"/>
        <w:rPr/>
      </w:pPr>
      <w:r>
        <w:rPr>
          <w:rFonts w:ascii="Times New Roman;serif" w:hAnsi="Times New Roman;serif"/>
          <w:b w:val="false"/>
          <w:color w:val="000000"/>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of 1933 to any purchaser:</w: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76" w:before="0" w:after="240"/>
        <w:ind w:left="0" w:right="0" w:hanging="720"/>
        <w:jc w:val="left"/>
        <w:rPr/>
      </w:pPr>
      <w:r>
        <w:rPr>
          <w:rFonts w:ascii="Times New Roman;serif" w:hAnsi="Times New Roman;serif"/>
          <w:b w:val="false"/>
          <w:color w:val="000000"/>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76" w:before="0" w:after="240"/>
        <w:ind w:left="0" w:right="0" w:hanging="720"/>
        <w:jc w:val="left"/>
        <w:rPr/>
      </w:pPr>
      <w:r>
        <w:rPr>
          <w:rFonts w:ascii="Times New Roman;serif" w:hAnsi="Times New Roman;serif"/>
          <w:b w:val="false"/>
          <w:color w:val="000000"/>
          <w:sz w:val="20"/>
        </w:rPr>
        <w:t xml:space="preserve">(b)    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2"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3"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Chicago, State of Illinois, on November 26, 2025.</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GoHealth, Inc.</w:t>
      </w:r>
    </w:p>
    <w:p>
      <w:pPr>
        <w:pStyle w:val="TextBody"/>
        <w:bidi w:val="0"/>
        <w:spacing w:lineRule="auto" w:line="276" w:before="0" w:after="2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Vijay Kotte    </w:t>
      </w:r>
      <w:r>
        <w:rPr>
          <w:rFonts w:ascii="Times New Roman;serif" w:hAnsi="Times New Roman;serif"/>
          <w:b w:val="false"/>
          <w:color w:val="000000"/>
          <w:sz w:val="20"/>
        </w:rPr>
        <w:br/>
        <w:t>Name:    Vijay Kotte</w:t>
        <w:br/>
        <w:t>Title:    Chief Executive Officer</w:t>
      </w:r>
    </w:p>
    <w:p>
      <w:pPr>
        <w:pStyle w:val="TextBody"/>
        <w:bidi w:val="0"/>
        <w:spacing w:before="0" w:after="0"/>
        <w:jc w:val="left"/>
        <w:rPr/>
      </w:pPr>
      <w:r>
        <w:rPr/>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 below.</w:t>
      </w:r>
    </w:p>
    <w:tbl>
      <w:tblPr>
        <w:tblW w:w="8743" w:type="dxa"/>
        <w:jc w:val="left"/>
        <w:tblInd w:w="0" w:type="dxa"/>
        <w:tblLayout w:type="fixed"/>
        <w:tblCellMar>
          <w:top w:w="28" w:type="dxa"/>
          <w:left w:w="28" w:type="dxa"/>
          <w:bottom w:w="28" w:type="dxa"/>
          <w:right w:w="28" w:type="dxa"/>
        </w:tblCellMar>
      </w:tblPr>
      <w:tblGrid>
        <w:gridCol w:w="684"/>
        <w:gridCol w:w="601"/>
        <w:gridCol w:w="604"/>
        <w:gridCol w:w="1692"/>
        <w:gridCol w:w="1692"/>
        <w:gridCol w:w="1715"/>
        <w:gridCol w:w="512"/>
        <w:gridCol w:w="512"/>
        <w:gridCol w:w="731"/>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5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Vijay Kotte</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Vijay Kotte</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Brendan Shanahan</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Brendan Shanahan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Alan J. Carr</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M. Cruz</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Fisher</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8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Clinton P. Jones</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14" w:type="dxa"/>
        <w:jc w:val="left"/>
        <w:tblInd w:w="0" w:type="dxa"/>
        <w:tblLayout w:type="fixed"/>
        <w:tblCellMar>
          <w:top w:w="28" w:type="dxa"/>
          <w:left w:w="28" w:type="dxa"/>
          <w:bottom w:w="28" w:type="dxa"/>
          <w:right w:w="28" w:type="dxa"/>
        </w:tblCellMar>
      </w:tblPr>
      <w:tblGrid>
        <w:gridCol w:w="613"/>
        <w:gridCol w:w="539"/>
        <w:gridCol w:w="542"/>
        <w:gridCol w:w="255"/>
        <w:gridCol w:w="255"/>
        <w:gridCol w:w="256"/>
        <w:gridCol w:w="513"/>
        <w:gridCol w:w="513"/>
        <w:gridCol w:w="728"/>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R. Pohl</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L. Transier</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Bao Truong</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26, 2025</w:t>
            </w:r>
          </w:p>
        </w:tc>
      </w:tr>
      <w:tr>
        <w:trPr/>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 Weinsten</w:t>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175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tbl>
      <w:tblPr>
        <w:tblW w:w="2409" w:type="dxa"/>
        <w:jc w:val="left"/>
        <w:tblInd w:w="0" w:type="dxa"/>
        <w:tblLayout w:type="fixed"/>
        <w:tblCellMar>
          <w:top w:w="28" w:type="dxa"/>
          <w:left w:w="28" w:type="dxa"/>
          <w:bottom w:w="28" w:type="dxa"/>
          <w:right w:w="28" w:type="dxa"/>
        </w:tblCellMar>
      </w:tblPr>
      <w:tblGrid>
        <w:gridCol w:w="124"/>
        <w:gridCol w:w="109"/>
        <w:gridCol w:w="109"/>
        <w:gridCol w:w="564"/>
        <w:gridCol w:w="564"/>
        <w:gridCol w:w="5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By: /s/ Vijay Kotte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Vijay Kotte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S-3</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GoHealth,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Table 1: Newly Registered and Carry Forward Securities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4"/>
        <w:gridCol w:w="223"/>
        <w:gridCol w:w="139"/>
        <w:gridCol w:w="190"/>
        <w:gridCol w:w="190"/>
        <w:gridCol w:w="191"/>
        <w:gridCol w:w="260"/>
        <w:gridCol w:w="260"/>
        <w:gridCol w:w="262"/>
        <w:gridCol w:w="286"/>
        <w:gridCol w:w="286"/>
        <w:gridCol w:w="287"/>
        <w:gridCol w:w="241"/>
        <w:gridCol w:w="241"/>
        <w:gridCol w:w="242"/>
        <w:gridCol w:w="282"/>
        <w:gridCol w:w="282"/>
        <w:gridCol w:w="283"/>
        <w:gridCol w:w="444"/>
        <w:gridCol w:w="271"/>
        <w:gridCol w:w="272"/>
        <w:gridCol w:w="204"/>
        <w:gridCol w:w="204"/>
        <w:gridCol w:w="208"/>
        <w:gridCol w:w="280"/>
        <w:gridCol w:w="280"/>
        <w:gridCol w:w="281"/>
        <w:gridCol w:w="226"/>
        <w:gridCol w:w="226"/>
        <w:gridCol w:w="227"/>
        <w:gridCol w:w="229"/>
        <w:gridCol w:w="229"/>
        <w:gridCol w:w="230"/>
        <w:gridCol w:w="244"/>
        <w:gridCol w:w="244"/>
        <w:gridCol w:w="245"/>
        <w:gridCol w:w="343"/>
        <w:gridCol w:w="343"/>
        <w:gridCol w:w="506"/>
      </w:tblGrid>
      <w:tr>
        <w:trPr/>
        <w:tc>
          <w:tcPr>
            <w:tcW w:w="3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Security Type</w:t>
            </w:r>
          </w:p>
        </w:tc>
        <w:tc>
          <w:tcPr>
            <w:tcW w:w="7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Security Class Title</w:t>
            </w:r>
          </w:p>
        </w:tc>
        <w:tc>
          <w:tcPr>
            <w:tcW w:w="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Fee Calculation or Carry Forward Rule</w:t>
            </w:r>
          </w:p>
        </w:tc>
        <w:tc>
          <w:tcPr>
            <w:tcW w:w="7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Amount Registered</w:t>
            </w:r>
          </w:p>
        </w:tc>
        <w:tc>
          <w:tcPr>
            <w:tcW w:w="8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Proposed Maximum Offering Price Per Unit</w:t>
            </w:r>
          </w:p>
        </w:tc>
        <w:tc>
          <w:tcPr>
            <w:tcW w:w="9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Maximum Aggregate Offering Price</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Fee Rate</w:t>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Amount of Registration Fee</w:t>
            </w:r>
          </w:p>
        </w:tc>
        <w:tc>
          <w:tcPr>
            <w:tcW w:w="6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Form Type</w:t>
            </w:r>
          </w:p>
        </w:tc>
        <w:tc>
          <w:tcPr>
            <w:tcW w:w="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File Number</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Initial effective date</w:t>
            </w:r>
          </w:p>
        </w:tc>
        <w:tc>
          <w:tcPr>
            <w:tcW w:w="11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Filing Fee Previously Paid In Connection with Unsold Securities to be Carried Forward</w:t>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Newly Registered Securities</w:t>
            </w:r>
          </w:p>
        </w:tc>
      </w:tr>
      <w:tr>
        <w:trPr/>
        <w:tc>
          <w:tcPr>
            <w:tcW w:w="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Fees to Be Paid</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Equity</w:t>
            </w:r>
          </w:p>
        </w:tc>
        <w:tc>
          <w:tcPr>
            <w:tcW w:w="7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Class A Common Stock, par value $0.0001 per share</w:t>
            </w:r>
          </w:p>
        </w:tc>
        <w:tc>
          <w:tcPr>
            <w:tcW w:w="8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Other</w:t>
            </w:r>
          </w:p>
        </w:tc>
        <w:tc>
          <w:tcPr>
            <w:tcW w:w="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2"/>
              </w:rPr>
              <w:t>7,260,270</w:t>
            </w:r>
            <w:r>
              <w:rPr>
                <w:rFonts w:ascii="Times New Roman;serif" w:hAnsi="Times New Roman;serif"/>
                <w:b w:val="false"/>
                <w:color w:val="000000"/>
                <w:sz w:val="8"/>
              </w:rPr>
              <w:t>(1)</w:t>
            </w:r>
          </w:p>
        </w:tc>
        <w:tc>
          <w:tcPr>
            <w:tcW w:w="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2"/>
              </w:rPr>
              <w:t>$2.32</w:t>
            </w:r>
            <w:r>
              <w:rPr>
                <w:rFonts w:ascii="Times New Roman;serif" w:hAnsi="Times New Roman;serif"/>
                <w:b w:val="false"/>
                <w:color w:val="000000"/>
                <w:sz w:val="8"/>
              </w:rPr>
              <w:t>(2)</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$16,843,826.40</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0.0001381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$2,326.14</w:t>
            </w:r>
          </w:p>
        </w:tc>
        <w:tc>
          <w:tcPr>
            <w:tcW w:w="6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r>
      <w:tr>
        <w:trPr/>
        <w:tc>
          <w:tcPr>
            <w:tcW w:w="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Fees Previously Paid</w:t>
            </w:r>
          </w:p>
        </w:tc>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Equity</w:t>
            </w:r>
          </w:p>
        </w:tc>
        <w:tc>
          <w:tcPr>
            <w:tcW w:w="7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Class A Common Stock, par value $0.0001 per share</w:t>
            </w:r>
          </w:p>
        </w:tc>
        <w:tc>
          <w:tcPr>
            <w:tcW w:w="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Other</w:t>
            </w:r>
          </w:p>
        </w:tc>
        <w:tc>
          <w:tcPr>
            <w:tcW w:w="7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4,766,219</w:t>
            </w:r>
          </w:p>
        </w:tc>
        <w:tc>
          <w:tcPr>
            <w:tcW w:w="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2"/>
              </w:rPr>
              <w:t>$3.38</w:t>
            </w:r>
            <w:r>
              <w:rPr>
                <w:rFonts w:ascii="Times New Roman;serif" w:hAnsi="Times New Roman;serif"/>
                <w:b w:val="false"/>
                <w:color w:val="000000"/>
                <w:sz w:val="8"/>
              </w:rPr>
              <w:t>(3)</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$16,109,820.22</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0.0001381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$2,224.77</w:t>
            </w:r>
          </w:p>
        </w:tc>
        <w:tc>
          <w:tcPr>
            <w:tcW w:w="6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Offering Amounts</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$32,953,646.62</w:t>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$4,550.91</w:t>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Fees Previously Paid</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$2,224.77</w:t>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Fee Offsets:</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Net Fee Due</w:t>
            </w:r>
          </w:p>
        </w:tc>
        <w:tc>
          <w:tcPr>
            <w:tcW w:w="84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$2,326.14</w:t>
            </w:r>
          </w:p>
        </w:tc>
        <w:tc>
          <w:tcPr>
            <w:tcW w:w="67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(1) Consists of a maximum of 7,260,270 additional shares of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of GoHealth, Inc. (the “</w:t>
      </w:r>
      <w:r>
        <w:rPr>
          <w:rFonts w:ascii="Times New Roman;serif" w:hAnsi="Times New Roman;serif"/>
          <w:b w:val="false"/>
          <w:color w:val="000000"/>
          <w:sz w:val="20"/>
          <w:u w:val="single"/>
        </w:rPr>
        <w:t>Registrant</w:t>
      </w:r>
      <w:r>
        <w:rPr>
          <w:color w:val="000000"/>
        </w:rPr>
        <w:t>”</w:t>
      </w:r>
      <w:r>
        <w:rPr>
          <w:rFonts w:ascii="Times New Roman;serif" w:hAnsi="Times New Roman;serif"/>
          <w:b w:val="false"/>
          <w:color w:val="000000"/>
          <w:sz w:val="20"/>
        </w:rPr>
        <w:t>) to be sold by the certain selling stockholders named in this registration statement. Pursuant to Rule 416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this registration statement shall also cover any additional shares of the Registrant’s Class A common stock that may become issuable by reason of any stock dividend, stock split, recapitalization, or other similar transaction.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Estimated solely for the purpose of calculating the registration fee in accordance with Rule 457(c) under the Securities Act, based upon $2.32, the average of the high and low prices of the Registrant’s Class A common stock on The Nasdaq Global Market on November 20, 2025 (a date within five business days prior to the filing of this amendment to the registration statement).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(3)    Estimated solely for the purpose of calculating the registration fee in accordance with Rule 457(c) under the Securities Act, based upon $3.38, the average of the high and low prices of the Registrant’s Class A common stock on The Nasdaq Global Market on November 11, 2025 (a date within five business days prior to the initial filing of this registration statement).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0"/>
        <w:gridCol w:w="1458"/>
        <w:gridCol w:w="2072"/>
      </w:tblGrid>
      <w:tr>
        <w:trPr/>
        <w:tc>
          <w:tcPr>
            <w:tcW w:w="166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8"/>
              </w:rPr>
            </w:pPr>
            <w:r>
              <w:rPr>
                <w:rFonts w:ascii="Times New Roman;serif" w:hAnsi="Times New Roman;serif"/>
                <w:b/>
                <w:color w:val="000000"/>
                <w:sz w:val="28"/>
              </w:rPr>
              <w:t>GoHealth, Inc.</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222 W Merchandise Mart Plaza, Suite 1750</w:t>
            </w:r>
          </w:p>
          <w:p>
            <w:pPr>
              <w:pStyle w:val="TableContents"/>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Chicago, IL 60654</w:t>
            </w:r>
          </w:p>
        </w:tc>
      </w:tr>
    </w:tbl>
    <w:p>
      <w:pPr>
        <w:pStyle w:val="TextBody"/>
        <w:bidi w:val="0"/>
        <w:spacing w:before="240" w:after="360"/>
        <w:jc w:val="center"/>
        <w:rPr/>
      </w:pPr>
      <w:r>
        <w:rPr/>
      </w:r>
    </w:p>
    <w:p>
      <w:pPr>
        <w:pStyle w:val="TextBody"/>
        <w:bidi w:val="0"/>
        <w:spacing w:lineRule="auto" w:line="288" w:before="240" w:after="36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November 26, 2025</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GoHealth, Inc.</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222 W Merchandise Mart Plaza, Suite 1750</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Chicago, IL 60654</w:t>
      </w:r>
    </w:p>
    <w:p>
      <w:pPr>
        <w:pStyle w:val="TextBody"/>
        <w:bidi w:val="0"/>
        <w:spacing w:lineRule="auto" w:line="288" w:before="0" w:after="240"/>
        <w:jc w:val="left"/>
        <w:rPr/>
      </w:pPr>
      <w:r>
        <w:rPr>
          <w:color w:val="000000"/>
          <w:shd w:fill="FFFFFF" w:val="clear"/>
        </w:rPr>
        <w:t>    </w:t>
      </w:r>
      <w:r>
        <w:rPr>
          <w:rFonts w:ascii="Times New Roman;serif" w:hAnsi="Times New Roman;serif"/>
          <w:b w:val="false"/>
          <w:color w:val="000000"/>
          <w:sz w:val="24"/>
          <w:shd w:fill="FFFFFF" w:val="clear"/>
        </w:rPr>
        <w:t>Re:    </w:t>
      </w:r>
      <w:r>
        <w:rPr>
          <w:rFonts w:ascii="Times New Roman;serif" w:hAnsi="Times New Roman;serif"/>
          <w:b w:val="false"/>
          <w:color w:val="000000"/>
          <w:sz w:val="24"/>
          <w:u w:val="single"/>
          <w:shd w:fill="FFFFFF" w:val="clear"/>
        </w:rPr>
        <w:t>Registration Statement on Form S-3</w: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Ladies and Gentlemen: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am issuing this opinion letter in my capacity as Chief Legal Officer of GoHealth,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preparation and filing by the Company of the Registration Statement on Form S-3 (such Registration Statement, as it may be subsequently amended or supplemented, is hereinafter referred to as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with the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initially filed on November 17, 2025.</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Registration Statement relates to the resale, from time to time, by the selling stockholders named in the prospectus contained in the Registration Statement (the “</w:t>
      </w:r>
      <w:r>
        <w:rPr>
          <w:rFonts w:ascii="Times New Roman;serif" w:hAnsi="Times New Roman;serif"/>
          <w:b w:val="false"/>
          <w:color w:val="000000"/>
          <w:sz w:val="24"/>
          <w:u w:val="single"/>
        </w:rPr>
        <w:t>Selling Stockholders</w:t>
      </w:r>
      <w:r>
        <w:rPr>
          <w:color w:val="000000"/>
        </w:rPr>
        <w:t>”</w:t>
      </w:r>
      <w:r>
        <w:rPr>
          <w:rFonts w:ascii="Times New Roman;serif" w:hAnsi="Times New Roman;serif"/>
          <w:b w:val="false"/>
          <w:color w:val="000000"/>
          <w:sz w:val="24"/>
        </w:rPr>
        <w:t>) of up to 12,026,489 shares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of the Company’s Class A common stock, par value $0.0001 per share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4"/>
        </w:rPr>
        <w:t>), consisting of (i) 16,093,116 shares of Class A Common Stock (the “Outstanding Shares”) that are issued and outstanding as of the date hereof and (ii) 7,180,734 shares of Common Stock (the “Issuable Shares”) that are issuable by the Company upon the exchange by holders thereof of common units of GoHealth Holdings, LLC (“</w:t>
      </w:r>
      <w:r>
        <w:rPr>
          <w:rFonts w:ascii="Times New Roman;serif" w:hAnsi="Times New Roman;serif"/>
          <w:b w:val="false"/>
          <w:color w:val="000000"/>
          <w:sz w:val="24"/>
          <w:u w:val="single"/>
        </w:rPr>
        <w:t>GoHealth Holdings</w:t>
      </w:r>
      <w:r>
        <w:rPr>
          <w:color w:val="000000"/>
        </w:rPr>
        <w:t>”</w:t>
      </w:r>
      <w:r>
        <w:rPr>
          <w:rFonts w:ascii="Times New Roman;serif" w:hAnsi="Times New Roman;serif"/>
          <w:b w:val="false"/>
          <w:color w:val="000000"/>
          <w:sz w:val="24"/>
        </w:rPr>
        <w:t>) and the cancellation of a corresponding number of shares of Class B common stock of the Company, par value $0.0001 per share (“</w:t>
      </w:r>
      <w:r>
        <w:rPr>
          <w:rFonts w:ascii="Times New Roman;serif" w:hAnsi="Times New Roman;serif"/>
          <w:b w:val="false"/>
          <w:color w:val="000000"/>
          <w:sz w:val="24"/>
          <w:u w:val="single"/>
        </w:rPr>
        <w:t>Class B Common Stock</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this opinion, I have examined originals, or copies certified or otherwise identified to our satisfaction, of such documents and records of the Company and such statutes, regulations and other instruments as I deemed necessary or advisable for purposes of this opinion, including (i) the corporate and organizational documents of the Company, including the Amended and Restated Certificate of Incorporation of GoHealth, Inc., filed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45" w:type="dxa"/>
        <w:jc w:val="left"/>
        <w:tblInd w:w="0" w:type="dxa"/>
        <w:tblLayout w:type="fixed"/>
        <w:tblCellMar>
          <w:top w:w="28" w:type="dxa"/>
          <w:left w:w="28" w:type="dxa"/>
          <w:bottom w:w="28" w:type="dxa"/>
          <w:right w:w="28" w:type="dxa"/>
        </w:tblCellMar>
      </w:tblPr>
      <w:tblGrid>
        <w:gridCol w:w="732"/>
        <w:gridCol w:w="645"/>
        <w:gridCol w:w="647"/>
        <w:gridCol w:w="239"/>
        <w:gridCol w:w="239"/>
        <w:gridCol w:w="343"/>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45"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GoHealth, Inc.</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GoHealth,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November 26, 2025</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Secretary of the State of Delaware on July 17, 2020 (as amended through the date hereof, the “</w:t>
      </w:r>
      <w:r>
        <w:rPr>
          <w:rFonts w:ascii="Times New Roman;serif" w:hAnsi="Times New Roman;serif"/>
          <w:b w:val="false"/>
          <w:color w:val="000000"/>
          <w:sz w:val="24"/>
          <w:u w:val="single"/>
        </w:rPr>
        <w:t>Company Charter</w:t>
      </w:r>
      <w:r>
        <w:rPr>
          <w:color w:val="000000"/>
        </w:rPr>
        <w:t>”</w:t>
      </w:r>
      <w:r>
        <w:rPr>
          <w:rFonts w:ascii="Times New Roman;serif" w:hAnsi="Times New Roman;serif"/>
          <w:b w:val="false"/>
          <w:color w:val="000000"/>
          <w:sz w:val="24"/>
        </w:rPr>
        <w:t>), (ii) the Second Amended and Restated Limited Liability Company Agreement of GoHealth Holdings, dated July 15, 2020 (as amended through the date hereof, the “</w:t>
      </w:r>
      <w:r>
        <w:rPr>
          <w:rFonts w:ascii="Times New Roman;serif" w:hAnsi="Times New Roman;serif"/>
          <w:b w:val="false"/>
          <w:color w:val="000000"/>
          <w:sz w:val="24"/>
          <w:u w:val="single"/>
        </w:rPr>
        <w:t>GoHealth Holdings LLC Agreement</w:t>
      </w:r>
      <w:r>
        <w:rPr>
          <w:color w:val="000000"/>
        </w:rPr>
        <w:t>”</w:t>
      </w:r>
      <w:r>
        <w:rPr>
          <w:rFonts w:ascii="Times New Roman;serif" w:hAnsi="Times New Roman;serif"/>
          <w:b w:val="false"/>
          <w:color w:val="000000"/>
          <w:sz w:val="24"/>
        </w:rPr>
        <w:t>), (iii) various minutes and records of the corporate proceedings of the Company with respect to the Registration Statement and the issuance of the Shares and (iv) the Registration Statement and the exhibits thereto. I am also familiar, through my employment with the Company, with the procedures undertaken by others with respect to the issuance of the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I have also assumed that the Company followed the procedures in place and such procedures were properly reviewed by the auditors, consistent with the normal scope of each audit.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and subject to the foregoing qualifications, assumptions and limitations and the further limitations set forth below, I am of the opinion that the Shares have been duly authorized and (i) the Outstanding Shares are validly issued, fully paid and non-assessable and (ii) when the Issuable Shares have been duly issued upon the exchange of common units of GoHealth Holdings and the cancellation of a corresponding number of shares of Class B Common Stock, in each case, in accordance with the GoHealth Holdings LLC Agreement and the Company Charter, the Issuable Shares will be validly issued, fully paid and non-assessable.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opinion is limited in all respects to the General Corporation Law of the State of Delaware. I express no opinion as to any other law or any matter other than as expressly set forth above, and no opinion as to any other law or matter may be inferred or implied herefrom. The opinions expressed herein are rendered as of the date hereof, and I expressly disclaim any obligation to update or supplement this letter or advise you of any change in any matter after the date 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do not find it necessary for the purposes of this opinion, and accordingly I do not purport to cover herein, the application of the securities or “Blue Sky” laws of the various states to the issuance and sale of the Shares. I hereby consent to the filing of this opinion as Exhibit 5.1 to the Registration Statement. I also consent to the reference to my name under the heading “Legal Matters” in the Registration Statement. In giving this consent, I do not thereby admit that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8"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45" w:type="dxa"/>
        <w:jc w:val="left"/>
        <w:tblInd w:w="0" w:type="dxa"/>
        <w:tblLayout w:type="fixed"/>
        <w:tblCellMar>
          <w:top w:w="28" w:type="dxa"/>
          <w:left w:w="28" w:type="dxa"/>
          <w:bottom w:w="28" w:type="dxa"/>
          <w:right w:w="28" w:type="dxa"/>
        </w:tblCellMar>
      </w:tblPr>
      <w:tblGrid>
        <w:gridCol w:w="732"/>
        <w:gridCol w:w="645"/>
        <w:gridCol w:w="647"/>
        <w:gridCol w:w="239"/>
        <w:gridCol w:w="239"/>
        <w:gridCol w:w="343"/>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45"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GoHealth, Inc.</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GoHealth,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November 26, 2025</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 am in the category of persons whose consent is required under Section 7 of the Act or the rules and regulations of the Commission. </w:t>
      </w:r>
    </w:p>
    <w:p>
      <w:pPr>
        <w:pStyle w:val="TextBody"/>
        <w:bidi w:val="0"/>
        <w:spacing w:before="0" w:after="240"/>
        <w:ind w:left="0" w:right="0" w:firstLine="7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9"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45" w:type="dxa"/>
        <w:jc w:val="left"/>
        <w:tblInd w:w="0" w:type="dxa"/>
        <w:tblLayout w:type="fixed"/>
        <w:tblCellMar>
          <w:top w:w="28" w:type="dxa"/>
          <w:left w:w="28" w:type="dxa"/>
          <w:bottom w:w="28" w:type="dxa"/>
          <w:right w:w="28" w:type="dxa"/>
        </w:tblCellMar>
      </w:tblPr>
      <w:tblGrid>
        <w:gridCol w:w="732"/>
        <w:gridCol w:w="645"/>
        <w:gridCol w:w="647"/>
        <w:gridCol w:w="239"/>
        <w:gridCol w:w="239"/>
        <w:gridCol w:w="343"/>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45"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4"/>
              </w:rPr>
            </w:pPr>
            <w:r>
              <w:rPr>
                <w:rFonts w:ascii="Times New Roman;serif" w:hAnsi="Times New Roman;serif"/>
                <w:b w:val="false"/>
                <w:color w:val="000000"/>
                <w:sz w:val="24"/>
              </w:rPr>
              <w:t>GoHealth, Inc.</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GoHealth,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November 26, 2025</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furnished to you in connection with the filing of the Registration Statement in accordance with the requirements of Item 601(b)(5) of Regulation S-K under the Act, and may be relied upon by you and by persons entitled to rely upon it pursuant to the applicable provisions of the Act.</w:t>
      </w:r>
    </w:p>
    <w:p>
      <w:pPr>
        <w:pStyle w:val="TextBody"/>
        <w:bidi w:val="0"/>
        <w:spacing w:lineRule="auto" w:line="288" w:before="0" w:after="240"/>
        <w:jc w:val="left"/>
        <w:rPr/>
      </w:pPr>
      <w:r>
        <w:rPr>
          <w:rFonts w:ascii="Times New Roman;serif" w:hAnsi="Times New Roman;serif"/>
          <w:b w:val="false"/>
          <w:color w:val="000000"/>
          <w:sz w:val="24"/>
        </w:rPr>
        <w:t>Sincerely,</w:t>
        <w:br/>
        <w:br/>
      </w:r>
      <w:r>
        <w:rPr>
          <w:rFonts w:ascii="Times New Roman;serif" w:hAnsi="Times New Roman;serif"/>
          <w:b w:val="false"/>
          <w:color w:val="000000"/>
          <w:sz w:val="24"/>
          <w:u w:val="single"/>
        </w:rPr>
        <w:t>/s/ Bradley Burd </w:t>
      </w:r>
      <w:r>
        <w:rPr>
          <w:rFonts w:ascii="Times New Roman;serif" w:hAnsi="Times New Roman;serif"/>
          <w:b w:val="false"/>
          <w:color w:val="000000"/>
          <w:sz w:val="24"/>
        </w:rPr>
        <w:br/>
        <w:br/>
        <w:t>Bradley Burd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Chief Legal Officer, GoHealth, Inc.</w:t>
      </w:r>
    </w:p>
    <w:p>
      <w:pPr>
        <w:pStyle w:val="TextBody"/>
        <w:bidi w:val="0"/>
        <w:ind w:left="0" w:right="0" w:firstLine="4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50"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caption "Experts" in this Registration Statement (Amendment No. 1 to Form S-3) and related Prospectus of GoHealth, Inc. for the registration of Class A common stock and to the incorporation by reference therein of our report dated February 27, 2025, with respect to the consolidated financial statements of GoHealth, Inc. included in its Annual Report (Form 10-K) for the year ended December 31, 2024,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Chicago, Illinois November 26, 2025</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1"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hyperlink" Target="https://www.sec.gov/ix?doc=/Archives/edgar/data/0001808220/000180822025000010/goco-20241231.htm" TargetMode="External"/><Relationship Id="rId6" Type="http://schemas.openxmlformats.org/officeDocument/2006/relationships/hyperlink" Target="https://www.sec.gov/ix?doc=/Archives/edgar/data/0001808220/000180822025000054/goco-20250331.htm" TargetMode="External"/><Relationship Id="rId7" Type="http://schemas.openxmlformats.org/officeDocument/2006/relationships/hyperlink" Target="https://www.sec.gov/ix?doc=/Archives/edgar/data/0001808220/000180822025000066/goco-20250630.htm" TargetMode="External"/><Relationship Id="rId8" Type="http://schemas.openxmlformats.org/officeDocument/2006/relationships/hyperlink" Target="https://www.sec.gov/ix?doc=/Archives/edgar/data/0001808220/000162828025052376/goco-20250930.htm" TargetMode="External"/><Relationship Id="rId9" Type="http://schemas.openxmlformats.org/officeDocument/2006/relationships/hyperlink" Target="https://www.sec.gov/ix?doc=/Archives/edgar/data/0001808220/000180822025000037/goco-20250401.htm" TargetMode="External"/><Relationship Id="rId10" Type="http://schemas.openxmlformats.org/officeDocument/2006/relationships/hyperlink" Target="https://www.sec.gov/ix?doc=/Archives/edgar/data/0001808220/000162828025032314/goco-20250618.htm" TargetMode="External"/><Relationship Id="rId11" Type="http://schemas.openxmlformats.org/officeDocument/2006/relationships/hyperlink" Target="https://www.sec.gov/ix?doc=/Archives/edgar/data/0001808220/000162828025033527/goco-20250630.htm" TargetMode="External"/><Relationship Id="rId12" Type="http://schemas.openxmlformats.org/officeDocument/2006/relationships/hyperlink" Target="https://www.sec.gov/ix?doc=/Archives/edgar/data/0001808220/000162828025038578/goco-20250806.htm" TargetMode="External"/><Relationship Id="rId13" Type="http://schemas.openxmlformats.org/officeDocument/2006/relationships/hyperlink" Target="https://www.sec.gov/ix?doc=/Archives/edgar/data/0001808220/000180822025000069/goco-20250819.htm" TargetMode="External"/><Relationship Id="rId14" Type="http://schemas.openxmlformats.org/officeDocument/2006/relationships/hyperlink" Target="https://www.sec.gov/Archives/edgar/data/0001808220/000180822021000010/goco-20201231xex42xform10xk.htm"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18223</Words>
  <Characters>95916</Characters>
  <CharactersWithSpaces>113878</CharactersWithSpaces>
  <Paragraphs>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