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680720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FORM 8-K</w:t>
      </w:r>
    </w:p>
    <w:p>
      <w:pPr>
        <w:spacing w:after="0" w:line="29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4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 August 11, 2021</w:t>
      </w:r>
    </w:p>
    <w:p>
      <w:pPr>
        <w:spacing w:after="0" w:line="4"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GoHealth, Inc.</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0"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ectPr>
          <w:pgSz w:w="11900" w:h="16838" w:orient="portrait"/>
          <w:cols w:equalWidth="0" w:num="1">
            <w:col w:w="11240"/>
          </w:cols>
          <w:pgMar w:left="320" w:top="1426" w:right="339" w:bottom="1440" w:gutter="0" w:footer="0" w:header="0"/>
        </w:sectPr>
      </w:pPr>
    </w:p>
    <w:p>
      <w:pPr>
        <w:spacing w:after="0" w:line="140" w:lineRule="exact"/>
        <w:rPr>
          <w:sz w:val="24"/>
          <w:szCs w:val="24"/>
          <w:color w:val="auto"/>
        </w:rPr>
      </w:pPr>
    </w:p>
    <w:p>
      <w:pPr>
        <w:ind w:left="1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001-39390</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85-0563805</w:t>
      </w:r>
    </w:p>
    <w:p>
      <w:pPr>
        <w:spacing w:after="0" w:line="79" w:lineRule="exact"/>
        <w:rPr>
          <w:sz w:val="24"/>
          <w:szCs w:val="24"/>
          <w:color w:val="auto"/>
        </w:rPr>
      </w:pPr>
    </w:p>
    <w:p>
      <w:pPr>
        <w:sectPr>
          <w:pgSz w:w="11900" w:h="16838" w:orient="portrait"/>
          <w:cols w:equalWidth="0" w:num="3">
            <w:col w:w="4500" w:space="720"/>
            <w:col w:w="3000" w:space="720"/>
            <w:col w:w="2300"/>
          </w:cols>
          <w:pgMar w:left="320" w:top="1426" w:right="3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60" w:space="720"/>
            <w:col w:w="3120"/>
          </w:cols>
          <w:pgMar w:left="320" w:top="1426" w:right="339" w:bottom="1440" w:gutter="0" w:footer="0" w:header="0"/>
          <w:type w:val="continuous"/>
        </w:sectPr>
      </w:pPr>
    </w:p>
    <w:p>
      <w:pPr>
        <w:spacing w:after="0" w:line="69" w:lineRule="exact"/>
        <w:rPr>
          <w:sz w:val="24"/>
          <w:szCs w:val="24"/>
          <w:color w:val="auto"/>
        </w:rPr>
      </w:pPr>
    </w:p>
    <w:p>
      <w:pPr>
        <w:ind w:left="2040"/>
        <w:spacing w:after="0"/>
        <w:rPr>
          <w:sz w:val="20"/>
          <w:szCs w:val="20"/>
          <w:color w:val="auto"/>
        </w:rPr>
      </w:pPr>
      <w:r>
        <w:rPr>
          <w:rFonts w:ascii="Arial" w:cs="Arial" w:eastAsia="Arial" w:hAnsi="Arial"/>
          <w:sz w:val="16"/>
          <w:szCs w:val="16"/>
          <w:b w:val="1"/>
          <w:bCs w:val="1"/>
          <w:color w:val="auto"/>
        </w:rPr>
        <w:t>214 West Huron St.</w:t>
      </w:r>
    </w:p>
    <w:p>
      <w:pPr>
        <w:sectPr>
          <w:pgSz w:w="11900" w:h="16838" w:orient="portrait"/>
          <w:cols w:equalWidth="0" w:num="1">
            <w:col w:w="11240"/>
          </w:cols>
          <w:pgMar w:left="320" w:top="1426" w:right="339" w:bottom="1440" w:gutter="0" w:footer="0" w:header="0"/>
          <w:type w:val="continuous"/>
        </w:sectPr>
      </w:pPr>
    </w:p>
    <w:p>
      <w:pPr>
        <w:spacing w:after="0" w:line="73" w:lineRule="exact"/>
        <w:rPr>
          <w:sz w:val="24"/>
          <w:szCs w:val="24"/>
          <w:color w:val="auto"/>
        </w:rPr>
      </w:pPr>
    </w:p>
    <w:p>
      <w:pPr>
        <w:ind w:left="2100"/>
        <w:spacing w:after="0"/>
        <w:rPr>
          <w:sz w:val="20"/>
          <w:szCs w:val="20"/>
          <w:color w:val="auto"/>
        </w:rPr>
      </w:pPr>
      <w:r>
        <w:rPr>
          <w:rFonts w:ascii="Arial" w:cs="Arial" w:eastAsia="Arial" w:hAnsi="Arial"/>
          <w:sz w:val="16"/>
          <w:szCs w:val="16"/>
          <w:b w:val="1"/>
          <w:bCs w:val="1"/>
          <w:color w:val="auto"/>
        </w:rPr>
        <w:t>Chicago, Illinois</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60654</w:t>
      </w:r>
    </w:p>
    <w:p>
      <w:pPr>
        <w:spacing w:after="0" w:line="79" w:lineRule="exact"/>
        <w:rPr>
          <w:sz w:val="24"/>
          <w:szCs w:val="24"/>
          <w:color w:val="auto"/>
        </w:rPr>
      </w:pPr>
    </w:p>
    <w:p>
      <w:pPr>
        <w:sectPr>
          <w:pgSz w:w="11900" w:h="16838" w:orient="portrait"/>
          <w:cols w:equalWidth="0" w:num="2">
            <w:col w:w="7440" w:space="720"/>
            <w:col w:w="3080"/>
          </w:cols>
          <w:pgMar w:left="320" w:top="1426" w:right="33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280" w:space="720"/>
            <w:col w:w="3240"/>
          </w:cols>
          <w:pgMar w:left="320" w:top="1426" w:right="339" w:bottom="1440" w:gutter="0" w:footer="0" w:header="0"/>
          <w:type w:val="continuous"/>
        </w:sectPr>
      </w:pP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(312) 386-8200</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9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0"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06" w:lineRule="exact"/>
        <w:rPr>
          <w:sz w:val="24"/>
          <w:szCs w:val="24"/>
          <w:color w:val="auto"/>
        </w:rPr>
      </w:pPr>
    </w:p>
    <w:p>
      <w:pPr>
        <w:ind w:right="30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28" w:lineRule="exact"/>
        <w:rPr>
          <w:sz w:val="24"/>
          <w:szCs w:val="24"/>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5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r>
      <w:tr>
        <w:trPr>
          <w:trHeight w:val="325"/>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2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jc w:val="center"/>
              <w:ind w:right="659"/>
              <w:spacing w:after="0"/>
              <w:rPr>
                <w:sz w:val="20"/>
                <w:szCs w:val="20"/>
                <w:color w:val="auto"/>
              </w:rPr>
            </w:pPr>
            <w:r>
              <w:rPr>
                <w:rFonts w:ascii="Arial" w:cs="Arial" w:eastAsia="Arial" w:hAnsi="Arial"/>
                <w:sz w:val="16"/>
                <w:szCs w:val="16"/>
                <w:b w:val="1"/>
                <w:bCs w:val="1"/>
                <w:color w:val="auto"/>
              </w:rPr>
              <w:t>Trading Symbol(s)</w:t>
            </w:r>
          </w:p>
        </w:tc>
        <w:tc>
          <w:tcPr>
            <w:tcW w:w="100" w:type="dxa"/>
            <w:vAlign w:val="bottom"/>
          </w:tcPr>
          <w:p>
            <w:pPr>
              <w:spacing w:after="0"/>
              <w:rPr>
                <w:sz w:val="19"/>
                <w:szCs w:val="19"/>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218"/>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Class A Common Stock,</w:t>
            </w:r>
          </w:p>
        </w:tc>
        <w:tc>
          <w:tcPr>
            <w:tcW w:w="3020" w:type="dxa"/>
            <w:vAlign w:val="bottom"/>
            <w:gridSpan w:val="2"/>
          </w:tcPr>
          <w:p>
            <w:pPr>
              <w:jc w:val="center"/>
              <w:ind w:right="840"/>
              <w:spacing w:after="0"/>
              <w:rPr>
                <w:sz w:val="20"/>
                <w:szCs w:val="20"/>
                <w:color w:val="auto"/>
              </w:rPr>
            </w:pPr>
            <w:r>
              <w:rPr>
                <w:rFonts w:ascii="Arial" w:cs="Arial" w:eastAsia="Arial" w:hAnsi="Arial"/>
                <w:sz w:val="16"/>
                <w:szCs w:val="16"/>
                <w:color w:val="auto"/>
              </w:rPr>
              <w:t>GOCO</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r>
        <w:trPr>
          <w:trHeight w:val="195"/>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$0.0001 par value per share</w:t>
            </w: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r>
    </w:tbl>
    <w:p>
      <w:pPr>
        <w:spacing w:after="0" w:line="210"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55" w:lineRule="exact"/>
        <w:rPr>
          <w:sz w:val="24"/>
          <w:szCs w:val="24"/>
          <w:color w:val="auto"/>
        </w:rPr>
      </w:pPr>
    </w:p>
    <w:p>
      <w:pPr>
        <w:ind w:right="14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726440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113030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type w:val="continuous"/>
        </w:sectPr>
      </w:pPr>
    </w:p>
    <w:bookmarkStart w:id="1" w:name="page2"/>
    <w:bookmarkEnd w:id="1"/>
    <w:p>
      <w:pPr>
        <w:spacing w:after="0"/>
        <w:tabs>
          <w:tab w:leader="none" w:pos="900" w:val="left"/>
        </w:tabs>
        <w:rPr>
          <w:sz w:val="20"/>
          <w:szCs w:val="20"/>
          <w:color w:val="auto"/>
        </w:rPr>
      </w:pPr>
      <w:r>
        <w:rPr>
          <w:rFonts w:ascii="Arial" w:cs="Arial" w:eastAsia="Arial" w:hAnsi="Arial"/>
          <w:sz w:val="16"/>
          <w:szCs w:val="16"/>
          <w:b w:val="1"/>
          <w:bCs w:val="1"/>
          <w:color w:val="auto"/>
        </w:rPr>
        <w:t>Item 2.02.</w:t>
        <w:tab/>
        <w:t>Results of Operations and Financial Condition.</w:t>
      </w:r>
    </w:p>
    <w:p>
      <w:pPr>
        <w:spacing w:after="0" w:line="133"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On August 11, 2021, GoHealth, Inc. issued a press release announcing its financial results for the quarter ended June 30, 2021. A copy of the press release is furnished as Exhibit 99.1 to this Current Report on Form 8-K.</w:t>
      </w:r>
    </w:p>
    <w:p>
      <w:pPr>
        <w:spacing w:after="0" w:line="87"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The information furnished pursuant to this Item 2.02 and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Item 9.01.</w:t>
        <w:tab/>
        <w:t>Financial Statements and Exhibits.</w:t>
      </w:r>
    </w:p>
    <w:p>
      <w:pPr>
        <w:spacing w:after="0" w:line="133"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Exhibit Number</w:t>
            </w:r>
          </w:p>
        </w:tc>
        <w:tc>
          <w:tcPr>
            <w:tcW w:w="2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6"/>
                <w:szCs w:val="16"/>
                <w:b w:val="1"/>
                <w:bCs w:val="1"/>
                <w:color w:val="auto"/>
              </w:rPr>
              <w:t>Exhibit Description</w:t>
            </w:r>
          </w:p>
        </w:tc>
      </w:tr>
      <w:tr>
        <w:trPr>
          <w:trHeight w:val="172"/>
        </w:trPr>
        <w:tc>
          <w:tcPr>
            <w:tcW w:w="1300" w:type="dxa"/>
            <w:vAlign w:val="bottom"/>
            <w:tcBorders>
              <w:top w:val="single" w:sz="8" w:color="auto"/>
            </w:tcBorders>
          </w:tcPr>
          <w:p>
            <w:pPr>
              <w:jc w:val="right"/>
              <w:ind w:right="419"/>
              <w:spacing w:after="0" w:line="172" w:lineRule="exact"/>
              <w:rPr>
                <w:sz w:val="20"/>
                <w:szCs w:val="20"/>
                <w:color w:val="auto"/>
              </w:rPr>
            </w:pPr>
            <w:r>
              <w:rPr>
                <w:rFonts w:ascii="Arial" w:cs="Arial" w:eastAsia="Arial" w:hAnsi="Arial"/>
                <w:sz w:val="16"/>
                <w:szCs w:val="16"/>
                <w:color w:val="auto"/>
              </w:rPr>
              <w:t>99.1</w:t>
            </w: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720" w:type="dxa"/>
            <w:vAlign w:val="bottom"/>
            <w:tcBorders>
              <w:top w:val="single" w:sz="8" w:color="auto"/>
              <w:bottom w:val="single" w:sz="8" w:color="0000FF"/>
            </w:tcBorders>
          </w:tcPr>
          <w:p>
            <w:pPr>
              <w:spacing w:after="0" w:line="172" w:lineRule="exact"/>
              <w:rPr>
                <w:rFonts w:ascii="Arial" w:cs="Arial" w:eastAsia="Arial" w:hAnsi="Arial"/>
                <w:sz w:val="16"/>
                <w:szCs w:val="16"/>
                <w:color w:val="0000FF"/>
              </w:rPr>
            </w:pPr>
            <w:hyperlink w:anchor="page4">
              <w:r>
                <w:rPr>
                  <w:rFonts w:ascii="Arial" w:cs="Arial" w:eastAsia="Arial" w:hAnsi="Arial"/>
                  <w:sz w:val="16"/>
                  <w:szCs w:val="16"/>
                  <w:color w:val="0000FF"/>
                </w:rPr>
                <w:t xml:space="preserve">Press release, dated August </w:t>
              </w:r>
            </w:hyperlink>
            <w:r>
              <w:rPr>
                <w:rFonts w:ascii="Arial" w:cs="Arial" w:eastAsia="Arial" w:hAnsi="Arial"/>
                <w:sz w:val="16"/>
                <w:szCs w:val="16"/>
                <w:color w:val="0000FF"/>
              </w:rPr>
              <w:t xml:space="preserve">11, </w:t>
            </w:r>
            <w:hyperlink w:anchor="page4">
              <w:r>
                <w:rPr>
                  <w:rFonts w:ascii="Arial" w:cs="Arial" w:eastAsia="Arial" w:hAnsi="Arial"/>
                  <w:sz w:val="16"/>
                  <w:szCs w:val="16"/>
                  <w:color w:val="0000FF"/>
                </w:rPr>
                <w:t>2021</w:t>
              </w:r>
            </w:hyperlink>
          </w:p>
        </w:tc>
        <w:tc>
          <w:tcPr>
            <w:tcW w:w="7120" w:type="dxa"/>
            <w:vAlign w:val="bottom"/>
            <w:tcBorders>
              <w:top w:val="single" w:sz="8" w:color="auto"/>
            </w:tcBorders>
          </w:tcPr>
          <w:p>
            <w:pPr>
              <w:spacing w:after="0"/>
              <w:rPr>
                <w:sz w:val="14"/>
                <w:szCs w:val="14"/>
                <w:color w:val="auto"/>
              </w:rPr>
            </w:pPr>
          </w:p>
        </w:tc>
      </w:tr>
      <w:tr>
        <w:trPr>
          <w:trHeight w:val="231"/>
        </w:trPr>
        <w:tc>
          <w:tcPr>
            <w:tcW w:w="1300" w:type="dxa"/>
            <w:vAlign w:val="bottom"/>
          </w:tcPr>
          <w:p>
            <w:pPr>
              <w:jc w:val="right"/>
              <w:ind w:right="439"/>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40" w:type="dxa"/>
            <w:vAlign w:val="bottom"/>
            <w:gridSpan w:val="2"/>
          </w:tcPr>
          <w:p>
            <w:pPr>
              <w:spacing w:after="0"/>
              <w:rPr>
                <w:sz w:val="20"/>
                <w:szCs w:val="20"/>
                <w:color w:val="auto"/>
              </w:rPr>
            </w:pPr>
            <w:r>
              <w:rPr>
                <w:rFonts w:ascii="Arial" w:cs="Arial" w:eastAsia="Arial" w:hAnsi="Arial"/>
                <w:sz w:val="16"/>
                <w:szCs w:val="16"/>
                <w:color w:val="auto"/>
              </w:rPr>
              <w:t>Cover Page Interactive Data File (the cover page XBRL tags are embedded within the Inline XBRL document)</w:t>
            </w:r>
          </w:p>
        </w:tc>
      </w:tr>
      <w:tr>
        <w:trPr>
          <w:trHeight w:val="985"/>
        </w:trPr>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7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21"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GoHealth, Inc.</w:t>
      </w:r>
    </w:p>
    <w:p>
      <w:pPr>
        <w:spacing w:after="0" w:line="25"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(Registrant)</w:t>
      </w:r>
    </w:p>
    <w:p>
      <w:pPr>
        <w:spacing w:after="0" w:line="208"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August 11, 2021</w:t>
      </w:r>
      <w:r>
        <w:rPr>
          <w:sz w:val="20"/>
          <w:szCs w:val="20"/>
          <w:color w:val="auto"/>
        </w:rPr>
        <w:tab/>
      </w:r>
      <w:r>
        <w:rPr>
          <w:rFonts w:ascii="Arial" w:cs="Arial" w:eastAsia="Arial" w:hAnsi="Arial"/>
          <w:sz w:val="15"/>
          <w:szCs w:val="15"/>
          <w:color w:val="auto"/>
        </w:rPr>
        <w:t>By: /s/ Travis J.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19050</wp:posOffset>
            </wp:positionV>
            <wp:extent cx="33261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53"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Travis J. Matthiesen</w:t>
      </w:r>
    </w:p>
    <w:p>
      <w:pPr>
        <w:spacing w:after="0" w:line="5"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ind w:left="6020"/>
        <w:spacing w:after="0"/>
        <w:rPr>
          <w:sz w:val="20"/>
          <w:szCs w:val="20"/>
          <w:color w:val="auto"/>
        </w:rPr>
      </w:pPr>
      <w:r>
        <w:rPr>
          <w:rFonts w:ascii="Arial" w:cs="Arial" w:eastAsia="Arial" w:hAnsi="Arial"/>
          <w:sz w:val="16"/>
          <w:szCs w:val="16"/>
          <w:i w:val="1"/>
          <w:iCs w:val="1"/>
          <w:color w:val="auto"/>
        </w:rPr>
        <w:t>(Principal Financial and Accounting Officer)</w:t>
      </w:r>
    </w:p>
    <w:p>
      <w:pPr>
        <w:sectPr>
          <w:pgSz w:w="11900" w:h="16838" w:orient="portrait"/>
          <w:cols w:equalWidth="0" w:num="1">
            <w:col w:w="11220"/>
          </w:cols>
          <w:pgMar w:left="320" w:top="999" w:right="359" w:bottom="1440" w:gutter="0" w:footer="0" w:header="0"/>
        </w:sectPr>
      </w:pPr>
    </w:p>
    <w:bookmarkStart w:id="3" w:name="page4"/>
    <w:bookmarkEnd w:id="3"/>
    <w:p>
      <w:pPr>
        <w:ind w:left="10560"/>
        <w:spacing w:after="0"/>
        <w:rPr>
          <w:sz w:val="20"/>
          <w:szCs w:val="20"/>
          <w:color w:val="auto"/>
        </w:rPr>
      </w:pPr>
      <w:r>
        <w:rPr>
          <w:rFonts w:ascii="Arial" w:cs="Arial" w:eastAsia="Arial" w:hAnsi="Arial"/>
          <w:sz w:val="13"/>
          <w:szCs w:val="13"/>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11430</wp:posOffset>
            </wp:positionV>
            <wp:extent cx="1080135" cy="5657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80135" cy="565785"/>
                    </a:xfrm>
                    <a:prstGeom prst="rect">
                      <a:avLst/>
                    </a:prstGeom>
                    <a:noFill/>
                  </pic:spPr>
                </pic:pic>
              </a:graphicData>
            </a:graphic>
          </wp:anchor>
        </w:drawing>
      </w:r>
    </w:p>
    <w:p>
      <w:pPr>
        <w:spacing w:after="0" w:line="166" w:lineRule="exact"/>
        <w:rPr>
          <w:sz w:val="20"/>
          <w:szCs w:val="20"/>
          <w:color w:val="auto"/>
        </w:rPr>
      </w:pPr>
    </w:p>
    <w:p>
      <w:pPr>
        <w:ind w:left="20"/>
        <w:spacing w:after="0"/>
        <w:rPr>
          <w:sz w:val="20"/>
          <w:szCs w:val="20"/>
          <w:color w:val="auto"/>
        </w:rPr>
      </w:pPr>
      <w:r>
        <w:rPr>
          <w:rFonts w:ascii="Arial" w:cs="Arial" w:eastAsia="Arial" w:hAnsi="Arial"/>
          <w:sz w:val="27"/>
          <w:szCs w:val="27"/>
          <w:b w:val="1"/>
          <w:bCs w:val="1"/>
          <w:color w:val="0A2299"/>
        </w:rPr>
        <w:t>GoHealth Reports Second Quarter 2021 Results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6D6D6D"/>
        </w:rPr>
        <w:t>Revises Full Year 2021 Growth Outlook</w:t>
      </w:r>
    </w:p>
    <w:p>
      <w:pPr>
        <w:spacing w:after="0" w:line="200" w:lineRule="exact"/>
        <w:rPr>
          <w:sz w:val="20"/>
          <w:szCs w:val="20"/>
          <w:color w:val="auto"/>
        </w:rPr>
      </w:pPr>
    </w:p>
    <w:p>
      <w:pPr>
        <w:spacing w:after="0" w:line="214"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i w:val="1"/>
          <w:iCs w:val="1"/>
          <w:color w:val="auto"/>
        </w:rPr>
        <w:t xml:space="preserve">CHICAGO, August 11, 2021 </w:t>
      </w:r>
      <w:r>
        <w:rPr>
          <w:rFonts w:ascii="Arial" w:cs="Arial" w:eastAsia="Arial" w:hAnsi="Arial"/>
          <w:sz w:val="16"/>
          <w:szCs w:val="16"/>
          <w:color w:val="auto"/>
        </w:rPr>
        <w:t>— GoHealth, Inc. (NASDAQ: GOCO), a leading health insurance marketplace and Medicare-focused digital health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announced financial results for the three and 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60960</wp:posOffset>
            </wp:positionV>
            <wp:extent cx="171450" cy="265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 cy="265430"/>
                    </a:xfrm>
                    <a:prstGeom prst="rect">
                      <a:avLst/>
                    </a:prstGeom>
                    <a:noFill/>
                  </pic:spPr>
                </pic:pic>
              </a:graphicData>
            </a:graphic>
          </wp:anchor>
        </w:drawing>
      </w:r>
    </w:p>
    <w:p>
      <w:pPr>
        <w:spacing w:after="0" w:line="159" w:lineRule="exact"/>
        <w:rPr>
          <w:sz w:val="20"/>
          <w:szCs w:val="20"/>
          <w:color w:val="auto"/>
        </w:rPr>
      </w:pPr>
    </w:p>
    <w:p>
      <w:pPr>
        <w:ind w:left="560" w:right="540"/>
        <w:spacing w:after="0" w:line="232" w:lineRule="auto"/>
        <w:rPr>
          <w:sz w:val="20"/>
          <w:szCs w:val="20"/>
          <w:color w:val="auto"/>
        </w:rPr>
      </w:pPr>
      <w:r>
        <w:rPr>
          <w:rFonts w:ascii="Arial" w:cs="Arial" w:eastAsia="Arial" w:hAnsi="Arial"/>
          <w:sz w:val="16"/>
          <w:szCs w:val="16"/>
          <w:color w:val="auto"/>
        </w:rPr>
        <w:t>Second quarter 2021 net revenue of $196.9 million increased 55% compared to the prior year period. YTD 2021 net revenue of $401.1 million increased 50% compared to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81280</wp:posOffset>
            </wp:positionV>
            <wp:extent cx="171450" cy="265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 cy="265430"/>
                    </a:xfrm>
                    <a:prstGeom prst="rect">
                      <a:avLst/>
                    </a:prstGeom>
                    <a:noFill/>
                  </pic:spPr>
                </pic:pic>
              </a:graphicData>
            </a:graphic>
          </wp:anchor>
        </w:drawing>
      </w:r>
    </w:p>
    <w:p>
      <w:pPr>
        <w:spacing w:after="0" w:line="191" w:lineRule="exact"/>
        <w:rPr>
          <w:sz w:val="20"/>
          <w:szCs w:val="20"/>
          <w:color w:val="auto"/>
        </w:rPr>
      </w:pPr>
    </w:p>
    <w:p>
      <w:pPr>
        <w:ind w:left="560" w:right="100"/>
        <w:spacing w:after="0" w:line="232" w:lineRule="auto"/>
        <w:rPr>
          <w:sz w:val="20"/>
          <w:szCs w:val="20"/>
          <w:color w:val="auto"/>
        </w:rPr>
      </w:pPr>
      <w:r>
        <w:rPr>
          <w:rFonts w:ascii="Arial" w:cs="Arial" w:eastAsia="Arial" w:hAnsi="Arial"/>
          <w:sz w:val="16"/>
          <w:szCs w:val="16"/>
          <w:color w:val="auto"/>
        </w:rPr>
        <w:t>Second quarter 2021 Medicare—Internal revenue of $160.4 million increased 84% compared to the prior year period. YTD 2021 Medicare—Internal revenue of $317.8 million increased 74% compared to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81280</wp:posOffset>
            </wp:positionV>
            <wp:extent cx="171450" cy="2660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 cy="266065"/>
                    </a:xfrm>
                    <a:prstGeom prst="rect">
                      <a:avLst/>
                    </a:prstGeom>
                    <a:noFill/>
                  </pic:spPr>
                </pic:pic>
              </a:graphicData>
            </a:graphic>
          </wp:anchor>
        </w:drawing>
      </w:r>
    </w:p>
    <w:p>
      <w:pPr>
        <w:spacing w:after="0" w:line="191" w:lineRule="exact"/>
        <w:rPr>
          <w:sz w:val="20"/>
          <w:szCs w:val="20"/>
          <w:color w:val="auto"/>
        </w:rPr>
      </w:pPr>
    </w:p>
    <w:p>
      <w:pPr>
        <w:ind w:left="560" w:right="240"/>
        <w:spacing w:after="0" w:line="232" w:lineRule="auto"/>
        <w:rPr>
          <w:sz w:val="20"/>
          <w:szCs w:val="20"/>
          <w:color w:val="auto"/>
        </w:rPr>
      </w:pPr>
      <w:r>
        <w:rPr>
          <w:rFonts w:ascii="Arial" w:cs="Arial" w:eastAsia="Arial" w:hAnsi="Arial"/>
          <w:sz w:val="16"/>
          <w:szCs w:val="16"/>
          <w:color w:val="auto"/>
        </w:rPr>
        <w:t>Second quarter 2021 Medicare Advantage (“MA”) Approved Submissions of 152,749 increased 58% compared to the prior year period. YTD 2021 MA Approved Submissions of 323,876 increased 52% compared to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81280</wp:posOffset>
            </wp:positionV>
            <wp:extent cx="17145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 cy="265430"/>
                    </a:xfrm>
                    <a:prstGeom prst="rect">
                      <a:avLst/>
                    </a:prstGeom>
                    <a:noFill/>
                  </pic:spPr>
                </pic:pic>
              </a:graphicData>
            </a:graphic>
          </wp:anchor>
        </w:drawing>
      </w:r>
    </w:p>
    <w:p>
      <w:pPr>
        <w:spacing w:after="0" w:line="191" w:lineRule="exact"/>
        <w:rPr>
          <w:sz w:val="20"/>
          <w:szCs w:val="20"/>
          <w:color w:val="auto"/>
        </w:rPr>
      </w:pPr>
    </w:p>
    <w:p>
      <w:pPr>
        <w:ind w:left="560" w:right="100"/>
        <w:spacing w:after="0" w:line="232" w:lineRule="auto"/>
        <w:rPr>
          <w:sz w:val="20"/>
          <w:szCs w:val="20"/>
          <w:color w:val="auto"/>
        </w:rPr>
      </w:pPr>
      <w:r>
        <w:rPr>
          <w:rFonts w:ascii="Arial" w:cs="Arial" w:eastAsia="Arial" w:hAnsi="Arial"/>
          <w:sz w:val="16"/>
          <w:szCs w:val="16"/>
          <w:color w:val="auto"/>
        </w:rPr>
        <w:t>Second quarter 2021 MA LTV Per Approved Submission of $953 increased 5% compared to the prior year period. YTD 2021 MA LTV Per Approved Submission of $975 increased 11% compared to the prior year period.</w:t>
      </w:r>
    </w:p>
    <w:p>
      <w:pPr>
        <w:spacing w:after="0" w:line="141" w:lineRule="exact"/>
        <w:rPr>
          <w:sz w:val="20"/>
          <w:szCs w:val="20"/>
          <w:color w:val="auto"/>
        </w:rPr>
      </w:pPr>
    </w:p>
    <w:p>
      <w:pPr>
        <w:ind w:left="560" w:right="20"/>
        <w:spacing w:after="0" w:line="192" w:lineRule="auto"/>
        <w:rPr>
          <w:sz w:val="20"/>
          <w:szCs w:val="20"/>
          <w:color w:val="auto"/>
        </w:rPr>
      </w:pPr>
      <w:r>
        <w:rPr>
          <w:rFonts w:ascii="Arial" w:cs="Arial" w:eastAsia="Arial" w:hAnsi="Arial"/>
          <w:sz w:val="16"/>
          <w:szCs w:val="16"/>
          <w:color w:val="auto"/>
        </w:rPr>
        <w:t>Second quarter 2021 net loss of $39.2 million compared to a net loss of $22.9 million in the prior year period;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$14.3 million decreased 47% compared to the prior year period due to the 2021 strategic investments in agent capacity, marketplace technology, branding and the Encompass Platform. YTD 2021 net loss was $46.4 million compared to a net loss of $23.8 million in the prior year period;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$46.4 million decreased 25% compared to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-379730</wp:posOffset>
            </wp:positionV>
            <wp:extent cx="179705" cy="257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9705" cy="25717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48260</wp:posOffset>
            </wp:positionV>
            <wp:extent cx="179705" cy="257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9705" cy="257175"/>
                    </a:xfrm>
                    <a:prstGeom prst="rect">
                      <a:avLst/>
                    </a:prstGeom>
                    <a:noFill/>
                  </pic:spPr>
                </pic:pic>
              </a:graphicData>
            </a:graphic>
          </wp:anchor>
        </w:drawing>
      </w:r>
    </w:p>
    <w:p>
      <w:pPr>
        <w:spacing w:after="0" w:line="3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tightened its full year 2021 revenue outlook to $1,200 - $1,300 million (+37% to +48%) powered by commission net revenue of $1,000</w:t>
      </w:r>
    </w:p>
    <w:p>
      <w:pPr>
        <w:ind w:left="560" w:right="100" w:firstLine="6"/>
        <w:spacing w:after="0" w:line="202" w:lineRule="auto"/>
        <w:tabs>
          <w:tab w:leader="none" w:pos="659" w:val="left"/>
        </w:tabs>
        <w:numPr>
          <w:ilvl w:val="0"/>
          <w:numId w:val="3"/>
        </w:numPr>
        <w:rPr>
          <w:rFonts w:ascii="Arial" w:cs="Arial" w:eastAsia="Arial" w:hAnsi="Arial"/>
          <w:sz w:val="16"/>
          <w:szCs w:val="16"/>
          <w:color w:val="auto"/>
        </w:rPr>
      </w:pPr>
      <w:r>
        <w:rPr>
          <w:rFonts w:ascii="Arial" w:cs="Arial" w:eastAsia="Arial" w:hAnsi="Arial"/>
          <w:sz w:val="16"/>
          <w:szCs w:val="16"/>
          <w:color w:val="auto"/>
        </w:rPr>
        <w:t>$1,100 million (+49% to +64%) as agent growth is tracking at the high end of expectations. The Company lowered its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outlook to $300 - $330 million (+11% to +22%), primarily due to higher agent costs expected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40575" cy="13887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0575" cy="13887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both"/>
        <w:ind w:left="40" w:right="220"/>
        <w:spacing w:after="0" w:line="221" w:lineRule="auto"/>
        <w:rPr>
          <w:sz w:val="20"/>
          <w:szCs w:val="20"/>
          <w:color w:val="auto"/>
        </w:rPr>
      </w:pPr>
      <w:r>
        <w:rPr>
          <w:rFonts w:ascii="Arial" w:cs="Arial" w:eastAsia="Arial" w:hAnsi="Arial"/>
          <w:sz w:val="16"/>
          <w:szCs w:val="16"/>
          <w:color w:val="auto"/>
        </w:rPr>
        <w:t>Clint Jones, co-founder and CEO said, “GoHealth’s second quarter revenue growth of 55% was driven by a 84% gain in our Medicare—Internal segment with LTVs expanding 5%. Our ramped up investments in our Encompass Platform led to $17 million in revenue contribution from the platform’s additional services beyond enrollment for carriers. Given the 50% top-line growth over the first six months and continued strength in the market, we have raised and tightened our revenue expectations for full year fiscal 2021.”</w:t>
      </w:r>
    </w:p>
    <w:p>
      <w:pPr>
        <w:spacing w:after="0" w:line="186" w:lineRule="exact"/>
        <w:rPr>
          <w:sz w:val="20"/>
          <w:szCs w:val="20"/>
          <w:color w:val="auto"/>
        </w:rPr>
      </w:pPr>
    </w:p>
    <w:p>
      <w:pPr>
        <w:ind w:left="40" w:right="40"/>
        <w:spacing w:after="0" w:line="219" w:lineRule="auto"/>
        <w:rPr>
          <w:sz w:val="20"/>
          <w:szCs w:val="20"/>
          <w:color w:val="auto"/>
        </w:rPr>
      </w:pPr>
      <w:r>
        <w:rPr>
          <w:rFonts w:ascii="Arial" w:cs="Arial" w:eastAsia="Arial" w:hAnsi="Arial"/>
          <w:sz w:val="16"/>
          <w:szCs w:val="16"/>
          <w:color w:val="auto"/>
        </w:rPr>
        <w:t>Jones continued, “These excellent top-line results are enabled by our success at increasing our agent counts ahead of the 50% growth target, ensuring that we have ample agent capacity to address the anticipated demand during this year’s Annual Enrollment Period. While we are encouraged by the growth in our agent force, enhanced training and tight labor markets have created cost pressures that we expect to continue over the balance of the year. Given these higher agent costs, we are reducing our outlook for 2021 Adjusted EBITDA. We anticipate that these 2021 investments in agents, training, technology and Encompass will position us well for continued strong efficient growth in 2022.”</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Second Quarter 2021 Highlights</w:t>
      </w:r>
      <w:r>
        <w:rPr>
          <w:rFonts w:ascii="Arial" w:cs="Arial" w:eastAsia="Arial" w:hAnsi="Arial"/>
          <w:sz w:val="21"/>
          <w:szCs w:val="21"/>
          <w:b w:val="1"/>
          <w:bCs w:val="1"/>
          <w:color w:val="0A2299"/>
          <w:vertAlign w:val="superscript"/>
        </w:rPr>
        <w:t>2</w:t>
      </w:r>
    </w:p>
    <w:p>
      <w:pPr>
        <w:spacing w:after="0" w:line="76"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Total company revenue grew 55% to $196.9 million</w:t>
      </w:r>
    </w:p>
    <w:p>
      <w:pPr>
        <w:spacing w:after="0" w:line="113" w:lineRule="exact"/>
        <w:rPr>
          <w:rFonts w:ascii="Arial" w:cs="Arial" w:eastAsia="Arial" w:hAnsi="Arial"/>
          <w:sz w:val="16"/>
          <w:szCs w:val="16"/>
          <w:color w:val="auto"/>
        </w:rPr>
      </w:pPr>
    </w:p>
    <w:p>
      <w:pPr>
        <w:ind w:left="1300" w:hanging="320"/>
        <w:spacing w:after="0"/>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Total Medicare Commissionable Submitted Policies grew 52% to 156,559</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Medicare—Internal net revenue increased 84% to $160.4 million</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LTV Per carrier Approved MA Submission increased 5% to $953</w:t>
      </w:r>
    </w:p>
    <w:p>
      <w:pPr>
        <w:spacing w:after="0" w:line="110"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decreased 47% to $14.3 million</w:t>
      </w:r>
    </w:p>
    <w:p>
      <w:pPr>
        <w:spacing w:after="0" w:line="58" w:lineRule="exact"/>
        <w:rPr>
          <w:rFonts w:ascii="Arial" w:cs="Arial" w:eastAsia="Arial" w:hAnsi="Arial"/>
          <w:sz w:val="16"/>
          <w:szCs w:val="16"/>
          <w:color w:val="auto"/>
        </w:rPr>
      </w:pPr>
    </w:p>
    <w:p>
      <w:pPr>
        <w:ind w:left="1300" w:right="80" w:hanging="320"/>
        <w:spacing w:after="0" w:line="253" w:lineRule="auto"/>
        <w:tabs>
          <w:tab w:leader="none" w:pos="1290" w:val="left"/>
        </w:tabs>
        <w:numPr>
          <w:ilvl w:val="1"/>
          <w:numId w:val="4"/>
        </w:numPr>
        <w:rPr>
          <w:rFonts w:ascii="Arial" w:cs="Arial" w:eastAsia="Arial" w:hAnsi="Arial"/>
          <w:sz w:val="16"/>
          <w:szCs w:val="16"/>
          <w:color w:val="auto"/>
        </w:rPr>
      </w:pPr>
      <w:r>
        <w:rPr>
          <w:rFonts w:ascii="Arial" w:cs="Arial" w:eastAsia="Arial" w:hAnsi="Arial"/>
          <w:sz w:val="16"/>
          <w:szCs w:val="16"/>
          <w:color w:val="auto"/>
        </w:rPr>
        <w:t>Aggregate investment in customer care and enrollment and technology grew $39.8 million to $73.9 million, an increase of 117%, including enhanced tools and training to continue powering conversion gains and improved effectuation, as well as investments in the Encompass platform</w:t>
      </w:r>
    </w:p>
    <w:p>
      <w:pPr>
        <w:spacing w:after="0" w:line="93" w:lineRule="exact"/>
        <w:rPr>
          <w:rFonts w:ascii="Arial" w:cs="Arial" w:eastAsia="Arial" w:hAnsi="Arial"/>
          <w:sz w:val="16"/>
          <w:szCs w:val="16"/>
          <w:color w:val="auto"/>
        </w:rPr>
      </w:pPr>
    </w:p>
    <w:p>
      <w:pPr>
        <w:ind w:left="1940" w:hanging="312"/>
        <w:spacing w:after="0"/>
        <w:tabs>
          <w:tab w:leader="none" w:pos="1940" w:val="left"/>
        </w:tabs>
        <w:numPr>
          <w:ilvl w:val="2"/>
          <w:numId w:val="4"/>
        </w:numPr>
        <w:rPr>
          <w:rFonts w:ascii="Arial" w:cs="Arial" w:eastAsia="Arial" w:hAnsi="Arial"/>
          <w:sz w:val="16"/>
          <w:szCs w:val="16"/>
          <w:color w:val="auto"/>
        </w:rPr>
      </w:pPr>
      <w:r>
        <w:rPr>
          <w:rFonts w:ascii="Arial" w:cs="Arial" w:eastAsia="Arial" w:hAnsi="Arial"/>
          <w:sz w:val="16"/>
          <w:szCs w:val="16"/>
          <w:color w:val="auto"/>
        </w:rPr>
        <w:t>Agent counts grew well ahead of the 50% target as the Company prepares for the Annual Enrollment Period and fiscal 2022</w:t>
      </w:r>
    </w:p>
    <w:p>
      <w:pPr>
        <w:spacing w:after="0" w:line="113" w:lineRule="exact"/>
        <w:rPr>
          <w:rFonts w:ascii="Arial" w:cs="Arial" w:eastAsia="Arial" w:hAnsi="Arial"/>
          <w:sz w:val="16"/>
          <w:szCs w:val="16"/>
          <w:color w:val="auto"/>
        </w:rPr>
      </w:pPr>
    </w:p>
    <w:p>
      <w:pPr>
        <w:ind w:left="1300" w:hanging="320"/>
        <w:spacing w:after="0"/>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Total cost of revenue, marketing and advertising expense grew 60%, roughly in line with sales growth</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refinanced a portion of its term loans, upsized its revolver to $200 million, and lowered its annual borrowing costs by over $7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74"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0A2299"/>
        </w:rPr>
        <w:t>YTD 2021 Highlights</w:t>
      </w:r>
      <w:r>
        <w:rPr>
          <w:rFonts w:ascii="Arial" w:cs="Arial" w:eastAsia="Arial" w:hAnsi="Arial"/>
          <w:sz w:val="21"/>
          <w:szCs w:val="21"/>
          <w:b w:val="1"/>
          <w:bCs w:val="1"/>
          <w:color w:val="0A2299"/>
          <w:vertAlign w:val="superscript"/>
        </w:rPr>
        <w:t>2</w:t>
      </w:r>
    </w:p>
    <w:p>
      <w:pPr>
        <w:spacing w:after="0" w:line="76"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Total company revenue grew 50% to $401.1 million</w:t>
      </w:r>
    </w:p>
    <w:p>
      <w:pPr>
        <w:spacing w:after="0" w:line="113" w:lineRule="exact"/>
        <w:rPr>
          <w:rFonts w:ascii="Arial" w:cs="Arial" w:eastAsia="Arial" w:hAnsi="Arial"/>
          <w:sz w:val="16"/>
          <w:szCs w:val="16"/>
          <w:color w:val="auto"/>
        </w:rPr>
      </w:pPr>
    </w:p>
    <w:p>
      <w:pPr>
        <w:ind w:left="1300" w:hanging="320"/>
        <w:spacing w:after="0"/>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Medicare Commissionable Submitted Policies grew 48% to 333,130</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Medicare—Internal net revenue increased 74% to $317.8 million</w:t>
      </w:r>
    </w:p>
    <w:p>
      <w:pPr>
        <w:spacing w:after="0" w:line="113" w:lineRule="exact"/>
        <w:rPr>
          <w:rFonts w:ascii="Arial" w:cs="Arial" w:eastAsia="Arial" w:hAnsi="Arial"/>
          <w:sz w:val="16"/>
          <w:szCs w:val="16"/>
          <w:color w:val="auto"/>
        </w:rPr>
      </w:pPr>
    </w:p>
    <w:p>
      <w:pPr>
        <w:ind w:left="1300" w:hanging="320"/>
        <w:spacing w:after="0"/>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Medicare—Internal segment profit increased 4% to $77.7 million</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LTV Per carrier Approved MA Submission increased 11% to $975</w:t>
      </w:r>
    </w:p>
    <w:p>
      <w:pPr>
        <w:spacing w:after="0" w:line="110"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decreased 25% to $46.4 million</w:t>
      </w:r>
    </w:p>
    <w:p>
      <w:pPr>
        <w:spacing w:after="0" w:line="58" w:lineRule="exact"/>
        <w:rPr>
          <w:rFonts w:ascii="Arial" w:cs="Arial" w:eastAsia="Arial" w:hAnsi="Arial"/>
          <w:sz w:val="16"/>
          <w:szCs w:val="16"/>
          <w:color w:val="auto"/>
        </w:rPr>
      </w:pPr>
    </w:p>
    <w:p>
      <w:pPr>
        <w:ind w:left="1300" w:hanging="320"/>
        <w:spacing w:after="0"/>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investment in customer care and enrollment and technology grew 108% to $68.0 million</w:t>
      </w:r>
    </w:p>
    <w:p>
      <w:pPr>
        <w:spacing w:after="0" w:line="113" w:lineRule="exact"/>
        <w:rPr>
          <w:rFonts w:ascii="Arial" w:cs="Arial" w:eastAsia="Arial" w:hAnsi="Arial"/>
          <w:sz w:val="16"/>
          <w:szCs w:val="16"/>
          <w:color w:val="auto"/>
        </w:rPr>
      </w:pPr>
    </w:p>
    <w:p>
      <w:pPr>
        <w:ind w:left="1300" w:hanging="320"/>
        <w:spacing w:after="0"/>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cost of revenue, marketing and advertising expense grew 55%, roughly in line with sales growth</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2021 Financial Outlook</w:t>
      </w:r>
    </w:p>
    <w:p>
      <w:pPr>
        <w:spacing w:after="0" w:line="133"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The trajectory of the U.S. economy remains challenging to predict, particularly given the continued uncertainty associated with the pace of recovery from the COVID-19 pandemic. The Company is revising its financial outlook for the fiscal year ending December 31, 2021 based on current market conditions and expectations:</w:t>
      </w:r>
    </w:p>
    <w:p>
      <w:pPr>
        <w:spacing w:after="0" w:line="73"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Full-year 2021 net revenue of $1,200 - $1,300 million, representing year-over-year growth of 37% - 48%</w:t>
      </w:r>
    </w:p>
    <w:p>
      <w:pPr>
        <w:spacing w:after="0" w:line="113" w:lineRule="exact"/>
        <w:rPr>
          <w:rFonts w:ascii="Arial" w:cs="Arial" w:eastAsia="Arial" w:hAnsi="Arial"/>
          <w:sz w:val="16"/>
          <w:szCs w:val="16"/>
          <w:b w:val="1"/>
          <w:bCs w:val="1"/>
          <w:i w:val="1"/>
          <w:iCs w:val="1"/>
          <w:color w:val="auto"/>
        </w:rPr>
      </w:pPr>
    </w:p>
    <w:p>
      <w:pPr>
        <w:ind w:left="1300" w:right="320" w:hanging="320"/>
        <w:spacing w:after="0" w:line="286" w:lineRule="auto"/>
        <w:tabs>
          <w:tab w:leader="none" w:pos="1290" w:val="left"/>
        </w:tabs>
        <w:numPr>
          <w:ilvl w:val="1"/>
          <w:numId w:val="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Full-year 2021 commission revenue of $1,000 - $1,100 million, representing year-over-year growth of 49% - 64%, fueled by the Company’s continued investment in its Medicare business, including GoHealth’s Encompass Platform</w:t>
      </w:r>
    </w:p>
    <w:p>
      <w:pPr>
        <w:spacing w:after="0" w:line="47" w:lineRule="exact"/>
        <w:rPr>
          <w:rFonts w:ascii="Arial" w:cs="Arial" w:eastAsia="Arial" w:hAnsi="Arial"/>
          <w:sz w:val="16"/>
          <w:szCs w:val="16"/>
          <w:b w:val="1"/>
          <w:bCs w:val="1"/>
          <w:i w:val="1"/>
          <w:iCs w:val="1"/>
          <w:color w:val="auto"/>
        </w:rPr>
      </w:pPr>
    </w:p>
    <w:p>
      <w:pPr>
        <w:ind w:left="640" w:hanging="308"/>
        <w:spacing w:after="0"/>
        <w:tabs>
          <w:tab w:leader="none" w:pos="640" w:val="left"/>
        </w:tabs>
        <w:numPr>
          <w:ilvl w:val="0"/>
          <w:numId w:val="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Full-year 2021 Adjusted EBITDA</w:t>
      </w:r>
      <w:r>
        <w:rPr>
          <w:rFonts w:ascii="Arial" w:cs="Arial" w:eastAsia="Arial" w:hAnsi="Arial"/>
          <w:sz w:val="21"/>
          <w:szCs w:val="21"/>
          <w:b w:val="1"/>
          <w:bCs w:val="1"/>
          <w:i w:val="1"/>
          <w:iCs w:val="1"/>
          <w:color w:val="auto"/>
          <w:vertAlign w:val="superscript"/>
        </w:rPr>
        <w:t>1</w:t>
      </w:r>
      <w:r>
        <w:rPr>
          <w:rFonts w:ascii="Arial" w:cs="Arial" w:eastAsia="Arial" w:hAnsi="Arial"/>
          <w:sz w:val="16"/>
          <w:szCs w:val="16"/>
          <w:b w:val="1"/>
          <w:bCs w:val="1"/>
          <w:i w:val="1"/>
          <w:iCs w:val="1"/>
          <w:color w:val="auto"/>
        </w:rPr>
        <w:t xml:space="preserve"> of $300 - $330 million, representing year-over-year growth of 11% - 22%</w:t>
      </w:r>
    </w:p>
    <w:p>
      <w:pPr>
        <w:spacing w:after="0" w:line="76"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Jones added, “Seniors continue to demonstrate a high degree of interest in our model, and increasingly want to explore their Medicare plan choices from the safety and comfort of their own home through our Choice platform. GoHealth’s telesales agents are equipped with the decision support tools and experience to help consumers select the right plan for their unique needs and achieve a superior health outcome with lower costs. We are in the early days of realizing this enormous market opportunity by building GoHealth’s position as the trusted advisor for consumers, helping these consumers navigate their healthcare journey through our Encompass offerings, and in the process, creating value for our carrier partners through driving high quality enrollments.”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Conference Call Details</w:t>
      </w:r>
    </w:p>
    <w:p>
      <w:pPr>
        <w:spacing w:after="0" w:line="120" w:lineRule="exact"/>
        <w:rPr>
          <w:sz w:val="20"/>
          <w:szCs w:val="20"/>
          <w:color w:val="auto"/>
        </w:rPr>
      </w:pPr>
    </w:p>
    <w:p>
      <w:pPr>
        <w:ind w:right="40"/>
        <w:spacing w:after="0" w:line="235" w:lineRule="auto"/>
        <w:rPr>
          <w:sz w:val="20"/>
          <w:szCs w:val="20"/>
          <w:color w:val="auto"/>
        </w:rPr>
      </w:pPr>
      <w:r>
        <w:rPr>
          <w:rFonts w:ascii="Arial" w:cs="Arial" w:eastAsia="Arial" w:hAnsi="Arial"/>
          <w:sz w:val="16"/>
          <w:szCs w:val="16"/>
          <w:color w:val="auto"/>
        </w:rPr>
        <w:t>The Company will host a conference call today, Wednesday, August 11, 2021 at 5:00 p.m. (ET) to discuss its financial results. A live audio webcast and a supplemental presentation will be available online at https://investors.gohealth.com. The conference call can also be accessed by dialing 1-833-519-1310 for U.S. participants, or 1-914-800-3876 for international participants, and referencing participant code 5464567. A replay of the call will be available for 30 days via webcast for on-demand listening shortly after the completion of the call, at the same web link.</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About GoHealth, Inc.:</w:t>
      </w:r>
    </w:p>
    <w:p>
      <w:pPr>
        <w:spacing w:after="0" w:line="133"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As a leading health insurance marketplace and Medicare-focused digital health company, GoHealth's mission is to improve access to healthcare in America. Enrolling in a health insurance plan can be confusing for customers, and the seemingly small differences between plans can lead to significant out-of-pocket costs or lack of access to critical medicines and even providers. GoHealth combines cutting-edge technology, data science and deep industry expertise to match customers with the healthcare policy and carrier that is right for them. Since its inception, GoHealth has enrolled millions of people in Medicare and individual and family plans. For more information, visit https://www.gohealth.com.</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Investor Relations: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Jay Koval, VP of Investor Relations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IR@gohealth.com</w:t>
      </w:r>
    </w:p>
    <w:p>
      <w:pPr>
        <w:spacing w:after="0" w:line="39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Media Relations: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Pressinquiries@gohealth.com</w:t>
      </w:r>
    </w:p>
    <w:p>
      <w:pPr>
        <w:spacing w:after="0" w:line="200" w:lineRule="exact"/>
        <w:rPr>
          <w:sz w:val="20"/>
          <w:szCs w:val="20"/>
          <w:color w:val="auto"/>
        </w:rPr>
      </w:pPr>
    </w:p>
    <w:p>
      <w:pPr>
        <w:spacing w:after="0" w:line="244"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3"/>
          <w:szCs w:val="13"/>
          <w:i w:val="1"/>
          <w:iCs w:val="1"/>
          <w:color w:val="auto"/>
        </w:rPr>
      </w:pPr>
      <w:r>
        <w:rPr>
          <w:rFonts w:ascii="Arial" w:cs="Arial" w:eastAsia="Arial" w:hAnsi="Arial"/>
          <w:sz w:val="13"/>
          <w:szCs w:val="13"/>
          <w:i w:val="1"/>
          <w:iCs w:val="1"/>
          <w:color w:val="auto"/>
        </w:rPr>
        <w:t>Adjusted EBITDA is a non-GAAP measure. For a definition of Adjusted EBITDA and a reconciliation to the most comparable GAAP measure, please see below.</w:t>
      </w:r>
    </w:p>
    <w:p>
      <w:pPr>
        <w:spacing w:after="0" w:line="11" w:lineRule="exact"/>
        <w:rPr>
          <w:rFonts w:ascii="Arial" w:cs="Arial" w:eastAsia="Arial" w:hAnsi="Arial"/>
          <w:sz w:val="13"/>
          <w:szCs w:val="13"/>
          <w:i w:val="1"/>
          <w:iCs w:val="1"/>
          <w:color w:val="auto"/>
        </w:rPr>
      </w:pPr>
    </w:p>
    <w:p>
      <w:pPr>
        <w:ind w:left="320" w:hanging="312"/>
        <w:spacing w:after="0"/>
        <w:tabs>
          <w:tab w:leader="none" w:pos="320" w:val="left"/>
        </w:tabs>
        <w:numPr>
          <w:ilvl w:val="0"/>
          <w:numId w:val="7"/>
        </w:numPr>
        <w:rPr>
          <w:rFonts w:ascii="Arial" w:cs="Arial" w:eastAsia="Arial" w:hAnsi="Arial"/>
          <w:sz w:val="13"/>
          <w:szCs w:val="13"/>
          <w:i w:val="1"/>
          <w:iCs w:val="1"/>
          <w:color w:val="auto"/>
        </w:rPr>
      </w:pPr>
      <w:r>
        <w:rPr>
          <w:rFonts w:ascii="Arial" w:cs="Arial" w:eastAsia="Arial" w:hAnsi="Arial"/>
          <w:sz w:val="13"/>
          <w:szCs w:val="13"/>
          <w:i w:val="1"/>
          <w:iCs w:val="1"/>
          <w:color w:val="auto"/>
        </w:rPr>
        <w:t>Second quarter and YTD 2021 results compared to the comparable prior year period.</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877"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0A2299"/>
        </w:rPr>
        <w:t>Forward-Looking Statements</w:t>
      </w:r>
    </w:p>
    <w:p>
      <w:pPr>
        <w:spacing w:after="0" w:line="133"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This release contains forward-looking statements within the meaning of the Private Securities Litigation Reform Act of 1995. All statements other than statements of historical facts contained in this press release may be forward-looking statements. Statements regarding the Company’s future results of operations and financial position, business strategy and plans and objectives of management for future operations, including, among others, statements regarding expected financial performance and operational performance for the fiscal year 2021, including with respect to revenue and Adjusted EBITDA are forward-looking statements. In some cases, you can identify forward-looking statements by terms, such as “may,” “will,” “should,” “expects,” “plans,” “anticipates,” “could,” “intends,” “targets,” “projects,” “contemplates,” “believes,” “estimates,” “predicts,” “potential” or “continue” or the negative of these terms or other similar expressions. Accordingly, we caution you that any such forward-looking statements are not guarantees of future performance and are subject to risks, assumptions and uncertainties that are difficult to predict. Although the Company believes that the expectations reflected in these forward-looking statements are reasonable as of the date made, actual results may prove to be materially different from the results expressed or implied by the forward-looking statements. There are or will be important factors that could cause the Company’s actual results to differ materially from those indicated in these forward-looking statements, including, but are not limited to, the following: the Company’s ability to comply with the numerous, complex and frequently changing laws regulating the marketing and sale of Medicare plans; the potential for an adverse change in the Company’s relationships with carriers, including a loss of a carrier relationship; failure to grow the Company’s customer base or retain its existing customers; the time and cost of training agents are significant and can increase during a period of high attrition; carriers’ ability to reduce commissions paid to the Company and adversely change their underwriting practices; significant consolidation in the healthcare industry which could adversely alter the Company’s relationships with carriers; information technology systems failures or capacity constraints interrupting the Company’s operations; factors that adversely impact the Company’s estimate of LTV; the Company’s dependence on agents to sell insurance plans; changes in the health insurance system and laws and regulation governing health insurance markets; the inability to effectively advertise the Company’s products; and our ability to successfully implement our business plan during a global economic downturn caused by the COVID-19 pandemic.</w:t>
      </w:r>
    </w:p>
    <w:p>
      <w:pPr>
        <w:spacing w:after="0" w:line="10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foregoing factors should not be construed as exhaustive and should be read together with the other cautionary statements included in this press release, as well as the cautionary statements and other risk factors set forth in the Company’s Annual Report on Form 10-K for the year ended December 31, 2020 and other SEC filings. If one or more events related to these or other risks or uncertainties materialize, or if the Company’s underlying assumptions prove to be incorrect, actual results may differ materially from what the Company anticipates. Many of the important factors that will determine these results are beyond the Company’s ability to control or predict. Accordingly, you should not place undue reliance on any such forward-looking statements. Any forward-looking statement speaks only as of the date on which it is made, and, except as otherwise required by law, the Company does not undertake any obligation to publicly update or review any forward-looking statement, whether as a result of new information, future developments or otherwise. New factors emerge from time-to-time, and it is not possible for us to predict which will arise. In addition, the Company cannot assess the impact of each factor on its business or the extent to which any factor, or combination of factors, may cause actual results to differ materially from those contained in any forward-looking statements.</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Use of Non-GAAP Financial Measures and Key Performance Indicators</w:t>
      </w:r>
    </w:p>
    <w:p>
      <w:pPr>
        <w:spacing w:after="0" w:line="133"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In this press release, we use supplemental measures of our performance that are derived from our consolidated financial information, but which are not presented in our Consolidated Financial Statements prepared in accordance with Generally Accepted Accounting Principles (“GAAP”). These non-GAAP financial measures include net income (loss) before interest expense, income tax expense (benefit) and depreciation and amortization expense (“EBITDA”); Adjusted EBITDA and Adjusted EBITDA margin. Adjusted EBITDA is the primary financial performance measure used by management to evaluate its business and monitor its results of operations.</w:t>
      </w:r>
    </w:p>
    <w:p>
      <w:pPr>
        <w:spacing w:after="0" w:line="9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Adjusted EBITDA represents EBITDA as further adjusted for share-based compensation, loss on debt extinguishment, non-recurring legal fees, change in fair value of contingent consideration liability, IPO transaction costs, and severance costs. Adjusted EBITDA margin represents Adjusted EBITDA divided by net revenues.</w:t>
      </w:r>
    </w:p>
    <w:p>
      <w:pPr>
        <w:spacing w:after="0" w:line="93"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in this press release.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99"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The non-GAAP financial measures are not meant to be considered as indicators of performance in isolation from or as a substitute for net income (loss) prepared in accordance with GAAP, and should be read only in conjunction with financial information presented on a GAAP basis. Reconciliations of each of EBITDA and Adjusted EBITDA to its most directly comparable GAAP financial measure, net income (loss), are presented in the tables below in this press release. We encourage you to review the reconciliations in conjunction with the presentation of the non-GAAP financial measures for each of the periods presented. In</w:t>
      </w: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877" w:right="339" w:bottom="1440" w:gutter="0" w:footer="0" w:header="0"/>
        </w:sectPr>
      </w:pPr>
    </w:p>
    <w:bookmarkStart w:id="6" w:name="page7"/>
    <w:bookmarkEnd w:id="6"/>
    <w:p>
      <w:pPr>
        <w:ind w:right="200"/>
        <w:spacing w:after="0" w:line="260" w:lineRule="auto"/>
        <w:rPr>
          <w:sz w:val="20"/>
          <w:szCs w:val="20"/>
          <w:color w:val="auto"/>
        </w:rPr>
      </w:pPr>
      <w:r>
        <w:rPr>
          <w:rFonts w:ascii="Arial" w:cs="Arial" w:eastAsia="Arial" w:hAnsi="Arial"/>
          <w:sz w:val="16"/>
          <w:szCs w:val="16"/>
          <w:color w:val="auto"/>
        </w:rPr>
        <w:t>future periods, we may exclude similar items, may incur income and expenses similar to these excluded items and include other expenses, costs and non-recurring items.</w:t>
      </w:r>
    </w:p>
    <w:p>
      <w:pPr>
        <w:spacing w:after="0" w:line="87"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Management has provided its outlook regarding Adjusted EBITDA, which is a non-GAAP financial measure and excludes certain charges. Reconciliations of Adjusted EBITDA to its most directly comparable GAAP financial measure, net income (loss), is presented in the table below in this press release.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Glossary</w:t>
      </w:r>
    </w:p>
    <w:p>
      <w:pPr>
        <w:spacing w:after="0" w:line="117"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represents, as applicable for the period, EBITDA as further adjusted for share-based compensation expense, loss on extinguishment of</w:t>
      </w:r>
      <w:r>
        <w:rPr>
          <w:rFonts w:ascii="Arial" w:cs="Arial" w:eastAsia="Arial" w:hAnsi="Arial"/>
          <w:sz w:val="16"/>
          <w:szCs w:val="16"/>
          <w:i w:val="1"/>
          <w:iCs w:val="1"/>
          <w:color w:val="auto"/>
        </w:rPr>
        <w:t xml:space="preserve"> </w:t>
      </w:r>
      <w:r>
        <w:rPr>
          <w:rFonts w:ascii="Arial" w:cs="Arial" w:eastAsia="Arial" w:hAnsi="Arial"/>
          <w:sz w:val="16"/>
          <w:szCs w:val="16"/>
          <w:color w:val="auto"/>
        </w:rPr>
        <w:t>debt, non-recurring legal fees, change in fair value of contingent consideration liability, IPO transaction costs, and severance costs.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“Adjusted EBITDA Margin” </w:t>
      </w:r>
      <w:r>
        <w:rPr>
          <w:rFonts w:ascii="Arial" w:cs="Arial" w:eastAsia="Arial" w:hAnsi="Arial"/>
          <w:sz w:val="16"/>
          <w:szCs w:val="16"/>
          <w:color w:val="auto"/>
        </w:rPr>
        <w:t>refers to Adjusted EBITDA divided by net revenues.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“Approved Submissions” </w:t>
      </w:r>
      <w:r>
        <w:rPr>
          <w:rFonts w:ascii="Arial" w:cs="Arial" w:eastAsia="Arial" w:hAnsi="Arial"/>
          <w:sz w:val="16"/>
          <w:szCs w:val="16"/>
          <w:color w:val="auto"/>
        </w:rPr>
        <w:t>refer to Submitted Policies approved by carriers for the identified product during the indicated period.</w:t>
      </w:r>
    </w:p>
    <w:p>
      <w:pPr>
        <w:spacing w:after="0" w:line="113"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i w:val="1"/>
          <w:iCs w:val="1"/>
          <w:color w:val="auto"/>
        </w:rPr>
        <w:t xml:space="preserve">“LTV Per Approved Submission” </w:t>
      </w:r>
      <w:r>
        <w:rPr>
          <w:rFonts w:ascii="Arial" w:cs="Arial" w:eastAsia="Arial" w:hAnsi="Arial"/>
          <w:sz w:val="16"/>
          <w:szCs w:val="16"/>
          <w:color w:val="auto"/>
        </w:rPr>
        <w:t>refers to the Lifetime Value of Commissions per Approved Submission, which we define as (i) aggregate commissions</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to be collected over the estimated life of all commissionable Approved Submissions for the relevant period based on multiple factors, including but not limited to, contracted commission rates, carrier mix and expected policy persistency with applied constraints, excluding revenue adjustments recorded in the period, but relating to performance obligations satisfied in prior periods, divided by (ii) the number of commissionable Approved Submissions for such period.</w:t>
      </w:r>
    </w:p>
    <w:p>
      <w:pPr>
        <w:spacing w:after="0" w:line="76" w:lineRule="exact"/>
        <w:rPr>
          <w:sz w:val="20"/>
          <w:szCs w:val="20"/>
          <w:color w:val="auto"/>
        </w:rPr>
      </w:pPr>
    </w:p>
    <w:p>
      <w:pPr>
        <w:ind w:right="320"/>
        <w:spacing w:after="0" w:line="281" w:lineRule="auto"/>
        <w:rPr>
          <w:sz w:val="20"/>
          <w:szCs w:val="20"/>
          <w:color w:val="auto"/>
        </w:rPr>
      </w:pPr>
      <w:r>
        <w:rPr>
          <w:rFonts w:ascii="Arial" w:cs="Arial" w:eastAsia="Arial" w:hAnsi="Arial"/>
          <w:sz w:val="16"/>
          <w:szCs w:val="16"/>
          <w:i w:val="1"/>
          <w:iCs w:val="1"/>
          <w:color w:val="auto"/>
        </w:rPr>
        <w:t xml:space="preserve">“Revenue Per Submission” </w:t>
      </w:r>
      <w:r>
        <w:rPr>
          <w:rFonts w:ascii="Arial" w:cs="Arial" w:eastAsia="Arial" w:hAnsi="Arial"/>
          <w:sz w:val="16"/>
          <w:szCs w:val="16"/>
          <w:color w:val="auto"/>
        </w:rPr>
        <w:t>refers to the total net revenues per Submitted Policy, which we define as (i) total net revenue, excluding revenue adjustments</w:t>
      </w:r>
      <w:r>
        <w:rPr>
          <w:rFonts w:ascii="Arial" w:cs="Arial" w:eastAsia="Arial" w:hAnsi="Arial"/>
          <w:sz w:val="16"/>
          <w:szCs w:val="16"/>
          <w:i w:val="1"/>
          <w:iCs w:val="1"/>
          <w:color w:val="auto"/>
        </w:rPr>
        <w:t xml:space="preserve"> </w:t>
      </w:r>
      <w:r>
        <w:rPr>
          <w:rFonts w:ascii="Arial" w:cs="Arial" w:eastAsia="Arial" w:hAnsi="Arial"/>
          <w:sz w:val="16"/>
          <w:szCs w:val="16"/>
          <w:color w:val="auto"/>
        </w:rPr>
        <w:t>recorded in the period, but relating to performance obligations satisfied in prior periods, divided by (ii) the number of Submitted Policies for such period.</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“Submitted Policies” </w:t>
      </w:r>
      <w:r>
        <w:rPr>
          <w:rFonts w:ascii="Arial" w:cs="Arial" w:eastAsia="Arial" w:hAnsi="Arial"/>
          <w:sz w:val="16"/>
          <w:szCs w:val="16"/>
          <w:color w:val="auto"/>
        </w:rPr>
        <w:t>refer to completed applications that, with respect to each such application, the consumer has authorized us to submit to the carrier.</w:t>
      </w: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897"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The following tables set forth the components of our results of operations for the periods indicated (unaudited):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500" w:type="dxa"/>
            <w:vAlign w:val="bottom"/>
          </w:tcPr>
          <w:p>
            <w:pPr>
              <w:spacing w:after="0"/>
              <w:rPr>
                <w:sz w:val="15"/>
                <w:szCs w:val="15"/>
                <w:color w:val="auto"/>
              </w:rPr>
            </w:pPr>
          </w:p>
        </w:tc>
        <w:tc>
          <w:tcPr>
            <w:tcW w:w="2240" w:type="dxa"/>
            <w:vAlign w:val="bottom"/>
            <w:tcBorders>
              <w:bottom w:val="single" w:sz="8" w:color="auto"/>
            </w:tcBorders>
            <w:gridSpan w:val="4"/>
          </w:tcPr>
          <w:p>
            <w:pPr>
              <w:jc w:val="right"/>
              <w:ind w:right="37"/>
              <w:spacing w:after="0"/>
              <w:rPr>
                <w:sz w:val="20"/>
                <w:szCs w:val="20"/>
                <w:color w:val="auto"/>
              </w:rPr>
            </w:pPr>
            <w:r>
              <w:rPr>
                <w:rFonts w:ascii="Arial" w:cs="Arial" w:eastAsia="Arial" w:hAnsi="Arial"/>
                <w:sz w:val="13"/>
                <w:szCs w:val="13"/>
                <w:b w:val="1"/>
                <w:bCs w:val="1"/>
                <w:color w:val="auto"/>
                <w:w w:val="99"/>
              </w:rPr>
              <w:t>Three months ended Jun. 30, 2021</w:t>
            </w:r>
          </w:p>
        </w:tc>
        <w:tc>
          <w:tcPr>
            <w:tcW w:w="80" w:type="dxa"/>
            <w:vAlign w:val="bottom"/>
          </w:tcPr>
          <w:p>
            <w:pPr>
              <w:spacing w:after="0"/>
              <w:rPr>
                <w:sz w:val="15"/>
                <w:szCs w:val="15"/>
                <w:color w:val="auto"/>
              </w:rPr>
            </w:pPr>
          </w:p>
        </w:tc>
        <w:tc>
          <w:tcPr>
            <w:tcW w:w="2240" w:type="dxa"/>
            <w:vAlign w:val="bottom"/>
            <w:tcBorders>
              <w:bottom w:val="single" w:sz="8" w:color="auto"/>
            </w:tcBorders>
            <w:gridSpan w:val="4"/>
          </w:tcPr>
          <w:p>
            <w:pPr>
              <w:jc w:val="right"/>
              <w:ind w:right="37"/>
              <w:spacing w:after="0"/>
              <w:rPr>
                <w:sz w:val="20"/>
                <w:szCs w:val="20"/>
                <w:color w:val="auto"/>
              </w:rPr>
            </w:pPr>
            <w:r>
              <w:rPr>
                <w:rFonts w:ascii="Arial" w:cs="Arial" w:eastAsia="Arial" w:hAnsi="Arial"/>
                <w:sz w:val="13"/>
                <w:szCs w:val="13"/>
                <w:b w:val="1"/>
                <w:bCs w:val="1"/>
                <w:color w:val="auto"/>
                <w:w w:val="99"/>
              </w:rPr>
              <w:t>Three months ended Jun. 30, 2020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500" w:type="dxa"/>
            <w:vAlign w:val="bottom"/>
            <w:vMerge w:val="restart"/>
          </w:tcPr>
          <w:p>
            <w:pPr>
              <w:ind w:left="20"/>
              <w:spacing w:after="0"/>
              <w:rPr>
                <w:sz w:val="20"/>
                <w:szCs w:val="20"/>
                <w:color w:val="auto"/>
              </w:rPr>
            </w:pPr>
            <w:r>
              <w:rPr>
                <w:rFonts w:ascii="Arial" w:cs="Arial" w:eastAsia="Arial" w:hAnsi="Arial"/>
                <w:sz w:val="13"/>
                <w:szCs w:val="13"/>
                <w:color w:val="auto"/>
              </w:rPr>
              <w:t>(in thousands, except percentages and per share amounts)</w:t>
            </w:r>
          </w:p>
        </w:tc>
        <w:tc>
          <w:tcPr>
            <w:tcW w:w="240" w:type="dxa"/>
            <w:vAlign w:val="bottom"/>
          </w:tcPr>
          <w:p>
            <w:pPr>
              <w:spacing w:after="0"/>
              <w:rPr>
                <w:sz w:val="11"/>
                <w:szCs w:val="11"/>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Dollars</w:t>
            </w:r>
          </w:p>
        </w:tc>
        <w:tc>
          <w:tcPr>
            <w:tcW w:w="98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 of Net</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Dollars</w:t>
            </w:r>
          </w:p>
        </w:tc>
        <w:tc>
          <w:tcPr>
            <w:tcW w:w="10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 of Net</w:t>
            </w:r>
          </w:p>
        </w:tc>
        <w:tc>
          <w:tcPr>
            <w:tcW w:w="180" w:type="dxa"/>
            <w:vAlign w:val="bottom"/>
          </w:tcPr>
          <w:p>
            <w:pPr>
              <w:spacing w:after="0"/>
              <w:rPr>
                <w:sz w:val="11"/>
                <w:szCs w:val="11"/>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 Change</w:t>
            </w:r>
          </w:p>
        </w:tc>
        <w:tc>
          <w:tcPr>
            <w:tcW w:w="94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72"/>
        </w:trPr>
        <w:tc>
          <w:tcPr>
            <w:tcW w:w="45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80" w:type="dxa"/>
            <w:vAlign w:val="bottom"/>
          </w:tcPr>
          <w:p>
            <w:pPr>
              <w:jc w:val="right"/>
              <w:ind w:right="137"/>
              <w:spacing w:after="0"/>
              <w:rPr>
                <w:sz w:val="20"/>
                <w:szCs w:val="20"/>
                <w:color w:val="auto"/>
              </w:rPr>
            </w:pPr>
            <w:r>
              <w:rPr>
                <w:rFonts w:ascii="Arial" w:cs="Arial" w:eastAsia="Arial" w:hAnsi="Arial"/>
                <w:sz w:val="13"/>
                <w:szCs w:val="13"/>
                <w:b w:val="1"/>
                <w:bCs w:val="1"/>
                <w:color w:val="auto"/>
              </w:rPr>
              <w:t>Revenues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Revenues</w:t>
            </w: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50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i w:val="1"/>
                <w:iCs w:val="1"/>
                <w:color w:val="auto"/>
              </w:rPr>
              <w:t>Net revenues:</w:t>
            </w:r>
          </w:p>
        </w:tc>
        <w:tc>
          <w:tcPr>
            <w:tcW w:w="24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500" w:type="dxa"/>
            <w:vAlign w:val="bottom"/>
          </w:tcPr>
          <w:p>
            <w:pPr>
              <w:ind w:left="240"/>
              <w:spacing w:after="0"/>
              <w:rPr>
                <w:sz w:val="20"/>
                <w:szCs w:val="20"/>
                <w:color w:val="auto"/>
              </w:rPr>
            </w:pPr>
            <w:r>
              <w:rPr>
                <w:rFonts w:ascii="Arial" w:cs="Arial" w:eastAsia="Arial" w:hAnsi="Arial"/>
                <w:sz w:val="13"/>
                <w:szCs w:val="13"/>
                <w:color w:val="auto"/>
              </w:rPr>
              <w:t>Commission</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147,508</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74.9 %</w:t>
            </w:r>
          </w:p>
        </w:tc>
        <w:tc>
          <w:tcPr>
            <w:tcW w:w="32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96,606</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76.0 %</w:t>
            </w:r>
          </w:p>
        </w:tc>
        <w:tc>
          <w:tcPr>
            <w:tcW w:w="8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50,902</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52.7 %</w:t>
            </w:r>
          </w:p>
        </w:tc>
        <w:tc>
          <w:tcPr>
            <w:tcW w:w="0" w:type="dxa"/>
            <w:vAlign w:val="bottom"/>
          </w:tcPr>
          <w:p>
            <w:pPr>
              <w:spacing w:after="0"/>
              <w:rPr>
                <w:sz w:val="1"/>
                <w:szCs w:val="1"/>
                <w:color w:val="auto"/>
              </w:rPr>
            </w:pPr>
          </w:p>
        </w:tc>
      </w:tr>
      <w:tr>
        <w:trPr>
          <w:trHeight w:val="183"/>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Enterprise</w:t>
            </w: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49,394</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25.1 %</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30,451</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24.0 %</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18,943</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62.2 %</w:t>
            </w:r>
          </w:p>
        </w:tc>
        <w:tc>
          <w:tcPr>
            <w:tcW w:w="0" w:type="dxa"/>
            <w:vAlign w:val="bottom"/>
          </w:tcPr>
          <w:p>
            <w:pPr>
              <w:spacing w:after="0"/>
              <w:rPr>
                <w:sz w:val="1"/>
                <w:szCs w:val="1"/>
                <w:color w:val="auto"/>
              </w:rPr>
            </w:pPr>
          </w:p>
        </w:tc>
      </w:tr>
      <w:tr>
        <w:trPr>
          <w:trHeight w:val="163"/>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revenues</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196,902</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127,057</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69,845</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55.0 %</w:t>
            </w:r>
          </w:p>
        </w:tc>
        <w:tc>
          <w:tcPr>
            <w:tcW w:w="0" w:type="dxa"/>
            <w:vAlign w:val="bottom"/>
          </w:tcPr>
          <w:p>
            <w:pPr>
              <w:spacing w:after="0"/>
              <w:rPr>
                <w:sz w:val="1"/>
                <w:szCs w:val="1"/>
                <w:color w:val="auto"/>
              </w:rPr>
            </w:pPr>
          </w:p>
        </w:tc>
      </w:tr>
      <w:tr>
        <w:trPr>
          <w:trHeight w:val="162"/>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Operating expenses:</w:t>
            </w: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00" w:type="dxa"/>
            <w:vAlign w:val="bottom"/>
          </w:tcPr>
          <w:p>
            <w:pPr>
              <w:ind w:left="240"/>
              <w:spacing w:after="0"/>
              <w:rPr>
                <w:sz w:val="20"/>
                <w:szCs w:val="20"/>
                <w:color w:val="auto"/>
              </w:rPr>
            </w:pPr>
            <w:r>
              <w:rPr>
                <w:rFonts w:ascii="Arial" w:cs="Arial" w:eastAsia="Arial" w:hAnsi="Arial"/>
                <w:sz w:val="13"/>
                <w:szCs w:val="13"/>
                <w:color w:val="auto"/>
              </w:rPr>
              <w:t>Cost of revenue</w:t>
            </w:r>
          </w:p>
        </w:tc>
        <w:tc>
          <w:tcPr>
            <w:tcW w:w="24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37,442</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19.0 %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36,559</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28.8 %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883</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2.4 %</w:t>
            </w:r>
          </w:p>
        </w:tc>
        <w:tc>
          <w:tcPr>
            <w:tcW w:w="0" w:type="dxa"/>
            <w:vAlign w:val="bottom"/>
          </w:tcPr>
          <w:p>
            <w:pPr>
              <w:spacing w:after="0"/>
              <w:rPr>
                <w:sz w:val="1"/>
                <w:szCs w:val="1"/>
                <w:color w:val="auto"/>
              </w:rPr>
            </w:pPr>
          </w:p>
        </w:tc>
      </w:tr>
      <w:tr>
        <w:trPr>
          <w:trHeight w:val="184"/>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Marketing and advertising</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55,735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28.3 %</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21,634</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34,101</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157.6 %</w:t>
            </w:r>
          </w:p>
        </w:tc>
        <w:tc>
          <w:tcPr>
            <w:tcW w:w="0" w:type="dxa"/>
            <w:vAlign w:val="bottom"/>
          </w:tcPr>
          <w:p>
            <w:pPr>
              <w:spacing w:after="0"/>
              <w:rPr>
                <w:sz w:val="1"/>
                <w:szCs w:val="1"/>
                <w:color w:val="auto"/>
              </w:rPr>
            </w:pPr>
          </w:p>
        </w:tc>
      </w:tr>
      <w:tr>
        <w:trPr>
          <w:trHeight w:val="168"/>
        </w:trPr>
        <w:tc>
          <w:tcPr>
            <w:tcW w:w="4500" w:type="dxa"/>
            <w:vAlign w:val="bottom"/>
          </w:tcPr>
          <w:p>
            <w:pPr>
              <w:ind w:left="240"/>
              <w:spacing w:after="0"/>
              <w:rPr>
                <w:sz w:val="20"/>
                <w:szCs w:val="20"/>
                <w:color w:val="auto"/>
              </w:rPr>
            </w:pPr>
            <w:r>
              <w:rPr>
                <w:rFonts w:ascii="Arial" w:cs="Arial" w:eastAsia="Arial" w:hAnsi="Arial"/>
                <w:sz w:val="13"/>
                <w:szCs w:val="13"/>
                <w:color w:val="auto"/>
              </w:rPr>
              <w:t>Customer care and enrollment</w:t>
            </w:r>
          </w:p>
        </w:tc>
        <w:tc>
          <w:tcPr>
            <w:tcW w:w="24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61,927</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31.5 %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28,394</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22.3 %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33,533</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118.1 %</w:t>
            </w:r>
          </w:p>
        </w:tc>
        <w:tc>
          <w:tcPr>
            <w:tcW w:w="0" w:type="dxa"/>
            <w:vAlign w:val="bottom"/>
          </w:tcPr>
          <w:p>
            <w:pPr>
              <w:spacing w:after="0"/>
              <w:rPr>
                <w:sz w:val="1"/>
                <w:szCs w:val="1"/>
                <w:color w:val="auto"/>
              </w:rPr>
            </w:pPr>
          </w:p>
        </w:tc>
      </w:tr>
      <w:tr>
        <w:trPr>
          <w:trHeight w:val="183"/>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Technology</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11,983</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6.1 %</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5,705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6,278</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110.0 %</w:t>
            </w:r>
          </w:p>
        </w:tc>
        <w:tc>
          <w:tcPr>
            <w:tcW w:w="0" w:type="dxa"/>
            <w:vAlign w:val="bottom"/>
          </w:tcPr>
          <w:p>
            <w:pPr>
              <w:spacing w:after="0"/>
              <w:rPr>
                <w:sz w:val="1"/>
                <w:szCs w:val="1"/>
                <w:color w:val="auto"/>
              </w:rPr>
            </w:pPr>
          </w:p>
        </w:tc>
      </w:tr>
      <w:tr>
        <w:trPr>
          <w:trHeight w:val="168"/>
        </w:trPr>
        <w:tc>
          <w:tcPr>
            <w:tcW w:w="4500" w:type="dxa"/>
            <w:vAlign w:val="bottom"/>
          </w:tcPr>
          <w:p>
            <w:pPr>
              <w:ind w:left="240"/>
              <w:spacing w:after="0"/>
              <w:rPr>
                <w:sz w:val="20"/>
                <w:szCs w:val="20"/>
                <w:color w:val="auto"/>
              </w:rPr>
            </w:pPr>
            <w:r>
              <w:rPr>
                <w:rFonts w:ascii="Arial" w:cs="Arial" w:eastAsia="Arial" w:hAnsi="Arial"/>
                <w:sz w:val="13"/>
                <w:szCs w:val="13"/>
                <w:color w:val="auto"/>
              </w:rPr>
              <w:t>General and administrative</w:t>
            </w:r>
          </w:p>
        </w:tc>
        <w:tc>
          <w:tcPr>
            <w:tcW w:w="24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25,251</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12.8 %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10,359</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8.2 %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14,892</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143.8 %</w:t>
            </w:r>
          </w:p>
        </w:tc>
        <w:tc>
          <w:tcPr>
            <w:tcW w:w="0" w:type="dxa"/>
            <w:vAlign w:val="bottom"/>
          </w:tcPr>
          <w:p>
            <w:pPr>
              <w:spacing w:after="0"/>
              <w:rPr>
                <w:sz w:val="1"/>
                <w:szCs w:val="1"/>
                <w:color w:val="auto"/>
              </w:rPr>
            </w:pPr>
          </w:p>
        </w:tc>
      </w:tr>
      <w:tr>
        <w:trPr>
          <w:trHeight w:val="183"/>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Change in fair value of contingent consideration liability</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15,300</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(15,300)</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9"/>
        </w:trPr>
        <w:tc>
          <w:tcPr>
            <w:tcW w:w="450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Amortization of intangible assets</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23,515</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11.9 %</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23,514</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18.5 %</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75"/>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operating expenses</w:t>
            </w: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215,853</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109.6 %</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141,465</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111.3 %</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74,388</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52.6 %</w:t>
            </w:r>
          </w:p>
        </w:tc>
        <w:tc>
          <w:tcPr>
            <w:tcW w:w="0" w:type="dxa"/>
            <w:vAlign w:val="bottom"/>
          </w:tcPr>
          <w:p>
            <w:pPr>
              <w:spacing w:after="0"/>
              <w:rPr>
                <w:sz w:val="1"/>
                <w:szCs w:val="1"/>
                <w:color w:val="auto"/>
              </w:rPr>
            </w:pPr>
          </w:p>
        </w:tc>
      </w:tr>
      <w:tr>
        <w:trPr>
          <w:trHeight w:val="161"/>
        </w:trPr>
        <w:tc>
          <w:tcPr>
            <w:tcW w:w="4500" w:type="dxa"/>
            <w:vAlign w:val="bottom"/>
          </w:tcPr>
          <w:p>
            <w:pPr>
              <w:ind w:left="20"/>
              <w:spacing w:after="0"/>
              <w:rPr>
                <w:sz w:val="20"/>
                <w:szCs w:val="20"/>
                <w:color w:val="auto"/>
              </w:rPr>
            </w:pPr>
            <w:r>
              <w:rPr>
                <w:rFonts w:ascii="Arial" w:cs="Arial" w:eastAsia="Arial" w:hAnsi="Arial"/>
                <w:sz w:val="13"/>
                <w:szCs w:val="13"/>
                <w:color w:val="auto"/>
              </w:rPr>
              <w:t>Income (loss) from operations</w:t>
            </w:r>
          </w:p>
        </w:tc>
        <w:tc>
          <w:tcPr>
            <w:tcW w:w="240" w:type="dxa"/>
            <w:vAlign w:val="bottom"/>
          </w:tcPr>
          <w:p>
            <w:pPr>
              <w:spacing w:after="0"/>
              <w:rPr>
                <w:sz w:val="14"/>
                <w:szCs w:val="14"/>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(18,951)</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(14,408)</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(4,543)</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31.5 %</w:t>
            </w:r>
          </w:p>
        </w:tc>
        <w:tc>
          <w:tcPr>
            <w:tcW w:w="0" w:type="dxa"/>
            <w:vAlign w:val="bottom"/>
          </w:tcPr>
          <w:p>
            <w:pPr>
              <w:spacing w:after="0"/>
              <w:rPr>
                <w:sz w:val="1"/>
                <w:szCs w:val="1"/>
                <w:color w:val="auto"/>
              </w:rPr>
            </w:pPr>
          </w:p>
        </w:tc>
      </w:tr>
      <w:tr>
        <w:trPr>
          <w:trHeight w:val="183"/>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expense</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8,277</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4.2 %</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8,986</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(709)</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68"/>
        </w:trPr>
        <w:tc>
          <w:tcPr>
            <w:tcW w:w="4500" w:type="dxa"/>
            <w:vAlign w:val="bottom"/>
          </w:tcPr>
          <w:p>
            <w:pPr>
              <w:ind w:left="20"/>
              <w:spacing w:after="0"/>
              <w:rPr>
                <w:sz w:val="20"/>
                <w:szCs w:val="20"/>
                <w:color w:val="auto"/>
              </w:rPr>
            </w:pPr>
            <w:r>
              <w:rPr>
                <w:rFonts w:ascii="Arial" w:cs="Arial" w:eastAsia="Arial" w:hAnsi="Arial"/>
                <w:sz w:val="13"/>
                <w:szCs w:val="13"/>
                <w:color w:val="auto"/>
              </w:rPr>
              <w:t>Loss on extinguishment of debt</w:t>
            </w:r>
          </w:p>
        </w:tc>
        <w:tc>
          <w:tcPr>
            <w:tcW w:w="24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11,935</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6.1 %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11,935</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83"/>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(income) expense</w:t>
            </w: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(505)</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549</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3"/>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(loss) before income taxes</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(39,207)</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(19.9)%</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(22,889)</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(18.0)%</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(16,318)</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71.3 %</w:t>
            </w:r>
          </w:p>
        </w:tc>
        <w:tc>
          <w:tcPr>
            <w:tcW w:w="0" w:type="dxa"/>
            <w:vAlign w:val="bottom"/>
          </w:tcPr>
          <w:p>
            <w:pPr>
              <w:spacing w:after="0"/>
              <w:rPr>
                <w:sz w:val="1"/>
                <w:szCs w:val="1"/>
                <w:color w:val="auto"/>
              </w:rPr>
            </w:pPr>
          </w:p>
        </w:tc>
      </w:tr>
      <w:tr>
        <w:trPr>
          <w:trHeight w:val="175"/>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 (benefit)</w:t>
            </w: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3"/>
        </w:trPr>
        <w:tc>
          <w:tcPr>
            <w:tcW w:w="450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(39,175)</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(19.9)%</w:t>
            </w:r>
          </w:p>
        </w:tc>
        <w:tc>
          <w:tcPr>
            <w:tcW w:w="32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(22,867)</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(18.0)%</w:t>
            </w:r>
          </w:p>
        </w:tc>
        <w:tc>
          <w:tcPr>
            <w:tcW w:w="8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(16,308)</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71.3 %</w:t>
            </w:r>
          </w:p>
        </w:tc>
        <w:tc>
          <w:tcPr>
            <w:tcW w:w="0" w:type="dxa"/>
            <w:vAlign w:val="bottom"/>
          </w:tcPr>
          <w:p>
            <w:pPr>
              <w:spacing w:after="0"/>
              <w:rPr>
                <w:sz w:val="1"/>
                <w:szCs w:val="1"/>
                <w:color w:val="auto"/>
              </w:rPr>
            </w:pPr>
          </w:p>
        </w:tc>
      </w:tr>
      <w:tr>
        <w:trPr>
          <w:trHeight w:val="169"/>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(loss) attributable to noncontrolling interests</w:t>
            </w: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(27,186)</w:t>
            </w: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500" w:type="dxa"/>
            <w:vAlign w:val="bottom"/>
          </w:tcPr>
          <w:p>
            <w:pPr>
              <w:ind w:left="20"/>
              <w:spacing w:after="0"/>
              <w:rPr>
                <w:sz w:val="20"/>
                <w:szCs w:val="20"/>
                <w:color w:val="auto"/>
              </w:rPr>
            </w:pPr>
            <w:r>
              <w:rPr>
                <w:rFonts w:ascii="Arial" w:cs="Arial" w:eastAsia="Arial" w:hAnsi="Arial"/>
                <w:sz w:val="13"/>
                <w:szCs w:val="13"/>
                <w:b w:val="1"/>
                <w:bCs w:val="1"/>
                <w:color w:val="auto"/>
              </w:rPr>
              <w:t>Net income (loss) attributable to GoHealth, Inc.</w:t>
            </w:r>
          </w:p>
        </w:tc>
        <w:tc>
          <w:tcPr>
            <w:tcW w:w="2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(11,989)</w:t>
            </w:r>
          </w:p>
        </w:tc>
        <w:tc>
          <w:tcPr>
            <w:tcW w:w="10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50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i w:val="1"/>
                <w:iCs w:val="1"/>
                <w:color w:val="auto"/>
              </w:rPr>
              <w:t>Net income (loss) per share:</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500" w:type="dxa"/>
            <w:vAlign w:val="bottom"/>
          </w:tcPr>
          <w:p>
            <w:pPr>
              <w:ind w:left="20"/>
              <w:spacing w:after="0"/>
              <w:rPr>
                <w:sz w:val="20"/>
                <w:szCs w:val="20"/>
                <w:color w:val="auto"/>
              </w:rPr>
            </w:pPr>
            <w:r>
              <w:rPr>
                <w:rFonts w:ascii="Arial" w:cs="Arial" w:eastAsia="Arial" w:hAnsi="Arial"/>
                <w:sz w:val="13"/>
                <w:szCs w:val="13"/>
                <w:color w:val="auto"/>
              </w:rPr>
              <w:t>Net income (loss) per share of common stock — basic and diluted</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(0.12)</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50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rPr>
              <w:t>Weighted-average shares of Class A common stock outstanding — basic and</w:t>
            </w:r>
          </w:p>
        </w:tc>
        <w:tc>
          <w:tcPr>
            <w:tcW w:w="2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102,300</w:t>
            </w: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diluted</w:t>
            </w:r>
          </w:p>
        </w:tc>
        <w:tc>
          <w:tcPr>
            <w:tcW w:w="24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500" w:type="dxa"/>
            <w:vAlign w:val="bottom"/>
          </w:tcPr>
          <w:p>
            <w:pPr>
              <w:ind w:left="20"/>
              <w:spacing w:after="0"/>
              <w:rPr>
                <w:sz w:val="20"/>
                <w:szCs w:val="20"/>
                <w:color w:val="auto"/>
              </w:rPr>
            </w:pPr>
            <w:r>
              <w:rPr>
                <w:rFonts w:ascii="Arial" w:cs="Arial" w:eastAsia="Arial" w:hAnsi="Arial"/>
                <w:sz w:val="13"/>
                <w:szCs w:val="13"/>
                <w:i w:val="1"/>
                <w:iCs w:val="1"/>
                <w:color w:val="auto"/>
              </w:rPr>
              <w:t>Non-GAAP financial measures:</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EBITDA</w:t>
            </w: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(5,192)</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10,615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500" w:type="dxa"/>
            <w:vAlign w:val="bottom"/>
          </w:tcPr>
          <w:p>
            <w:pPr>
              <w:ind w:left="240"/>
              <w:spacing w:after="0"/>
              <w:rPr>
                <w:sz w:val="20"/>
                <w:szCs w:val="20"/>
                <w:color w:val="auto"/>
              </w:rPr>
            </w:pPr>
            <w:r>
              <w:rPr>
                <w:rFonts w:ascii="Arial" w:cs="Arial" w:eastAsia="Arial" w:hAnsi="Arial"/>
                <w:sz w:val="13"/>
                <w:szCs w:val="13"/>
                <w:color w:val="auto"/>
              </w:rPr>
              <w:t>Adjusted EBITDA</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14,342</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26,936</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Adjusted EBITDA margin</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7.3 %</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21.2 %</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rPr>
          <w:sz w:val="20"/>
          <w:szCs w:val="20"/>
          <w:color w:val="auto"/>
        </w:rPr>
      </w:pPr>
      <w:r>
        <w:rPr>
          <w:rFonts w:ascii="Arial" w:cs="Arial" w:eastAsia="Arial" w:hAnsi="Arial"/>
          <w:sz w:val="13"/>
          <w:szCs w:val="13"/>
          <w:i w:val="1"/>
          <w:iCs w:val="1"/>
          <w:color w:val="auto"/>
        </w:rPr>
        <w:t>NM = Not meaningful</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789"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7"/>
        </w:trPr>
        <w:tc>
          <w:tcPr>
            <w:tcW w:w="4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jc w:val="right"/>
              <w:ind w:right="117"/>
              <w:spacing w:after="0"/>
              <w:rPr>
                <w:sz w:val="20"/>
                <w:szCs w:val="20"/>
                <w:color w:val="auto"/>
              </w:rPr>
            </w:pPr>
            <w:r>
              <w:rPr>
                <w:rFonts w:ascii="Arial" w:cs="Arial" w:eastAsia="Arial" w:hAnsi="Arial"/>
                <w:sz w:val="13"/>
                <w:szCs w:val="13"/>
                <w:b w:val="1"/>
                <w:bCs w:val="1"/>
                <w:color w:val="auto"/>
                <w:w w:val="97"/>
              </w:rPr>
              <w:t>Six months ended Jun. 30, 2021</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tcPr>
          <w:p>
            <w:pPr>
              <w:jc w:val="right"/>
              <w:ind w:right="97"/>
              <w:spacing w:after="0"/>
              <w:rPr>
                <w:sz w:val="20"/>
                <w:szCs w:val="20"/>
                <w:color w:val="auto"/>
              </w:rPr>
            </w:pPr>
            <w:r>
              <w:rPr>
                <w:rFonts w:ascii="Arial" w:cs="Arial" w:eastAsia="Arial" w:hAnsi="Arial"/>
                <w:sz w:val="13"/>
                <w:szCs w:val="13"/>
                <w:b w:val="1"/>
                <w:bCs w:val="1"/>
                <w:color w:val="auto"/>
                <w:w w:val="97"/>
              </w:rPr>
              <w:t>Six months ended Jun. 30, 2020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500" w:type="dxa"/>
            <w:vAlign w:val="bottom"/>
            <w:vMerge w:val="restart"/>
          </w:tcPr>
          <w:p>
            <w:pPr>
              <w:ind w:left="20"/>
              <w:spacing w:after="0"/>
              <w:rPr>
                <w:sz w:val="20"/>
                <w:szCs w:val="20"/>
                <w:color w:val="auto"/>
              </w:rPr>
            </w:pPr>
            <w:r>
              <w:rPr>
                <w:rFonts w:ascii="Arial" w:cs="Arial" w:eastAsia="Arial" w:hAnsi="Arial"/>
                <w:sz w:val="13"/>
                <w:szCs w:val="13"/>
                <w:color w:val="auto"/>
              </w:rPr>
              <w:t>(in thousands, except percentages and per share amounts)</w:t>
            </w:r>
          </w:p>
        </w:tc>
        <w:tc>
          <w:tcPr>
            <w:tcW w:w="120" w:type="dxa"/>
            <w:vAlign w:val="bottom"/>
          </w:tcPr>
          <w:p>
            <w:pPr>
              <w:spacing w:after="0"/>
              <w:rPr>
                <w:sz w:val="11"/>
                <w:szCs w:val="11"/>
                <w:color w:val="auto"/>
              </w:rPr>
            </w:pPr>
          </w:p>
        </w:tc>
        <w:tc>
          <w:tcPr>
            <w:tcW w:w="1140" w:type="dxa"/>
            <w:vAlign w:val="bottom"/>
            <w:gridSpan w:val="2"/>
            <w:vMerge w:val="restart"/>
          </w:tcPr>
          <w:p>
            <w:pPr>
              <w:ind w:left="260"/>
              <w:spacing w:after="0"/>
              <w:rPr>
                <w:sz w:val="20"/>
                <w:szCs w:val="20"/>
                <w:color w:val="auto"/>
              </w:rPr>
            </w:pPr>
            <w:r>
              <w:rPr>
                <w:rFonts w:ascii="Arial" w:cs="Arial" w:eastAsia="Arial" w:hAnsi="Arial"/>
                <w:sz w:val="13"/>
                <w:szCs w:val="13"/>
                <w:b w:val="1"/>
                <w:bCs w:val="1"/>
                <w:color w:val="auto"/>
              </w:rPr>
              <w:t>Dollars</w:t>
            </w:r>
          </w:p>
        </w:tc>
        <w:tc>
          <w:tcPr>
            <w:tcW w:w="98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 of Net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Dollars</w:t>
            </w:r>
          </w:p>
        </w:tc>
        <w:tc>
          <w:tcPr>
            <w:tcW w:w="10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 of Net</w:t>
            </w:r>
          </w:p>
        </w:tc>
        <w:tc>
          <w:tcPr>
            <w:tcW w:w="180" w:type="dxa"/>
            <w:vAlign w:val="bottom"/>
          </w:tcPr>
          <w:p>
            <w:pPr>
              <w:spacing w:after="0"/>
              <w:rPr>
                <w:sz w:val="11"/>
                <w:szCs w:val="11"/>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 Change</w:t>
            </w:r>
          </w:p>
        </w:tc>
        <w:tc>
          <w:tcPr>
            <w:tcW w:w="94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72"/>
        </w:trPr>
        <w:tc>
          <w:tcPr>
            <w:tcW w:w="4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980" w:type="dxa"/>
            <w:vAlign w:val="bottom"/>
          </w:tcPr>
          <w:p>
            <w:pPr>
              <w:jc w:val="right"/>
              <w:ind w:right="137"/>
              <w:spacing w:after="0"/>
              <w:rPr>
                <w:sz w:val="20"/>
                <w:szCs w:val="20"/>
                <w:color w:val="auto"/>
              </w:rPr>
            </w:pPr>
            <w:r>
              <w:rPr>
                <w:rFonts w:ascii="Arial" w:cs="Arial" w:eastAsia="Arial" w:hAnsi="Arial"/>
                <w:sz w:val="13"/>
                <w:szCs w:val="13"/>
                <w:b w:val="1"/>
                <w:bCs w:val="1"/>
                <w:color w:val="auto"/>
              </w:rPr>
              <w:t>Revenues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Revenues</w:t>
            </w: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50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i w:val="1"/>
                <w:iCs w:val="1"/>
                <w:color w:val="auto"/>
              </w:rPr>
              <w:t>Net revenues:</w:t>
            </w:r>
          </w:p>
        </w:tc>
        <w:tc>
          <w:tcPr>
            <w:tcW w:w="1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500" w:type="dxa"/>
            <w:vAlign w:val="bottom"/>
          </w:tcPr>
          <w:p>
            <w:pPr>
              <w:ind w:left="240"/>
              <w:spacing w:after="0"/>
              <w:rPr>
                <w:sz w:val="20"/>
                <w:szCs w:val="20"/>
                <w:color w:val="auto"/>
              </w:rPr>
            </w:pPr>
            <w:r>
              <w:rPr>
                <w:rFonts w:ascii="Arial" w:cs="Arial" w:eastAsia="Arial" w:hAnsi="Arial"/>
                <w:sz w:val="13"/>
                <w:szCs w:val="13"/>
                <w:color w:val="auto"/>
              </w:rPr>
              <w:t>Commission</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97"/>
              <w:spacing w:after="0"/>
              <w:rPr>
                <w:sz w:val="20"/>
                <w:szCs w:val="20"/>
                <w:color w:val="auto"/>
              </w:rPr>
            </w:pPr>
            <w:r>
              <w:rPr>
                <w:rFonts w:ascii="Arial" w:cs="Arial" w:eastAsia="Arial" w:hAnsi="Arial"/>
                <w:sz w:val="13"/>
                <w:szCs w:val="13"/>
                <w:color w:val="auto"/>
              </w:rPr>
              <w:t>321,489</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80.2 %</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209,116</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78.0 %</w:t>
            </w:r>
          </w:p>
        </w:tc>
        <w:tc>
          <w:tcPr>
            <w:tcW w:w="8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112,373</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53.7 %</w:t>
            </w:r>
          </w:p>
        </w:tc>
        <w:tc>
          <w:tcPr>
            <w:tcW w:w="0" w:type="dxa"/>
            <w:vAlign w:val="bottom"/>
          </w:tcPr>
          <w:p>
            <w:pPr>
              <w:spacing w:after="0"/>
              <w:rPr>
                <w:sz w:val="1"/>
                <w:szCs w:val="1"/>
                <w:color w:val="auto"/>
              </w:rPr>
            </w:pPr>
          </w:p>
        </w:tc>
      </w:tr>
      <w:tr>
        <w:trPr>
          <w:trHeight w:val="183"/>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Enterprise</w:t>
            </w:r>
          </w:p>
        </w:tc>
        <w:tc>
          <w:tcPr>
            <w:tcW w:w="1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79,592</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19.8 %</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58,951</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22.0 %</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20,641</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35.0 %</w:t>
            </w:r>
          </w:p>
        </w:tc>
        <w:tc>
          <w:tcPr>
            <w:tcW w:w="0" w:type="dxa"/>
            <w:vAlign w:val="bottom"/>
          </w:tcPr>
          <w:p>
            <w:pPr>
              <w:spacing w:after="0"/>
              <w:rPr>
                <w:sz w:val="1"/>
                <w:szCs w:val="1"/>
                <w:color w:val="auto"/>
              </w:rPr>
            </w:pPr>
          </w:p>
        </w:tc>
      </w:tr>
      <w:tr>
        <w:trPr>
          <w:trHeight w:val="163"/>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revenues</w:t>
            </w: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401,081</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268,067</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133,014</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49.6 %</w:t>
            </w:r>
          </w:p>
        </w:tc>
        <w:tc>
          <w:tcPr>
            <w:tcW w:w="0" w:type="dxa"/>
            <w:vAlign w:val="bottom"/>
          </w:tcPr>
          <w:p>
            <w:pPr>
              <w:spacing w:after="0"/>
              <w:rPr>
                <w:sz w:val="1"/>
                <w:szCs w:val="1"/>
                <w:color w:val="auto"/>
              </w:rPr>
            </w:pPr>
          </w:p>
        </w:tc>
      </w:tr>
      <w:tr>
        <w:trPr>
          <w:trHeight w:val="162"/>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Operating expenses:</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00" w:type="dxa"/>
            <w:vAlign w:val="bottom"/>
          </w:tcPr>
          <w:p>
            <w:pPr>
              <w:ind w:left="240"/>
              <w:spacing w:after="0"/>
              <w:rPr>
                <w:sz w:val="20"/>
                <w:szCs w:val="20"/>
                <w:color w:val="auto"/>
              </w:rPr>
            </w:pPr>
            <w:r>
              <w:rPr>
                <w:rFonts w:ascii="Arial" w:cs="Arial" w:eastAsia="Arial" w:hAnsi="Arial"/>
                <w:sz w:val="13"/>
                <w:szCs w:val="13"/>
                <w:color w:val="auto"/>
              </w:rPr>
              <w:t>Cost of revenue</w:t>
            </w:r>
          </w:p>
        </w:tc>
        <w:tc>
          <w:tcPr>
            <w:tcW w:w="120" w:type="dxa"/>
            <w:vAlign w:val="bottom"/>
          </w:tcPr>
          <w:p>
            <w:pPr>
              <w:spacing w:after="0"/>
              <w:rPr>
                <w:sz w:val="14"/>
                <w:szCs w:val="14"/>
                <w:color w:val="auto"/>
              </w:rPr>
            </w:pPr>
          </w:p>
        </w:tc>
        <w:tc>
          <w:tcPr>
            <w:tcW w:w="1040" w:type="dxa"/>
            <w:vAlign w:val="bottom"/>
          </w:tcPr>
          <w:p>
            <w:pPr>
              <w:jc w:val="right"/>
              <w:ind w:right="97"/>
              <w:spacing w:after="0"/>
              <w:rPr>
                <w:sz w:val="20"/>
                <w:szCs w:val="20"/>
                <w:color w:val="auto"/>
              </w:rPr>
            </w:pPr>
            <w:r>
              <w:rPr>
                <w:rFonts w:ascii="Arial" w:cs="Arial" w:eastAsia="Arial" w:hAnsi="Arial"/>
                <w:sz w:val="13"/>
                <w:szCs w:val="13"/>
                <w:color w:val="auto"/>
              </w:rPr>
              <w:t>85,817</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21.4 %</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78,693</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29.4 %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7,124</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9.1 %</w:t>
            </w:r>
          </w:p>
        </w:tc>
        <w:tc>
          <w:tcPr>
            <w:tcW w:w="0" w:type="dxa"/>
            <w:vAlign w:val="bottom"/>
          </w:tcPr>
          <w:p>
            <w:pPr>
              <w:spacing w:after="0"/>
              <w:rPr>
                <w:sz w:val="1"/>
                <w:szCs w:val="1"/>
                <w:color w:val="auto"/>
              </w:rPr>
            </w:pPr>
          </w:p>
        </w:tc>
      </w:tr>
      <w:tr>
        <w:trPr>
          <w:trHeight w:val="183"/>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Marketing and advertising</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110,219</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27.5 %</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47,708</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62,511</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131.0 %</w:t>
            </w:r>
          </w:p>
        </w:tc>
        <w:tc>
          <w:tcPr>
            <w:tcW w:w="0" w:type="dxa"/>
            <w:vAlign w:val="bottom"/>
          </w:tcPr>
          <w:p>
            <w:pPr>
              <w:spacing w:after="0"/>
              <w:rPr>
                <w:sz w:val="1"/>
                <w:szCs w:val="1"/>
                <w:color w:val="auto"/>
              </w:rPr>
            </w:pPr>
          </w:p>
        </w:tc>
      </w:tr>
      <w:tr>
        <w:trPr>
          <w:trHeight w:val="168"/>
        </w:trPr>
        <w:tc>
          <w:tcPr>
            <w:tcW w:w="4500" w:type="dxa"/>
            <w:vAlign w:val="bottom"/>
          </w:tcPr>
          <w:p>
            <w:pPr>
              <w:ind w:left="240"/>
              <w:spacing w:after="0"/>
              <w:rPr>
                <w:sz w:val="20"/>
                <w:szCs w:val="20"/>
                <w:color w:val="auto"/>
              </w:rPr>
            </w:pPr>
            <w:r>
              <w:rPr>
                <w:rFonts w:ascii="Arial" w:cs="Arial" w:eastAsia="Arial" w:hAnsi="Arial"/>
                <w:sz w:val="13"/>
                <w:szCs w:val="13"/>
                <w:color w:val="auto"/>
              </w:rPr>
              <w:t>Customer care and enrollment</w:t>
            </w:r>
          </w:p>
        </w:tc>
        <w:tc>
          <w:tcPr>
            <w:tcW w:w="120" w:type="dxa"/>
            <w:vAlign w:val="bottom"/>
          </w:tcPr>
          <w:p>
            <w:pPr>
              <w:spacing w:after="0"/>
              <w:rPr>
                <w:sz w:val="14"/>
                <w:szCs w:val="14"/>
                <w:color w:val="auto"/>
              </w:rPr>
            </w:pPr>
          </w:p>
        </w:tc>
        <w:tc>
          <w:tcPr>
            <w:tcW w:w="1040" w:type="dxa"/>
            <w:vAlign w:val="bottom"/>
          </w:tcPr>
          <w:p>
            <w:pPr>
              <w:jc w:val="right"/>
              <w:ind w:right="97"/>
              <w:spacing w:after="0"/>
              <w:rPr>
                <w:sz w:val="20"/>
                <w:szCs w:val="20"/>
                <w:color w:val="auto"/>
              </w:rPr>
            </w:pPr>
            <w:r>
              <w:rPr>
                <w:rFonts w:ascii="Arial" w:cs="Arial" w:eastAsia="Arial" w:hAnsi="Arial"/>
                <w:sz w:val="13"/>
                <w:szCs w:val="13"/>
                <w:color w:val="auto"/>
              </w:rPr>
              <w:t>109,021</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27.2 %</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52,371</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19.5 %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56,650</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108.2 %</w:t>
            </w:r>
          </w:p>
        </w:tc>
        <w:tc>
          <w:tcPr>
            <w:tcW w:w="0" w:type="dxa"/>
            <w:vAlign w:val="bottom"/>
          </w:tcPr>
          <w:p>
            <w:pPr>
              <w:spacing w:after="0"/>
              <w:rPr>
                <w:sz w:val="1"/>
                <w:szCs w:val="1"/>
                <w:color w:val="auto"/>
              </w:rPr>
            </w:pPr>
          </w:p>
        </w:tc>
      </w:tr>
      <w:tr>
        <w:trPr>
          <w:trHeight w:val="183"/>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Technology</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21,600</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5.4 %</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10,298</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11,302</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109.7 %</w:t>
            </w:r>
          </w:p>
        </w:tc>
        <w:tc>
          <w:tcPr>
            <w:tcW w:w="0" w:type="dxa"/>
            <w:vAlign w:val="bottom"/>
          </w:tcPr>
          <w:p>
            <w:pPr>
              <w:spacing w:after="0"/>
              <w:rPr>
                <w:sz w:val="1"/>
                <w:szCs w:val="1"/>
                <w:color w:val="auto"/>
              </w:rPr>
            </w:pPr>
          </w:p>
        </w:tc>
      </w:tr>
      <w:tr>
        <w:trPr>
          <w:trHeight w:val="168"/>
        </w:trPr>
        <w:tc>
          <w:tcPr>
            <w:tcW w:w="4500" w:type="dxa"/>
            <w:vAlign w:val="bottom"/>
          </w:tcPr>
          <w:p>
            <w:pPr>
              <w:ind w:left="240"/>
              <w:spacing w:after="0"/>
              <w:rPr>
                <w:sz w:val="20"/>
                <w:szCs w:val="20"/>
                <w:color w:val="auto"/>
              </w:rPr>
            </w:pPr>
            <w:r>
              <w:rPr>
                <w:rFonts w:ascii="Arial" w:cs="Arial" w:eastAsia="Arial" w:hAnsi="Arial"/>
                <w:sz w:val="13"/>
                <w:szCs w:val="13"/>
                <w:color w:val="auto"/>
              </w:rPr>
              <w:t>General and administrative</w:t>
            </w:r>
          </w:p>
        </w:tc>
        <w:tc>
          <w:tcPr>
            <w:tcW w:w="120" w:type="dxa"/>
            <w:vAlign w:val="bottom"/>
          </w:tcPr>
          <w:p>
            <w:pPr>
              <w:spacing w:after="0"/>
              <w:rPr>
                <w:sz w:val="14"/>
                <w:szCs w:val="14"/>
                <w:color w:val="auto"/>
              </w:rPr>
            </w:pPr>
          </w:p>
        </w:tc>
        <w:tc>
          <w:tcPr>
            <w:tcW w:w="1040" w:type="dxa"/>
            <w:vAlign w:val="bottom"/>
          </w:tcPr>
          <w:p>
            <w:pPr>
              <w:jc w:val="right"/>
              <w:ind w:right="97"/>
              <w:spacing w:after="0"/>
              <w:rPr>
                <w:sz w:val="20"/>
                <w:szCs w:val="20"/>
                <w:color w:val="auto"/>
              </w:rPr>
            </w:pPr>
            <w:r>
              <w:rPr>
                <w:rFonts w:ascii="Arial" w:cs="Arial" w:eastAsia="Arial" w:hAnsi="Arial"/>
                <w:sz w:val="13"/>
                <w:szCs w:val="13"/>
                <w:color w:val="auto"/>
              </w:rPr>
              <w:t>44,944</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11.2 %</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20,849</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7.8 %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24,095</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115.6 %</w:t>
            </w:r>
          </w:p>
        </w:tc>
        <w:tc>
          <w:tcPr>
            <w:tcW w:w="0" w:type="dxa"/>
            <w:vAlign w:val="bottom"/>
          </w:tcPr>
          <w:p>
            <w:pPr>
              <w:spacing w:after="0"/>
              <w:rPr>
                <w:sz w:val="1"/>
                <w:szCs w:val="1"/>
                <w:color w:val="auto"/>
              </w:rPr>
            </w:pPr>
          </w:p>
        </w:tc>
      </w:tr>
      <w:tr>
        <w:trPr>
          <w:trHeight w:val="183"/>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Change in fair value of contingent consideration liability</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19,700</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(19,700)</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9"/>
        </w:trPr>
        <w:tc>
          <w:tcPr>
            <w:tcW w:w="4500" w:type="dxa"/>
            <w:vAlign w:val="bottom"/>
          </w:tcPr>
          <w:p>
            <w:pPr>
              <w:ind w:left="240"/>
              <w:spacing w:after="0"/>
              <w:rPr>
                <w:sz w:val="20"/>
                <w:szCs w:val="20"/>
                <w:color w:val="auto"/>
              </w:rPr>
            </w:pPr>
            <w:r>
              <w:rPr>
                <w:rFonts w:ascii="Arial" w:cs="Arial" w:eastAsia="Arial" w:hAnsi="Arial"/>
                <w:sz w:val="13"/>
                <w:szCs w:val="13"/>
                <w:color w:val="auto"/>
              </w:rPr>
              <w:t>Amortization of intangible assets</w:t>
            </w:r>
          </w:p>
        </w:tc>
        <w:tc>
          <w:tcPr>
            <w:tcW w:w="120" w:type="dxa"/>
            <w:vAlign w:val="bottom"/>
          </w:tcPr>
          <w:p>
            <w:pPr>
              <w:spacing w:after="0"/>
              <w:rPr>
                <w:sz w:val="14"/>
                <w:szCs w:val="14"/>
                <w:color w:val="auto"/>
              </w:rPr>
            </w:pPr>
          </w:p>
        </w:tc>
        <w:tc>
          <w:tcPr>
            <w:tcW w:w="1040" w:type="dxa"/>
            <w:vAlign w:val="bottom"/>
          </w:tcPr>
          <w:p>
            <w:pPr>
              <w:jc w:val="right"/>
              <w:ind w:right="97"/>
              <w:spacing w:after="0"/>
              <w:rPr>
                <w:sz w:val="20"/>
                <w:szCs w:val="20"/>
                <w:color w:val="auto"/>
              </w:rPr>
            </w:pPr>
            <w:r>
              <w:rPr>
                <w:rFonts w:ascii="Arial" w:cs="Arial" w:eastAsia="Arial" w:hAnsi="Arial"/>
                <w:sz w:val="13"/>
                <w:szCs w:val="13"/>
                <w:color w:val="auto"/>
              </w:rPr>
              <w:t>47,029</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11.7 %</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47,029</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17.5 %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76"/>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418,630</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104.4 %</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276,648</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103.2 %</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141,982</w:t>
            </w:r>
          </w:p>
        </w:tc>
        <w:tc>
          <w:tcPr>
            <w:tcW w:w="1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51.3 %</w:t>
            </w:r>
          </w:p>
        </w:tc>
        <w:tc>
          <w:tcPr>
            <w:tcW w:w="0" w:type="dxa"/>
            <w:vAlign w:val="bottom"/>
          </w:tcPr>
          <w:p>
            <w:pPr>
              <w:spacing w:after="0"/>
              <w:rPr>
                <w:sz w:val="1"/>
                <w:szCs w:val="1"/>
                <w:color w:val="auto"/>
              </w:rPr>
            </w:pPr>
          </w:p>
        </w:tc>
      </w:tr>
      <w:tr>
        <w:trPr>
          <w:trHeight w:val="161"/>
        </w:trPr>
        <w:tc>
          <w:tcPr>
            <w:tcW w:w="4500" w:type="dxa"/>
            <w:vAlign w:val="bottom"/>
          </w:tcPr>
          <w:p>
            <w:pPr>
              <w:ind w:left="20"/>
              <w:spacing w:after="0"/>
              <w:rPr>
                <w:sz w:val="20"/>
                <w:szCs w:val="20"/>
                <w:color w:val="auto"/>
              </w:rPr>
            </w:pPr>
            <w:r>
              <w:rPr>
                <w:rFonts w:ascii="Arial" w:cs="Arial" w:eastAsia="Arial" w:hAnsi="Arial"/>
                <w:sz w:val="13"/>
                <w:szCs w:val="13"/>
                <w:color w:val="auto"/>
              </w:rPr>
              <w:t>Income (loss) from operations</w:t>
            </w:r>
          </w:p>
        </w:tc>
        <w:tc>
          <w:tcPr>
            <w:tcW w:w="120" w:type="dxa"/>
            <w:vAlign w:val="bottom"/>
          </w:tcPr>
          <w:p>
            <w:pPr>
              <w:spacing w:after="0"/>
              <w:rPr>
                <w:sz w:val="14"/>
                <w:szCs w:val="14"/>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(17,549)</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(8,581)</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(8,968)</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104.5 %</w:t>
            </w:r>
          </w:p>
        </w:tc>
        <w:tc>
          <w:tcPr>
            <w:tcW w:w="0" w:type="dxa"/>
            <w:vAlign w:val="bottom"/>
          </w:tcPr>
          <w:p>
            <w:pPr>
              <w:spacing w:after="0"/>
              <w:rPr>
                <w:sz w:val="1"/>
                <w:szCs w:val="1"/>
                <w:color w:val="auto"/>
              </w:rPr>
            </w:pPr>
          </w:p>
        </w:tc>
      </w:tr>
      <w:tr>
        <w:trPr>
          <w:trHeight w:val="183"/>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expense</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16,965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4.2 %</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15,742</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1,223</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7.8 %</w:t>
            </w:r>
          </w:p>
        </w:tc>
        <w:tc>
          <w:tcPr>
            <w:tcW w:w="0" w:type="dxa"/>
            <w:vAlign w:val="bottom"/>
          </w:tcPr>
          <w:p>
            <w:pPr>
              <w:spacing w:after="0"/>
              <w:rPr>
                <w:sz w:val="1"/>
                <w:szCs w:val="1"/>
                <w:color w:val="auto"/>
              </w:rPr>
            </w:pPr>
          </w:p>
        </w:tc>
      </w:tr>
      <w:tr>
        <w:trPr>
          <w:trHeight w:val="168"/>
        </w:trPr>
        <w:tc>
          <w:tcPr>
            <w:tcW w:w="4500" w:type="dxa"/>
            <w:vAlign w:val="bottom"/>
          </w:tcPr>
          <w:p>
            <w:pPr>
              <w:ind w:left="20"/>
              <w:spacing w:after="0"/>
              <w:rPr>
                <w:sz w:val="20"/>
                <w:szCs w:val="20"/>
                <w:color w:val="auto"/>
              </w:rPr>
            </w:pPr>
            <w:r>
              <w:rPr>
                <w:rFonts w:ascii="Arial" w:cs="Arial" w:eastAsia="Arial" w:hAnsi="Arial"/>
                <w:sz w:val="13"/>
                <w:szCs w:val="13"/>
                <w:color w:val="auto"/>
              </w:rPr>
              <w:t>Loss on extinguishment of debt</w:t>
            </w:r>
          </w:p>
        </w:tc>
        <w:tc>
          <w:tcPr>
            <w:tcW w:w="120" w:type="dxa"/>
            <w:vAlign w:val="bottom"/>
          </w:tcPr>
          <w:p>
            <w:pPr>
              <w:spacing w:after="0"/>
              <w:rPr>
                <w:sz w:val="14"/>
                <w:szCs w:val="14"/>
                <w:color w:val="auto"/>
              </w:rPr>
            </w:pPr>
          </w:p>
        </w:tc>
        <w:tc>
          <w:tcPr>
            <w:tcW w:w="1040" w:type="dxa"/>
            <w:vAlign w:val="bottom"/>
          </w:tcPr>
          <w:p>
            <w:pPr>
              <w:jc w:val="right"/>
              <w:ind w:right="97"/>
              <w:spacing w:after="0"/>
              <w:rPr>
                <w:sz w:val="20"/>
                <w:szCs w:val="20"/>
                <w:color w:val="auto"/>
              </w:rPr>
            </w:pPr>
            <w:r>
              <w:rPr>
                <w:rFonts w:ascii="Arial" w:cs="Arial" w:eastAsia="Arial" w:hAnsi="Arial"/>
                <w:sz w:val="13"/>
                <w:szCs w:val="13"/>
                <w:color w:val="auto"/>
              </w:rPr>
              <w:t>11,935</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3.0 %</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11,935</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83"/>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(income) expense</w:t>
            </w:r>
          </w:p>
        </w:tc>
        <w:tc>
          <w:tcPr>
            <w:tcW w:w="1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57</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(495)</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552</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(111.5)%</w:t>
            </w:r>
          </w:p>
        </w:tc>
        <w:tc>
          <w:tcPr>
            <w:tcW w:w="0" w:type="dxa"/>
            <w:vAlign w:val="bottom"/>
          </w:tcPr>
          <w:p>
            <w:pPr>
              <w:spacing w:after="0"/>
              <w:rPr>
                <w:sz w:val="1"/>
                <w:szCs w:val="1"/>
                <w:color w:val="auto"/>
              </w:rPr>
            </w:pPr>
          </w:p>
        </w:tc>
      </w:tr>
      <w:tr>
        <w:trPr>
          <w:trHeight w:val="163"/>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(loss) before income taxes</w:t>
            </w: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(46,506)</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(23,828)</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(22,678)</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95.2 %</w:t>
            </w:r>
          </w:p>
        </w:tc>
        <w:tc>
          <w:tcPr>
            <w:tcW w:w="0" w:type="dxa"/>
            <w:vAlign w:val="bottom"/>
          </w:tcPr>
          <w:p>
            <w:pPr>
              <w:spacing w:after="0"/>
              <w:rPr>
                <w:sz w:val="1"/>
                <w:szCs w:val="1"/>
                <w:color w:val="auto"/>
              </w:rPr>
            </w:pPr>
          </w:p>
        </w:tc>
      </w:tr>
      <w:tr>
        <w:trPr>
          <w:trHeight w:val="176"/>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 (benefit)</w:t>
            </w:r>
          </w:p>
        </w:tc>
        <w:tc>
          <w:tcPr>
            <w:tcW w:w="1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(63)</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3"/>
        </w:trPr>
        <w:tc>
          <w:tcPr>
            <w:tcW w:w="450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(46,443)</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(11.6)%</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(23,804)</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(8.9)%</w:t>
            </w:r>
          </w:p>
        </w:tc>
        <w:tc>
          <w:tcPr>
            <w:tcW w:w="8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(22,639)</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95.1 %</w:t>
            </w:r>
          </w:p>
        </w:tc>
        <w:tc>
          <w:tcPr>
            <w:tcW w:w="0" w:type="dxa"/>
            <w:vAlign w:val="bottom"/>
          </w:tcPr>
          <w:p>
            <w:pPr>
              <w:spacing w:after="0"/>
              <w:rPr>
                <w:sz w:val="1"/>
                <w:szCs w:val="1"/>
                <w:color w:val="auto"/>
              </w:rPr>
            </w:pPr>
          </w:p>
        </w:tc>
      </w:tr>
      <w:tr>
        <w:trPr>
          <w:trHeight w:val="169"/>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loss attributable to noncontrolling interests</w:t>
            </w: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(32,364)</w:t>
            </w: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500" w:type="dxa"/>
            <w:vAlign w:val="bottom"/>
          </w:tcPr>
          <w:p>
            <w:pPr>
              <w:ind w:left="20"/>
              <w:spacing w:after="0"/>
              <w:rPr>
                <w:sz w:val="20"/>
                <w:szCs w:val="20"/>
                <w:color w:val="auto"/>
              </w:rPr>
            </w:pPr>
            <w:r>
              <w:rPr>
                <w:rFonts w:ascii="Arial" w:cs="Arial" w:eastAsia="Arial" w:hAnsi="Arial"/>
                <w:sz w:val="13"/>
                <w:szCs w:val="13"/>
                <w:b w:val="1"/>
                <w:bCs w:val="1"/>
                <w:color w:val="auto"/>
              </w:rPr>
              <w:t>Net loss attributable to GoHealth, Inc.</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(14,079)</w:t>
            </w:r>
          </w:p>
        </w:tc>
        <w:tc>
          <w:tcPr>
            <w:tcW w:w="10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50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i w:val="1"/>
                <w:iCs w:val="1"/>
                <w:color w:val="auto"/>
              </w:rPr>
              <w:t>Net income (loss) per share:</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500" w:type="dxa"/>
            <w:vAlign w:val="bottom"/>
          </w:tcPr>
          <w:p>
            <w:pPr>
              <w:ind w:left="20"/>
              <w:spacing w:after="0"/>
              <w:rPr>
                <w:sz w:val="20"/>
                <w:szCs w:val="20"/>
                <w:color w:val="auto"/>
              </w:rPr>
            </w:pPr>
            <w:r>
              <w:rPr>
                <w:rFonts w:ascii="Arial" w:cs="Arial" w:eastAsia="Arial" w:hAnsi="Arial"/>
                <w:sz w:val="13"/>
                <w:szCs w:val="13"/>
                <w:color w:val="auto"/>
              </w:rPr>
              <w:t>Net income (loss) per share of common stock — basic and diluted</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(0.14)</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50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rPr>
              <w:t>Weighted-average shares of Class A common stock outstanding — basic and</w:t>
            </w:r>
          </w:p>
        </w:tc>
        <w:tc>
          <w:tcPr>
            <w:tcW w:w="1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97,349</w:t>
            </w: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diluted</w:t>
            </w:r>
          </w:p>
        </w:tc>
        <w:tc>
          <w:tcPr>
            <w:tcW w:w="12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500" w:type="dxa"/>
            <w:vAlign w:val="bottom"/>
          </w:tcPr>
          <w:p>
            <w:pPr>
              <w:ind w:left="20"/>
              <w:spacing w:after="0"/>
              <w:rPr>
                <w:sz w:val="20"/>
                <w:szCs w:val="20"/>
                <w:color w:val="auto"/>
              </w:rPr>
            </w:pPr>
            <w:r>
              <w:rPr>
                <w:rFonts w:ascii="Arial" w:cs="Arial" w:eastAsia="Arial" w:hAnsi="Arial"/>
                <w:sz w:val="13"/>
                <w:szCs w:val="13"/>
                <w:i w:val="1"/>
                <w:iCs w:val="1"/>
                <w:color w:val="auto"/>
              </w:rPr>
              <w:t>Non-GAAP financial measures:</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EBITDA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21,564</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40,579</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500" w:type="dxa"/>
            <w:vAlign w:val="bottom"/>
          </w:tcPr>
          <w:p>
            <w:pPr>
              <w:ind w:left="240"/>
              <w:spacing w:after="0"/>
              <w:rPr>
                <w:sz w:val="20"/>
                <w:szCs w:val="20"/>
                <w:color w:val="auto"/>
              </w:rPr>
            </w:pPr>
            <w:r>
              <w:rPr>
                <w:rFonts w:ascii="Arial" w:cs="Arial" w:eastAsia="Arial" w:hAnsi="Arial"/>
                <w:sz w:val="13"/>
                <w:szCs w:val="13"/>
                <w:color w:val="auto"/>
              </w:rPr>
              <w:t>Adjusted EBITDA</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97"/>
              <w:spacing w:after="0"/>
              <w:rPr>
                <w:sz w:val="20"/>
                <w:szCs w:val="20"/>
                <w:color w:val="auto"/>
              </w:rPr>
            </w:pPr>
            <w:r>
              <w:rPr>
                <w:rFonts w:ascii="Arial" w:cs="Arial" w:eastAsia="Arial" w:hAnsi="Arial"/>
                <w:sz w:val="13"/>
                <w:szCs w:val="13"/>
                <w:color w:val="auto"/>
              </w:rPr>
              <w:t>46,390</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61,857</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Adjusted EBITDA margin</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11.6 %</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23.1 %</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rPr>
          <w:sz w:val="20"/>
          <w:szCs w:val="20"/>
          <w:color w:val="auto"/>
        </w:rPr>
      </w:pPr>
      <w:r>
        <w:rPr>
          <w:rFonts w:ascii="Arial" w:cs="Arial" w:eastAsia="Arial" w:hAnsi="Arial"/>
          <w:sz w:val="13"/>
          <w:szCs w:val="13"/>
          <w:i w:val="1"/>
          <w:iCs w:val="1"/>
          <w:color w:val="auto"/>
        </w:rPr>
        <w:t>NM = Not meaningful</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1063"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The following tables set forth the reconciliations of GAAP net income (loss) to EBITDA and Adjusted EBITDA for the periods indicated (unaudited):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Three months</w:t>
            </w:r>
          </w:p>
        </w:tc>
        <w:tc>
          <w:tcPr>
            <w:tcW w:w="120" w:type="dxa"/>
            <w:vAlign w:val="bottom"/>
          </w:tcPr>
          <w:p>
            <w:pPr>
              <w:spacing w:after="0"/>
              <w:rPr>
                <w:sz w:val="13"/>
                <w:szCs w:val="13"/>
                <w:color w:val="auto"/>
              </w:rPr>
            </w:pPr>
          </w:p>
        </w:tc>
        <w:tc>
          <w:tcPr>
            <w:tcW w:w="1080" w:type="dxa"/>
            <w:vAlign w:val="bottom"/>
          </w:tcPr>
          <w:p>
            <w:pPr>
              <w:jc w:val="center"/>
              <w:ind w:right="57"/>
              <w:spacing w:after="0"/>
              <w:rPr>
                <w:sz w:val="20"/>
                <w:szCs w:val="20"/>
                <w:color w:val="auto"/>
              </w:rPr>
            </w:pPr>
            <w:r>
              <w:rPr>
                <w:rFonts w:ascii="Arial" w:cs="Arial" w:eastAsia="Arial" w:hAnsi="Arial"/>
                <w:sz w:val="13"/>
                <w:szCs w:val="13"/>
                <w:b w:val="1"/>
                <w:bCs w:val="1"/>
                <w:color w:val="auto"/>
                <w:w w:val="97"/>
              </w:rPr>
              <w:t>Three months</w:t>
            </w:r>
          </w:p>
        </w:tc>
        <w:tc>
          <w:tcPr>
            <w:tcW w:w="0" w:type="dxa"/>
            <w:vAlign w:val="bottom"/>
          </w:tcPr>
          <w:p>
            <w:pPr>
              <w:spacing w:after="0"/>
              <w:rPr>
                <w:sz w:val="1"/>
                <w:szCs w:val="1"/>
                <w:color w:val="auto"/>
              </w:rPr>
            </w:pPr>
          </w:p>
        </w:tc>
      </w:tr>
      <w:tr>
        <w:trPr>
          <w:trHeight w:val="121"/>
        </w:trPr>
        <w:tc>
          <w:tcPr>
            <w:tcW w:w="8740" w:type="dxa"/>
            <w:vAlign w:val="bottom"/>
            <w:vMerge w:val="restart"/>
          </w:tcPr>
          <w:p>
            <w:pPr>
              <w:ind w:left="20"/>
              <w:spacing w:after="0"/>
              <w:rPr>
                <w:sz w:val="20"/>
                <w:szCs w:val="20"/>
                <w:color w:val="auto"/>
              </w:rPr>
            </w:pPr>
            <w:r>
              <w:rPr>
                <w:rFonts w:ascii="Arial" w:cs="Arial" w:eastAsia="Arial" w:hAnsi="Arial"/>
                <w:sz w:val="13"/>
                <w:szCs w:val="13"/>
                <w:color w:val="auto"/>
              </w:rPr>
              <w:t>(in thousands)</w:t>
            </w:r>
          </w:p>
        </w:tc>
        <w:tc>
          <w:tcPr>
            <w:tcW w:w="120" w:type="dxa"/>
            <w:vAlign w:val="bottom"/>
          </w:tcPr>
          <w:p>
            <w:pPr>
              <w:spacing w:after="0"/>
              <w:rPr>
                <w:sz w:val="10"/>
                <w:szCs w:val="10"/>
                <w:color w:val="auto"/>
              </w:rPr>
            </w:pPr>
          </w:p>
        </w:tc>
        <w:tc>
          <w:tcPr>
            <w:tcW w:w="11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7"/>
              </w:rPr>
              <w:t>ended Jun. 30,</w:t>
            </w:r>
          </w:p>
        </w:tc>
        <w:tc>
          <w:tcPr>
            <w:tcW w:w="120" w:type="dxa"/>
            <w:vAlign w:val="bottom"/>
          </w:tcPr>
          <w:p>
            <w:pPr>
              <w:spacing w:after="0"/>
              <w:rPr>
                <w:sz w:val="10"/>
                <w:szCs w:val="10"/>
                <w:color w:val="auto"/>
              </w:rPr>
            </w:pPr>
          </w:p>
        </w:tc>
        <w:tc>
          <w:tcPr>
            <w:tcW w:w="108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7"/>
              </w:rPr>
              <w:t>ended Jun. 30,</w:t>
            </w:r>
          </w:p>
        </w:tc>
        <w:tc>
          <w:tcPr>
            <w:tcW w:w="0" w:type="dxa"/>
            <w:vAlign w:val="bottom"/>
          </w:tcPr>
          <w:p>
            <w:pPr>
              <w:spacing w:after="0"/>
              <w:rPr>
                <w:sz w:val="1"/>
                <w:szCs w:val="1"/>
                <w:color w:val="auto"/>
              </w:rPr>
            </w:pPr>
          </w:p>
        </w:tc>
      </w:tr>
      <w:tr>
        <w:trPr>
          <w:trHeight w:val="172"/>
        </w:trPr>
        <w:tc>
          <w:tcPr>
            <w:tcW w:w="874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73"/>
        </w:trPr>
        <w:tc>
          <w:tcPr>
            <w:tcW w:w="8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196,902</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127,057</w:t>
            </w:r>
          </w:p>
        </w:tc>
        <w:tc>
          <w:tcPr>
            <w:tcW w:w="0" w:type="dxa"/>
            <w:vAlign w:val="bottom"/>
          </w:tcPr>
          <w:p>
            <w:pPr>
              <w:spacing w:after="0"/>
              <w:rPr>
                <w:sz w:val="1"/>
                <w:szCs w:val="1"/>
                <w:color w:val="auto"/>
              </w:rPr>
            </w:pPr>
          </w:p>
        </w:tc>
      </w:tr>
      <w:tr>
        <w:trPr>
          <w:trHeight w:val="161"/>
        </w:trPr>
        <w:tc>
          <w:tcPr>
            <w:tcW w:w="874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12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(39,175)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(22,867)</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Interest expense</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8,277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8,986</w:t>
            </w:r>
          </w:p>
        </w:tc>
        <w:tc>
          <w:tcPr>
            <w:tcW w:w="0" w:type="dxa"/>
            <w:vAlign w:val="bottom"/>
          </w:tcPr>
          <w:p>
            <w:pPr>
              <w:spacing w:after="0"/>
              <w:rPr>
                <w:sz w:val="1"/>
                <w:szCs w:val="1"/>
                <w:color w:val="auto"/>
              </w:rPr>
            </w:pPr>
          </w:p>
        </w:tc>
      </w:tr>
      <w:tr>
        <w:trPr>
          <w:trHeight w:val="168"/>
        </w:trPr>
        <w:tc>
          <w:tcPr>
            <w:tcW w:w="8740" w:type="dxa"/>
            <w:vAlign w:val="bottom"/>
          </w:tcPr>
          <w:p>
            <w:pPr>
              <w:ind w:left="240"/>
              <w:spacing w:after="0"/>
              <w:rPr>
                <w:sz w:val="20"/>
                <w:szCs w:val="20"/>
                <w:color w:val="auto"/>
              </w:rPr>
            </w:pPr>
            <w:r>
              <w:rPr>
                <w:rFonts w:ascii="Arial" w:cs="Arial" w:eastAsia="Arial" w:hAnsi="Arial"/>
                <w:sz w:val="13"/>
                <w:szCs w:val="13"/>
                <w:color w:val="auto"/>
              </w:rPr>
              <w:t>Income tax expense (benefit)</w:t>
            </w:r>
          </w:p>
        </w:tc>
        <w:tc>
          <w:tcPr>
            <w:tcW w:w="12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 expense</w:t>
            </w: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25,738</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24,518</w:t>
            </w:r>
          </w:p>
        </w:tc>
        <w:tc>
          <w:tcPr>
            <w:tcW w:w="0" w:type="dxa"/>
            <w:vAlign w:val="bottom"/>
          </w:tcPr>
          <w:p>
            <w:pPr>
              <w:spacing w:after="0"/>
              <w:rPr>
                <w:sz w:val="1"/>
                <w:szCs w:val="1"/>
                <w:color w:val="auto"/>
              </w:rPr>
            </w:pPr>
          </w:p>
        </w:tc>
      </w:tr>
      <w:tr>
        <w:trPr>
          <w:trHeight w:val="163"/>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EBITDA</w:t>
            </w: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(5,192)</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10,615</w:t>
            </w:r>
          </w:p>
        </w:tc>
        <w:tc>
          <w:tcPr>
            <w:tcW w:w="0" w:type="dxa"/>
            <w:vAlign w:val="bottom"/>
          </w:tcPr>
          <w:p>
            <w:pPr>
              <w:spacing w:after="0"/>
              <w:rPr>
                <w:sz w:val="1"/>
                <w:szCs w:val="1"/>
                <w:color w:val="auto"/>
              </w:rPr>
            </w:pPr>
          </w:p>
        </w:tc>
      </w:tr>
      <w:tr>
        <w:trPr>
          <w:trHeight w:val="176"/>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Loss on extinguishment of debt (1)</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11,935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740" w:type="dxa"/>
            <w:vAlign w:val="bottom"/>
          </w:tcPr>
          <w:p>
            <w:pPr>
              <w:ind w:left="240"/>
              <w:spacing w:after="0"/>
              <w:rPr>
                <w:sz w:val="20"/>
                <w:szCs w:val="20"/>
                <w:color w:val="auto"/>
              </w:rPr>
            </w:pPr>
            <w:r>
              <w:rPr>
                <w:rFonts w:ascii="Arial" w:cs="Arial" w:eastAsia="Arial" w:hAnsi="Arial"/>
                <w:sz w:val="13"/>
                <w:szCs w:val="13"/>
                <w:color w:val="auto"/>
              </w:rPr>
              <w:t>Share-based compensation expense (2)</w:t>
            </w:r>
          </w:p>
        </w:tc>
        <w:tc>
          <w:tcPr>
            <w:tcW w:w="12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7,599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597</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Change in fair value of contingent consideration liability (3)</w:t>
            </w: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15,300</w:t>
            </w:r>
          </w:p>
        </w:tc>
        <w:tc>
          <w:tcPr>
            <w:tcW w:w="0" w:type="dxa"/>
            <w:vAlign w:val="bottom"/>
          </w:tcPr>
          <w:p>
            <w:pPr>
              <w:spacing w:after="0"/>
              <w:rPr>
                <w:sz w:val="1"/>
                <w:szCs w:val="1"/>
                <w:color w:val="auto"/>
              </w:rPr>
            </w:pPr>
          </w:p>
        </w:tc>
      </w:tr>
      <w:tr>
        <w:trPr>
          <w:trHeight w:val="169"/>
        </w:trPr>
        <w:tc>
          <w:tcPr>
            <w:tcW w:w="8740" w:type="dxa"/>
            <w:vAlign w:val="bottom"/>
          </w:tcPr>
          <w:p>
            <w:pPr>
              <w:ind w:left="240"/>
              <w:spacing w:after="0"/>
              <w:rPr>
                <w:sz w:val="20"/>
                <w:szCs w:val="20"/>
                <w:color w:val="auto"/>
              </w:rPr>
            </w:pPr>
            <w:r>
              <w:rPr>
                <w:rFonts w:ascii="Arial" w:cs="Arial" w:eastAsia="Arial" w:hAnsi="Arial"/>
                <w:sz w:val="13"/>
                <w:szCs w:val="13"/>
                <w:color w:val="auto"/>
              </w:rPr>
              <w:t>IPO transaction costs (4)</w:t>
            </w:r>
          </w:p>
        </w:tc>
        <w:tc>
          <w:tcPr>
            <w:tcW w:w="12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424</w:t>
            </w:r>
          </w:p>
        </w:tc>
        <w:tc>
          <w:tcPr>
            <w:tcW w:w="0" w:type="dxa"/>
            <w:vAlign w:val="bottom"/>
          </w:tcPr>
          <w:p>
            <w:pPr>
              <w:spacing w:after="0"/>
              <w:rPr>
                <w:sz w:val="1"/>
                <w:szCs w:val="1"/>
                <w:color w:val="auto"/>
              </w:rPr>
            </w:pPr>
          </w:p>
        </w:tc>
      </w:tr>
      <w:tr>
        <w:trPr>
          <w:trHeight w:val="200"/>
        </w:trPr>
        <w:tc>
          <w:tcPr>
            <w:tcW w:w="8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Adjusted 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14,342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26,936</w:t>
            </w:r>
          </w:p>
        </w:tc>
        <w:tc>
          <w:tcPr>
            <w:tcW w:w="0" w:type="dxa"/>
            <w:vAlign w:val="bottom"/>
          </w:tcPr>
          <w:p>
            <w:pPr>
              <w:spacing w:after="0"/>
              <w:rPr>
                <w:sz w:val="1"/>
                <w:szCs w:val="1"/>
                <w:color w:val="auto"/>
              </w:rPr>
            </w:pPr>
          </w:p>
        </w:tc>
      </w:tr>
      <w:tr>
        <w:trPr>
          <w:trHeight w:val="20"/>
        </w:trPr>
        <w:tc>
          <w:tcPr>
            <w:tcW w:w="8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Adjusted EBITDA margin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87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spacing w:after="0" w:line="134" w:lineRule="exact"/>
              <w:rPr>
                <w:sz w:val="20"/>
                <w:szCs w:val="20"/>
                <w:color w:val="auto"/>
              </w:rPr>
            </w:pPr>
            <w:r>
              <w:rPr>
                <w:rFonts w:ascii="Arial" w:cs="Arial" w:eastAsia="Arial" w:hAnsi="Arial"/>
                <w:sz w:val="13"/>
                <w:szCs w:val="13"/>
                <w:color w:val="auto"/>
              </w:rPr>
              <w:t>7.3 %</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spacing w:after="0" w:line="134" w:lineRule="exact"/>
              <w:rPr>
                <w:sz w:val="20"/>
                <w:szCs w:val="20"/>
                <w:color w:val="auto"/>
              </w:rPr>
            </w:pPr>
            <w:r>
              <w:rPr>
                <w:rFonts w:ascii="Arial" w:cs="Arial" w:eastAsia="Arial" w:hAnsi="Arial"/>
                <w:sz w:val="13"/>
                <w:szCs w:val="13"/>
                <w:color w:val="auto"/>
              </w:rPr>
              <w:t>21.2 %</w:t>
            </w: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ind w:left="320" w:hanging="312"/>
        <w:spacing w:after="0"/>
        <w:tabs>
          <w:tab w:leader="none" w:pos="320" w:val="left"/>
        </w:tabs>
        <w:numPr>
          <w:ilvl w:val="0"/>
          <w:numId w:val="8"/>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loss on debt extinguishment related to the Initial Term Loan Facility.</w:t>
      </w:r>
    </w:p>
    <w:p>
      <w:pPr>
        <w:ind w:left="320" w:hanging="312"/>
        <w:spacing w:after="0"/>
        <w:tabs>
          <w:tab w:leader="none" w:pos="320" w:val="left"/>
        </w:tabs>
        <w:numPr>
          <w:ilvl w:val="0"/>
          <w:numId w:val="8"/>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non-cash share-based compensation expense relating to equity awards.</w:t>
      </w:r>
    </w:p>
    <w:p>
      <w:pPr>
        <w:ind w:left="320" w:hanging="312"/>
        <w:spacing w:after="0"/>
        <w:tabs>
          <w:tab w:leader="none" w:pos="320" w:val="left"/>
        </w:tabs>
        <w:numPr>
          <w:ilvl w:val="0"/>
          <w:numId w:val="8"/>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change in fair value of the contingent consideration liability due to the predecessor owners of the Company arising from the Centerbridge Acquisition.</w:t>
      </w:r>
    </w:p>
    <w:p>
      <w:pPr>
        <w:ind w:left="320" w:hanging="312"/>
        <w:spacing w:after="0"/>
        <w:tabs>
          <w:tab w:leader="none" w:pos="320" w:val="left"/>
        </w:tabs>
        <w:numPr>
          <w:ilvl w:val="0"/>
          <w:numId w:val="8"/>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legal, accounting, consulting, and other indirect costs associated with the Company’s IPO.</w:t>
      </w:r>
    </w:p>
    <w:p>
      <w:pPr>
        <w:sectPr>
          <w:pgSz w:w="11900" w:h="16838" w:orient="portrait"/>
          <w:cols w:equalWidth="0" w:num="1">
            <w:col w:w="11240"/>
          </w:cols>
          <w:pgMar w:left="320" w:top="789" w:right="339" w:bottom="1440" w:gutter="0" w:footer="0" w:header="0"/>
        </w:sectPr>
      </w:pPr>
    </w:p>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8720" w:type="dxa"/>
            <w:vAlign w:val="bottom"/>
            <w:vMerge w:val="restart"/>
          </w:tcPr>
          <w:p>
            <w:pPr>
              <w:spacing w:after="0"/>
              <w:rPr>
                <w:sz w:val="20"/>
                <w:szCs w:val="20"/>
                <w:color w:val="auto"/>
              </w:rPr>
            </w:pPr>
            <w:r>
              <w:rPr>
                <w:rFonts w:ascii="Arial" w:cs="Arial" w:eastAsia="Arial" w:hAnsi="Arial"/>
                <w:sz w:val="13"/>
                <w:szCs w:val="13"/>
                <w:color w:val="auto"/>
              </w:rPr>
              <w:t>(in thousands)</w:t>
            </w:r>
          </w:p>
        </w:tc>
        <w:tc>
          <w:tcPr>
            <w:tcW w:w="1200" w:type="dxa"/>
            <w:vAlign w:val="bottom"/>
            <w:gridSpan w:val="2"/>
          </w:tcPr>
          <w:p>
            <w:pPr>
              <w:jc w:val="right"/>
              <w:spacing w:after="0"/>
              <w:rPr>
                <w:sz w:val="20"/>
                <w:szCs w:val="20"/>
                <w:color w:val="auto"/>
              </w:rPr>
            </w:pPr>
            <w:r>
              <w:rPr>
                <w:rFonts w:ascii="Arial" w:cs="Arial" w:eastAsia="Arial" w:hAnsi="Arial"/>
                <w:sz w:val="13"/>
                <w:szCs w:val="13"/>
                <w:b w:val="1"/>
                <w:bCs w:val="1"/>
                <w:color w:val="auto"/>
                <w:w w:val="99"/>
              </w:rPr>
              <w:t>Six months ended</w:t>
            </w:r>
          </w:p>
        </w:tc>
        <w:tc>
          <w:tcPr>
            <w:tcW w:w="0" w:type="dxa"/>
            <w:vAlign w:val="bottom"/>
          </w:tcPr>
          <w:p>
            <w:pPr>
              <w:spacing w:after="0"/>
              <w:rPr>
                <w:sz w:val="1"/>
                <w:szCs w:val="1"/>
                <w:color w:val="auto"/>
              </w:rPr>
            </w:pPr>
          </w:p>
        </w:tc>
      </w:tr>
      <w:tr>
        <w:trPr>
          <w:trHeight w:val="169"/>
        </w:trPr>
        <w:tc>
          <w:tcPr>
            <w:tcW w:w="872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Jun. 30, 2021</w:t>
            </w:r>
          </w:p>
        </w:tc>
        <w:tc>
          <w:tcPr>
            <w:tcW w:w="0" w:type="dxa"/>
            <w:vAlign w:val="bottom"/>
          </w:tcPr>
          <w:p>
            <w:pPr>
              <w:spacing w:after="0"/>
              <w:rPr>
                <w:sz w:val="1"/>
                <w:szCs w:val="1"/>
                <w:color w:val="auto"/>
              </w:rPr>
            </w:pPr>
          </w:p>
        </w:tc>
      </w:tr>
      <w:tr>
        <w:trPr>
          <w:trHeight w:val="169"/>
        </w:trPr>
        <w:tc>
          <w:tcPr>
            <w:tcW w:w="8720" w:type="dxa"/>
            <w:vAlign w:val="bottom"/>
          </w:tcPr>
          <w:p>
            <w:pPr>
              <w:spacing w:after="0"/>
              <w:rPr>
                <w:sz w:val="20"/>
                <w:szCs w:val="20"/>
                <w:color w:val="auto"/>
              </w:rPr>
            </w:pPr>
            <w:r>
              <w:rPr>
                <w:rFonts w:ascii="Arial" w:cs="Arial" w:eastAsia="Arial" w:hAnsi="Arial"/>
                <w:sz w:val="13"/>
                <w:szCs w:val="13"/>
                <w:color w:val="auto"/>
              </w:rPr>
              <w:t>Net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401,081</w:t>
            </w:r>
          </w:p>
        </w:tc>
        <w:tc>
          <w:tcPr>
            <w:tcW w:w="0" w:type="dxa"/>
            <w:vAlign w:val="bottom"/>
          </w:tcPr>
          <w:p>
            <w:pPr>
              <w:spacing w:after="0"/>
              <w:rPr>
                <w:sz w:val="1"/>
                <w:szCs w:val="1"/>
                <w:color w:val="auto"/>
              </w:rPr>
            </w:pPr>
          </w:p>
        </w:tc>
      </w:tr>
      <w:tr>
        <w:trPr>
          <w:trHeight w:val="159"/>
        </w:trPr>
        <w:tc>
          <w:tcPr>
            <w:tcW w:w="8720" w:type="dxa"/>
            <w:vAlign w:val="bottom"/>
          </w:tcPr>
          <w:p>
            <w:pPr>
              <w:spacing w:after="0"/>
              <w:rPr>
                <w:sz w:val="20"/>
                <w:szCs w:val="20"/>
                <w:color w:val="auto"/>
              </w:rPr>
            </w:pPr>
            <w:r>
              <w:rPr>
                <w:rFonts w:ascii="Arial" w:cs="Arial" w:eastAsia="Arial" w:hAnsi="Arial"/>
                <w:sz w:val="13"/>
                <w:szCs w:val="13"/>
                <w:color w:val="auto"/>
              </w:rPr>
              <w:t>Net income (loss)</w:t>
            </w:r>
          </w:p>
        </w:tc>
        <w:tc>
          <w:tcPr>
            <w:tcW w:w="160" w:type="dxa"/>
            <w:vAlign w:val="bottom"/>
          </w:tcPr>
          <w:p>
            <w:pPr>
              <w:spacing w:after="0"/>
              <w:rPr>
                <w:sz w:val="13"/>
                <w:szCs w:val="13"/>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(46,443)</w:t>
            </w:r>
          </w:p>
        </w:tc>
        <w:tc>
          <w:tcPr>
            <w:tcW w:w="0" w:type="dxa"/>
            <w:vAlign w:val="bottom"/>
          </w:tcPr>
          <w:p>
            <w:pPr>
              <w:spacing w:after="0"/>
              <w:rPr>
                <w:sz w:val="1"/>
                <w:szCs w:val="1"/>
                <w:color w:val="auto"/>
              </w:rPr>
            </w:pPr>
          </w:p>
        </w:tc>
      </w:tr>
      <w:tr>
        <w:trPr>
          <w:trHeight w:val="176"/>
        </w:trPr>
        <w:tc>
          <w:tcPr>
            <w:tcW w:w="8720" w:type="dxa"/>
            <w:vAlign w:val="bottom"/>
          </w:tcPr>
          <w:p>
            <w:pPr>
              <w:ind w:left="220"/>
              <w:spacing w:after="0"/>
              <w:rPr>
                <w:sz w:val="20"/>
                <w:szCs w:val="20"/>
                <w:color w:val="auto"/>
              </w:rPr>
            </w:pPr>
            <w:r>
              <w:rPr>
                <w:rFonts w:ascii="Arial" w:cs="Arial" w:eastAsia="Arial" w:hAnsi="Arial"/>
                <w:sz w:val="13"/>
                <w:szCs w:val="13"/>
                <w:color w:val="auto"/>
              </w:rPr>
              <w:t>Interest expense</w:t>
            </w:r>
          </w:p>
        </w:tc>
        <w:tc>
          <w:tcPr>
            <w:tcW w:w="160" w:type="dxa"/>
            <w:vAlign w:val="bottom"/>
          </w:tcPr>
          <w:p>
            <w:pPr>
              <w:spacing w:after="0"/>
              <w:rPr>
                <w:sz w:val="15"/>
                <w:szCs w:val="15"/>
                <w:color w:val="auto"/>
              </w:rPr>
            </w:pPr>
          </w:p>
        </w:tc>
        <w:tc>
          <w:tcPr>
            <w:tcW w:w="1040" w:type="dxa"/>
            <w:vAlign w:val="bottom"/>
          </w:tcPr>
          <w:p>
            <w:pPr>
              <w:jc w:val="right"/>
              <w:ind w:right="97"/>
              <w:spacing w:after="0"/>
              <w:rPr>
                <w:sz w:val="20"/>
                <w:szCs w:val="20"/>
                <w:color w:val="auto"/>
              </w:rPr>
            </w:pPr>
            <w:r>
              <w:rPr>
                <w:rFonts w:ascii="Arial" w:cs="Arial" w:eastAsia="Arial" w:hAnsi="Arial"/>
                <w:sz w:val="13"/>
                <w:szCs w:val="13"/>
                <w:color w:val="auto"/>
              </w:rPr>
              <w:t>16,965</w:t>
            </w:r>
          </w:p>
        </w:tc>
        <w:tc>
          <w:tcPr>
            <w:tcW w:w="0" w:type="dxa"/>
            <w:vAlign w:val="bottom"/>
          </w:tcPr>
          <w:p>
            <w:pPr>
              <w:spacing w:after="0"/>
              <w:rPr>
                <w:sz w:val="1"/>
                <w:szCs w:val="1"/>
                <w:color w:val="auto"/>
              </w:rPr>
            </w:pPr>
          </w:p>
        </w:tc>
      </w:tr>
      <w:tr>
        <w:trPr>
          <w:trHeight w:val="176"/>
        </w:trPr>
        <w:tc>
          <w:tcPr>
            <w:tcW w:w="8720" w:type="dxa"/>
            <w:vAlign w:val="bottom"/>
          </w:tcPr>
          <w:p>
            <w:pPr>
              <w:ind w:left="220"/>
              <w:spacing w:after="0"/>
              <w:rPr>
                <w:sz w:val="20"/>
                <w:szCs w:val="20"/>
                <w:color w:val="auto"/>
              </w:rPr>
            </w:pPr>
            <w:r>
              <w:rPr>
                <w:rFonts w:ascii="Arial" w:cs="Arial" w:eastAsia="Arial" w:hAnsi="Arial"/>
                <w:sz w:val="13"/>
                <w:szCs w:val="13"/>
                <w:color w:val="auto"/>
              </w:rPr>
              <w:t>Income tax expense (benefit)</w:t>
            </w:r>
          </w:p>
        </w:tc>
        <w:tc>
          <w:tcPr>
            <w:tcW w:w="160" w:type="dxa"/>
            <w:vAlign w:val="bottom"/>
          </w:tcPr>
          <w:p>
            <w:pPr>
              <w:spacing w:after="0"/>
              <w:rPr>
                <w:sz w:val="15"/>
                <w:szCs w:val="15"/>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85"/>
        </w:trPr>
        <w:tc>
          <w:tcPr>
            <w:tcW w:w="8720" w:type="dxa"/>
            <w:vAlign w:val="bottom"/>
          </w:tcPr>
          <w:p>
            <w:pPr>
              <w:ind w:left="220"/>
              <w:spacing w:after="0"/>
              <w:rPr>
                <w:sz w:val="20"/>
                <w:szCs w:val="20"/>
                <w:color w:val="auto"/>
              </w:rPr>
            </w:pPr>
            <w:r>
              <w:rPr>
                <w:rFonts w:ascii="Arial" w:cs="Arial" w:eastAsia="Arial" w:hAnsi="Arial"/>
                <w:sz w:val="13"/>
                <w:szCs w:val="13"/>
                <w:color w:val="auto"/>
              </w:rPr>
              <w:t>Depreciation and amortization expense</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51,105</w:t>
            </w:r>
          </w:p>
        </w:tc>
        <w:tc>
          <w:tcPr>
            <w:tcW w:w="0" w:type="dxa"/>
            <w:vAlign w:val="bottom"/>
          </w:tcPr>
          <w:p>
            <w:pPr>
              <w:spacing w:after="0"/>
              <w:rPr>
                <w:sz w:val="1"/>
                <w:szCs w:val="1"/>
                <w:color w:val="auto"/>
              </w:rPr>
            </w:pPr>
          </w:p>
        </w:tc>
      </w:tr>
      <w:tr>
        <w:trPr>
          <w:trHeight w:val="169"/>
        </w:trPr>
        <w:tc>
          <w:tcPr>
            <w:tcW w:w="8720" w:type="dxa"/>
            <w:vAlign w:val="bottom"/>
          </w:tcPr>
          <w:p>
            <w:pPr>
              <w:spacing w:after="0"/>
              <w:rPr>
                <w:sz w:val="20"/>
                <w:szCs w:val="20"/>
                <w:color w:val="auto"/>
              </w:rPr>
            </w:pPr>
            <w:r>
              <w:rPr>
                <w:rFonts w:ascii="Arial" w:cs="Arial" w:eastAsia="Arial" w:hAnsi="Arial"/>
                <w:sz w:val="13"/>
                <w:szCs w:val="13"/>
                <w:color w:val="auto"/>
              </w:rPr>
              <w:t>EBITDA</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21,564</w:t>
            </w:r>
          </w:p>
        </w:tc>
        <w:tc>
          <w:tcPr>
            <w:tcW w:w="0" w:type="dxa"/>
            <w:vAlign w:val="bottom"/>
          </w:tcPr>
          <w:p>
            <w:pPr>
              <w:spacing w:after="0"/>
              <w:rPr>
                <w:sz w:val="1"/>
                <w:szCs w:val="1"/>
                <w:color w:val="auto"/>
              </w:rPr>
            </w:pPr>
          </w:p>
        </w:tc>
      </w:tr>
      <w:tr>
        <w:trPr>
          <w:trHeight w:val="160"/>
        </w:trPr>
        <w:tc>
          <w:tcPr>
            <w:tcW w:w="8720" w:type="dxa"/>
            <w:vAlign w:val="bottom"/>
          </w:tcPr>
          <w:p>
            <w:pPr>
              <w:ind w:left="220"/>
              <w:spacing w:after="0"/>
              <w:rPr>
                <w:sz w:val="20"/>
                <w:szCs w:val="20"/>
                <w:color w:val="auto"/>
              </w:rPr>
            </w:pPr>
            <w:r>
              <w:rPr>
                <w:rFonts w:ascii="Arial" w:cs="Arial" w:eastAsia="Arial" w:hAnsi="Arial"/>
                <w:sz w:val="13"/>
                <w:szCs w:val="13"/>
                <w:color w:val="auto"/>
              </w:rPr>
              <w:t>Loss on extinguishment of debt (1)</w:t>
            </w:r>
          </w:p>
        </w:tc>
        <w:tc>
          <w:tcPr>
            <w:tcW w:w="160" w:type="dxa"/>
            <w:vAlign w:val="bottom"/>
          </w:tcPr>
          <w:p>
            <w:pPr>
              <w:spacing w:after="0"/>
              <w:rPr>
                <w:sz w:val="13"/>
                <w:szCs w:val="13"/>
                <w:color w:val="auto"/>
              </w:rPr>
            </w:pPr>
          </w:p>
        </w:tc>
        <w:tc>
          <w:tcPr>
            <w:tcW w:w="1040" w:type="dxa"/>
            <w:vAlign w:val="bottom"/>
          </w:tcPr>
          <w:p>
            <w:pPr>
              <w:jc w:val="right"/>
              <w:ind w:right="97"/>
              <w:spacing w:after="0"/>
              <w:rPr>
                <w:sz w:val="20"/>
                <w:szCs w:val="20"/>
                <w:color w:val="auto"/>
              </w:rPr>
            </w:pPr>
            <w:r>
              <w:rPr>
                <w:rFonts w:ascii="Arial" w:cs="Arial" w:eastAsia="Arial" w:hAnsi="Arial"/>
                <w:sz w:val="13"/>
                <w:szCs w:val="13"/>
                <w:color w:val="auto"/>
              </w:rPr>
              <w:t>11,935</w:t>
            </w:r>
          </w:p>
        </w:tc>
        <w:tc>
          <w:tcPr>
            <w:tcW w:w="0" w:type="dxa"/>
            <w:vAlign w:val="bottom"/>
          </w:tcPr>
          <w:p>
            <w:pPr>
              <w:spacing w:after="0"/>
              <w:rPr>
                <w:sz w:val="1"/>
                <w:szCs w:val="1"/>
                <w:color w:val="auto"/>
              </w:rPr>
            </w:pPr>
          </w:p>
        </w:tc>
      </w:tr>
      <w:tr>
        <w:trPr>
          <w:trHeight w:val="175"/>
        </w:trPr>
        <w:tc>
          <w:tcPr>
            <w:tcW w:w="8720" w:type="dxa"/>
            <w:vAlign w:val="bottom"/>
          </w:tcPr>
          <w:p>
            <w:pPr>
              <w:ind w:left="220"/>
              <w:spacing w:after="0"/>
              <w:rPr>
                <w:sz w:val="20"/>
                <w:szCs w:val="20"/>
                <w:color w:val="auto"/>
              </w:rPr>
            </w:pPr>
            <w:r>
              <w:rPr>
                <w:rFonts w:ascii="Arial" w:cs="Arial" w:eastAsia="Arial" w:hAnsi="Arial"/>
                <w:sz w:val="13"/>
                <w:szCs w:val="13"/>
                <w:color w:val="auto"/>
              </w:rPr>
              <w:t>Share-based compensation expense (2)</w:t>
            </w:r>
          </w:p>
        </w:tc>
        <w:tc>
          <w:tcPr>
            <w:tcW w:w="160" w:type="dxa"/>
            <w:vAlign w:val="bottom"/>
          </w:tcPr>
          <w:p>
            <w:pPr>
              <w:spacing w:after="0"/>
              <w:rPr>
                <w:sz w:val="15"/>
                <w:szCs w:val="15"/>
                <w:color w:val="auto"/>
              </w:rPr>
            </w:pPr>
          </w:p>
        </w:tc>
        <w:tc>
          <w:tcPr>
            <w:tcW w:w="1040" w:type="dxa"/>
            <w:vAlign w:val="bottom"/>
          </w:tcPr>
          <w:p>
            <w:pPr>
              <w:jc w:val="right"/>
              <w:ind w:right="97"/>
              <w:spacing w:after="0"/>
              <w:rPr>
                <w:sz w:val="20"/>
                <w:szCs w:val="20"/>
                <w:color w:val="auto"/>
              </w:rPr>
            </w:pPr>
            <w:r>
              <w:rPr>
                <w:rFonts w:ascii="Arial" w:cs="Arial" w:eastAsia="Arial" w:hAnsi="Arial"/>
                <w:sz w:val="13"/>
                <w:szCs w:val="13"/>
                <w:color w:val="auto"/>
              </w:rPr>
              <w:t>12,711</w:t>
            </w:r>
          </w:p>
        </w:tc>
        <w:tc>
          <w:tcPr>
            <w:tcW w:w="0" w:type="dxa"/>
            <w:vAlign w:val="bottom"/>
          </w:tcPr>
          <w:p>
            <w:pPr>
              <w:spacing w:after="0"/>
              <w:rPr>
                <w:sz w:val="1"/>
                <w:szCs w:val="1"/>
                <w:color w:val="auto"/>
              </w:rPr>
            </w:pPr>
          </w:p>
        </w:tc>
      </w:tr>
      <w:tr>
        <w:trPr>
          <w:trHeight w:val="175"/>
        </w:trPr>
        <w:tc>
          <w:tcPr>
            <w:tcW w:w="8720" w:type="dxa"/>
            <w:vAlign w:val="bottom"/>
          </w:tcPr>
          <w:p>
            <w:pPr>
              <w:ind w:left="220"/>
              <w:spacing w:after="0"/>
              <w:rPr>
                <w:sz w:val="20"/>
                <w:szCs w:val="20"/>
                <w:color w:val="auto"/>
              </w:rPr>
            </w:pPr>
            <w:r>
              <w:rPr>
                <w:rFonts w:ascii="Arial" w:cs="Arial" w:eastAsia="Arial" w:hAnsi="Arial"/>
                <w:sz w:val="13"/>
                <w:szCs w:val="13"/>
                <w:color w:val="auto"/>
              </w:rPr>
              <w:t>Legal fees (3)</w:t>
            </w:r>
          </w:p>
        </w:tc>
        <w:tc>
          <w:tcPr>
            <w:tcW w:w="160" w:type="dxa"/>
            <w:vAlign w:val="bottom"/>
          </w:tcPr>
          <w:p>
            <w:pPr>
              <w:spacing w:after="0"/>
              <w:rPr>
                <w:sz w:val="15"/>
                <w:szCs w:val="15"/>
                <w:color w:val="auto"/>
              </w:rPr>
            </w:pPr>
          </w:p>
        </w:tc>
        <w:tc>
          <w:tcPr>
            <w:tcW w:w="1040" w:type="dxa"/>
            <w:vAlign w:val="bottom"/>
          </w:tcPr>
          <w:p>
            <w:pPr>
              <w:jc w:val="right"/>
              <w:ind w:right="97"/>
              <w:spacing w:after="0"/>
              <w:rPr>
                <w:sz w:val="20"/>
                <w:szCs w:val="20"/>
                <w:color w:val="auto"/>
              </w:rPr>
            </w:pPr>
            <w:r>
              <w:rPr>
                <w:rFonts w:ascii="Arial" w:cs="Arial" w:eastAsia="Arial" w:hAnsi="Arial"/>
                <w:sz w:val="13"/>
                <w:szCs w:val="13"/>
                <w:color w:val="auto"/>
              </w:rPr>
              <w:t>180</w:t>
            </w:r>
          </w:p>
        </w:tc>
        <w:tc>
          <w:tcPr>
            <w:tcW w:w="0" w:type="dxa"/>
            <w:vAlign w:val="bottom"/>
          </w:tcPr>
          <w:p>
            <w:pPr>
              <w:spacing w:after="0"/>
              <w:rPr>
                <w:sz w:val="1"/>
                <w:szCs w:val="1"/>
                <w:color w:val="auto"/>
              </w:rPr>
            </w:pPr>
          </w:p>
        </w:tc>
      </w:tr>
      <w:tr>
        <w:trPr>
          <w:trHeight w:val="175"/>
        </w:trPr>
        <w:tc>
          <w:tcPr>
            <w:tcW w:w="8720" w:type="dxa"/>
            <w:vAlign w:val="bottom"/>
          </w:tcPr>
          <w:p>
            <w:pPr>
              <w:ind w:left="220"/>
              <w:spacing w:after="0"/>
              <w:rPr>
                <w:sz w:val="20"/>
                <w:szCs w:val="20"/>
                <w:color w:val="auto"/>
              </w:rPr>
            </w:pPr>
            <w:r>
              <w:rPr>
                <w:rFonts w:ascii="Arial" w:cs="Arial" w:eastAsia="Arial" w:hAnsi="Arial"/>
                <w:sz w:val="13"/>
                <w:szCs w:val="13"/>
                <w:color w:val="auto"/>
              </w:rPr>
              <w:t>Change in fair value of contingent consideration liability (4)</w:t>
            </w:r>
          </w:p>
        </w:tc>
        <w:tc>
          <w:tcPr>
            <w:tcW w:w="160" w:type="dxa"/>
            <w:vAlign w:val="bottom"/>
          </w:tcPr>
          <w:p>
            <w:pPr>
              <w:spacing w:after="0"/>
              <w:rPr>
                <w:sz w:val="15"/>
                <w:szCs w:val="15"/>
                <w:color w:val="auto"/>
              </w:rPr>
            </w:pPr>
          </w:p>
        </w:tc>
        <w:tc>
          <w:tcPr>
            <w:tcW w:w="10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8720" w:type="dxa"/>
            <w:vAlign w:val="bottom"/>
          </w:tcPr>
          <w:p>
            <w:pPr>
              <w:ind w:left="220"/>
              <w:spacing w:after="0"/>
              <w:rPr>
                <w:sz w:val="20"/>
                <w:szCs w:val="20"/>
                <w:color w:val="auto"/>
              </w:rPr>
            </w:pPr>
            <w:r>
              <w:rPr>
                <w:rFonts w:ascii="Arial" w:cs="Arial" w:eastAsia="Arial" w:hAnsi="Arial"/>
                <w:sz w:val="13"/>
                <w:szCs w:val="13"/>
                <w:color w:val="auto"/>
              </w:rPr>
              <w:t>IPO transaction costs (5)</w:t>
            </w:r>
          </w:p>
        </w:tc>
        <w:tc>
          <w:tcPr>
            <w:tcW w:w="160" w:type="dxa"/>
            <w:vAlign w:val="bottom"/>
          </w:tcPr>
          <w:p>
            <w:pPr>
              <w:spacing w:after="0"/>
              <w:rPr>
                <w:sz w:val="15"/>
                <w:szCs w:val="15"/>
                <w:color w:val="auto"/>
              </w:rPr>
            </w:pPr>
          </w:p>
        </w:tc>
        <w:tc>
          <w:tcPr>
            <w:tcW w:w="10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8720" w:type="dxa"/>
            <w:vAlign w:val="bottom"/>
          </w:tcPr>
          <w:p>
            <w:pPr>
              <w:ind w:left="220"/>
              <w:spacing w:after="0"/>
              <w:rPr>
                <w:sz w:val="20"/>
                <w:szCs w:val="20"/>
                <w:color w:val="auto"/>
              </w:rPr>
            </w:pPr>
            <w:r>
              <w:rPr>
                <w:rFonts w:ascii="Arial" w:cs="Arial" w:eastAsia="Arial" w:hAnsi="Arial"/>
                <w:sz w:val="13"/>
                <w:szCs w:val="13"/>
                <w:color w:val="auto"/>
              </w:rPr>
              <w:t>Severance costs (6)</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8720" w:type="dxa"/>
            <w:vAlign w:val="bottom"/>
          </w:tcPr>
          <w:p>
            <w:pPr>
              <w:spacing w:after="0"/>
              <w:rPr>
                <w:sz w:val="20"/>
                <w:szCs w:val="20"/>
                <w:color w:val="auto"/>
              </w:rPr>
            </w:pPr>
            <w:r>
              <w:rPr>
                <w:rFonts w:ascii="Arial" w:cs="Arial" w:eastAsia="Arial" w:hAnsi="Arial"/>
                <w:sz w:val="13"/>
                <w:szCs w:val="13"/>
                <w:b w:val="1"/>
                <w:bCs w:val="1"/>
                <w:color w:val="auto"/>
              </w:rPr>
              <w:t>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46,390</w:t>
            </w:r>
          </w:p>
        </w:tc>
        <w:tc>
          <w:tcPr>
            <w:tcW w:w="0" w:type="dxa"/>
            <w:vAlign w:val="bottom"/>
          </w:tcPr>
          <w:p>
            <w:pPr>
              <w:spacing w:after="0"/>
              <w:rPr>
                <w:sz w:val="1"/>
                <w:szCs w:val="1"/>
                <w:color w:val="auto"/>
              </w:rPr>
            </w:pPr>
          </w:p>
        </w:tc>
      </w:tr>
      <w:tr>
        <w:trPr>
          <w:trHeight w:val="20"/>
        </w:trPr>
        <w:tc>
          <w:tcPr>
            <w:tcW w:w="8720" w:type="dxa"/>
            <w:vAlign w:val="bottom"/>
            <w:vMerge w:val="restart"/>
          </w:tcPr>
          <w:p>
            <w:pPr>
              <w:spacing w:after="0"/>
              <w:rPr>
                <w:sz w:val="20"/>
                <w:szCs w:val="20"/>
                <w:color w:val="auto"/>
              </w:rPr>
            </w:pPr>
            <w:r>
              <w:rPr>
                <w:rFonts w:ascii="Arial" w:cs="Arial" w:eastAsia="Arial" w:hAnsi="Arial"/>
                <w:sz w:val="13"/>
                <w:szCs w:val="13"/>
                <w:color w:val="auto"/>
              </w:rPr>
              <w:t>Adjusted EBITDA margin</w:t>
            </w: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87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-1386840</wp:posOffset>
            </wp:positionV>
            <wp:extent cx="7132320" cy="1117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-1163955</wp:posOffset>
            </wp:positionV>
            <wp:extent cx="7132320" cy="1117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-701040</wp:posOffset>
            </wp:positionV>
            <wp:extent cx="7132320" cy="1117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1111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-932180</wp:posOffset>
            </wp:positionV>
            <wp:extent cx="7132320" cy="120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-1626235</wp:posOffset>
            </wp:positionV>
            <wp:extent cx="7132320" cy="1200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ind w:left="320" w:hanging="312"/>
        <w:spacing w:after="0"/>
        <w:tabs>
          <w:tab w:leader="none" w:pos="32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loss on debt extinguishment related to the Initial Term Loan Facility.</w:t>
      </w:r>
    </w:p>
    <w:p>
      <w:pPr>
        <w:ind w:left="320" w:hanging="312"/>
        <w:spacing w:after="0"/>
        <w:tabs>
          <w:tab w:leader="none" w:pos="32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non-cash share-based compensation expense relating to equity awards.</w:t>
      </w:r>
    </w:p>
    <w:p>
      <w:pPr>
        <w:ind w:left="320" w:hanging="312"/>
        <w:spacing w:after="0"/>
        <w:tabs>
          <w:tab w:leader="none" w:pos="32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non-recurring legal fees unrelated to our core operations.</w:t>
      </w:r>
    </w:p>
    <w:p>
      <w:pPr>
        <w:ind w:left="320" w:hanging="312"/>
        <w:spacing w:after="0"/>
        <w:tabs>
          <w:tab w:leader="none" w:pos="32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change in fair value of the contingent consideration liability due to the predecessor owners of the Company arising from the Centerbridge Acquisition.</w:t>
      </w:r>
    </w:p>
    <w:p>
      <w:pPr>
        <w:ind w:left="320" w:hanging="312"/>
        <w:spacing w:after="0"/>
        <w:tabs>
          <w:tab w:leader="none" w:pos="32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legal, accounting, consulting, and other indirect costs associated with the Company’s IPO.</w:t>
      </w:r>
    </w:p>
    <w:p>
      <w:pPr>
        <w:ind w:left="320" w:hanging="312"/>
        <w:spacing w:after="0"/>
        <w:tabs>
          <w:tab w:leader="none" w:pos="32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costs associated with the termination of employment.</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jc w:val="center"/>
        <w:ind w:left="-3" w:right="40"/>
        <w:spacing w:after="0" w:line="263" w:lineRule="auto"/>
        <w:rPr>
          <w:sz w:val="20"/>
          <w:szCs w:val="20"/>
          <w:color w:val="auto"/>
        </w:rPr>
      </w:pPr>
      <w:r>
        <w:rPr>
          <w:rFonts w:ascii="Arial" w:cs="Arial" w:eastAsia="Arial" w:hAnsi="Arial"/>
          <w:sz w:val="12"/>
          <w:szCs w:val="12"/>
          <w:b w:val="1"/>
          <w:bCs w:val="1"/>
          <w:color w:val="auto"/>
        </w:rPr>
        <w:t>Six months ended Jun. 30, 2020</w:t>
      </w:r>
    </w:p>
    <w:p>
      <w:pPr>
        <w:spacing w:after="0" w:line="24" w:lineRule="exact"/>
        <w:rPr>
          <w:sz w:val="20"/>
          <w:szCs w:val="20"/>
          <w:color w:val="auto"/>
        </w:rPr>
      </w:pPr>
    </w:p>
    <w:p>
      <w:pPr>
        <w:ind w:left="564" w:hanging="564"/>
        <w:spacing w:after="0"/>
        <w:tabs>
          <w:tab w:leader="none" w:pos="564" w:val="left"/>
        </w:tabs>
        <w:numPr>
          <w:ilvl w:val="0"/>
          <w:numId w:val="10"/>
        </w:numPr>
        <w:rPr>
          <w:rFonts w:ascii="Arial" w:cs="Arial" w:eastAsia="Arial" w:hAnsi="Arial"/>
          <w:sz w:val="13"/>
          <w:szCs w:val="13"/>
          <w:color w:val="auto"/>
        </w:rPr>
      </w:pPr>
      <w:r>
        <w:rPr>
          <w:rFonts w:ascii="Arial" w:cs="Arial" w:eastAsia="Arial" w:hAnsi="Arial"/>
          <w:sz w:val="13"/>
          <w:szCs w:val="13"/>
          <w:color w:val="auto"/>
        </w:rPr>
        <w:t>268,067</w:t>
      </w:r>
    </w:p>
    <w:p>
      <w:pPr>
        <w:spacing w:after="0" w:line="39" w:lineRule="exact"/>
        <w:rPr>
          <w:rFonts w:ascii="Arial" w:cs="Arial" w:eastAsia="Arial" w:hAnsi="Arial"/>
          <w:sz w:val="13"/>
          <w:szCs w:val="13"/>
          <w:color w:val="auto"/>
        </w:rPr>
      </w:pPr>
    </w:p>
    <w:p>
      <w:pPr>
        <w:ind w:left="584"/>
        <w:spacing w:after="0"/>
        <w:rPr>
          <w:rFonts w:ascii="Arial" w:cs="Arial" w:eastAsia="Arial" w:hAnsi="Arial"/>
          <w:sz w:val="13"/>
          <w:szCs w:val="13"/>
          <w:color w:val="auto"/>
        </w:rPr>
      </w:pPr>
      <w:r>
        <w:rPr>
          <w:rFonts w:ascii="Arial" w:cs="Arial" w:eastAsia="Arial" w:hAnsi="Arial"/>
          <w:sz w:val="13"/>
          <w:szCs w:val="13"/>
          <w:color w:val="auto"/>
        </w:rPr>
        <w:t>(23,804)</w:t>
      </w:r>
    </w:p>
    <w:p>
      <w:pPr>
        <w:spacing w:after="0" w:line="26" w:lineRule="exact"/>
        <w:rPr>
          <w:rFonts w:ascii="Arial" w:cs="Arial" w:eastAsia="Arial" w:hAnsi="Arial"/>
          <w:sz w:val="13"/>
          <w:szCs w:val="13"/>
          <w:color w:val="auto"/>
        </w:rPr>
      </w:pPr>
    </w:p>
    <w:p>
      <w:pPr>
        <w:ind w:left="624"/>
        <w:spacing w:after="0"/>
        <w:rPr>
          <w:rFonts w:ascii="Arial" w:cs="Arial" w:eastAsia="Arial" w:hAnsi="Arial"/>
          <w:sz w:val="13"/>
          <w:szCs w:val="13"/>
          <w:color w:val="auto"/>
        </w:rPr>
      </w:pPr>
      <w:r>
        <w:rPr>
          <w:rFonts w:ascii="Arial" w:cs="Arial" w:eastAsia="Arial" w:hAnsi="Arial"/>
          <w:sz w:val="13"/>
          <w:szCs w:val="13"/>
          <w:color w:val="auto"/>
        </w:rPr>
        <w:t>15,742</w:t>
      </w:r>
    </w:p>
    <w:p>
      <w:pPr>
        <w:spacing w:after="0" w:line="26" w:lineRule="exact"/>
        <w:rPr>
          <w:rFonts w:ascii="Arial" w:cs="Arial" w:eastAsia="Arial" w:hAnsi="Arial"/>
          <w:sz w:val="13"/>
          <w:szCs w:val="13"/>
          <w:color w:val="auto"/>
        </w:rPr>
      </w:pPr>
    </w:p>
    <w:p>
      <w:pPr>
        <w:ind w:left="824"/>
        <w:spacing w:after="0"/>
        <w:rPr>
          <w:rFonts w:ascii="Arial" w:cs="Arial" w:eastAsia="Arial" w:hAnsi="Arial"/>
          <w:sz w:val="13"/>
          <w:szCs w:val="13"/>
          <w:color w:val="auto"/>
        </w:rPr>
      </w:pPr>
      <w:r>
        <w:rPr>
          <w:rFonts w:ascii="Arial" w:cs="Arial" w:eastAsia="Arial" w:hAnsi="Arial"/>
          <w:sz w:val="13"/>
          <w:szCs w:val="13"/>
          <w:color w:val="auto"/>
        </w:rPr>
        <w:t>(24)</w:t>
      </w:r>
    </w:p>
    <w:p>
      <w:pPr>
        <w:spacing w:after="0" w:line="26" w:lineRule="exact"/>
        <w:rPr>
          <w:rFonts w:ascii="Arial" w:cs="Arial" w:eastAsia="Arial" w:hAnsi="Arial"/>
          <w:sz w:val="13"/>
          <w:szCs w:val="13"/>
          <w:color w:val="auto"/>
        </w:rPr>
      </w:pPr>
    </w:p>
    <w:p>
      <w:pPr>
        <w:ind w:left="624"/>
        <w:spacing w:after="0"/>
        <w:rPr>
          <w:rFonts w:ascii="Arial" w:cs="Arial" w:eastAsia="Arial" w:hAnsi="Arial"/>
          <w:sz w:val="13"/>
          <w:szCs w:val="13"/>
          <w:color w:val="auto"/>
        </w:rPr>
      </w:pPr>
      <w:r>
        <w:rPr>
          <w:rFonts w:ascii="Arial" w:cs="Arial" w:eastAsia="Arial" w:hAnsi="Arial"/>
          <w:sz w:val="13"/>
          <w:szCs w:val="13"/>
          <w:color w:val="auto"/>
        </w:rPr>
        <w:t>48,665</w:t>
      </w:r>
    </w:p>
    <w:p>
      <w:pPr>
        <w:spacing w:after="0" w:line="39" w:lineRule="exact"/>
        <w:rPr>
          <w:rFonts w:ascii="Arial" w:cs="Arial" w:eastAsia="Arial" w:hAnsi="Arial"/>
          <w:sz w:val="13"/>
          <w:szCs w:val="13"/>
          <w:color w:val="auto"/>
        </w:rPr>
      </w:pPr>
    </w:p>
    <w:p>
      <w:pPr>
        <w:ind w:left="624"/>
        <w:spacing w:after="0"/>
        <w:rPr>
          <w:rFonts w:ascii="Arial" w:cs="Arial" w:eastAsia="Arial" w:hAnsi="Arial"/>
          <w:sz w:val="13"/>
          <w:szCs w:val="13"/>
          <w:color w:val="auto"/>
        </w:rPr>
      </w:pPr>
      <w:r>
        <w:rPr>
          <w:rFonts w:ascii="Arial" w:cs="Arial" w:eastAsia="Arial" w:hAnsi="Arial"/>
          <w:sz w:val="13"/>
          <w:szCs w:val="13"/>
          <w:color w:val="auto"/>
        </w:rPr>
        <w:t>40,579</w:t>
      </w:r>
    </w:p>
    <w:p>
      <w:pPr>
        <w:spacing w:after="0" w:line="39" w:lineRule="exact"/>
        <w:rPr>
          <w:rFonts w:ascii="Arial" w:cs="Arial" w:eastAsia="Arial" w:hAnsi="Arial"/>
          <w:sz w:val="13"/>
          <w:szCs w:val="13"/>
          <w:color w:val="auto"/>
        </w:rPr>
      </w:pPr>
    </w:p>
    <w:p>
      <w:pPr>
        <w:ind w:left="884"/>
        <w:spacing w:after="0"/>
        <w:rPr>
          <w:rFonts w:ascii="Arial" w:cs="Arial" w:eastAsia="Arial" w:hAnsi="Arial"/>
          <w:sz w:val="13"/>
          <w:szCs w:val="13"/>
          <w:color w:val="auto"/>
        </w:rPr>
      </w:pPr>
      <w:r>
        <w:rPr>
          <w:rFonts w:ascii="Arial" w:cs="Arial" w:eastAsia="Arial" w:hAnsi="Arial"/>
          <w:sz w:val="13"/>
          <w:szCs w:val="13"/>
          <w:color w:val="auto"/>
        </w:rPr>
        <w:t>—</w:t>
      </w:r>
    </w:p>
    <w:p>
      <w:pPr>
        <w:spacing w:after="0" w:line="26" w:lineRule="exact"/>
        <w:rPr>
          <w:rFonts w:ascii="Arial" w:cs="Arial" w:eastAsia="Arial" w:hAnsi="Arial"/>
          <w:sz w:val="13"/>
          <w:szCs w:val="13"/>
          <w:color w:val="auto"/>
        </w:rPr>
      </w:pPr>
    </w:p>
    <w:p>
      <w:pPr>
        <w:ind w:left="704"/>
        <w:spacing w:after="0"/>
        <w:rPr>
          <w:rFonts w:ascii="Arial" w:cs="Arial" w:eastAsia="Arial" w:hAnsi="Arial"/>
          <w:sz w:val="13"/>
          <w:szCs w:val="13"/>
          <w:color w:val="auto"/>
        </w:rPr>
      </w:pPr>
      <w:r>
        <w:rPr>
          <w:rFonts w:ascii="Arial" w:cs="Arial" w:eastAsia="Arial" w:hAnsi="Arial"/>
          <w:sz w:val="13"/>
          <w:szCs w:val="13"/>
          <w:color w:val="auto"/>
        </w:rPr>
        <w:t>1,077</w:t>
      </w:r>
    </w:p>
    <w:p>
      <w:pPr>
        <w:spacing w:after="0" w:line="26" w:lineRule="exact"/>
        <w:rPr>
          <w:rFonts w:ascii="Arial" w:cs="Arial" w:eastAsia="Arial" w:hAnsi="Arial"/>
          <w:sz w:val="13"/>
          <w:szCs w:val="13"/>
          <w:color w:val="auto"/>
        </w:rPr>
      </w:pPr>
    </w:p>
    <w:p>
      <w:pPr>
        <w:ind w:left="884"/>
        <w:spacing w:after="0"/>
        <w:rPr>
          <w:rFonts w:ascii="Arial" w:cs="Arial" w:eastAsia="Arial" w:hAnsi="Arial"/>
          <w:sz w:val="13"/>
          <w:szCs w:val="13"/>
          <w:color w:val="auto"/>
        </w:rPr>
      </w:pPr>
      <w:r>
        <w:rPr>
          <w:rFonts w:ascii="Arial" w:cs="Arial" w:eastAsia="Arial" w:hAnsi="Arial"/>
          <w:sz w:val="13"/>
          <w:szCs w:val="13"/>
          <w:color w:val="auto"/>
        </w:rPr>
        <w:t>—</w:t>
      </w:r>
    </w:p>
    <w:p>
      <w:pPr>
        <w:spacing w:after="0" w:line="26" w:lineRule="exact"/>
        <w:rPr>
          <w:rFonts w:ascii="Arial" w:cs="Arial" w:eastAsia="Arial" w:hAnsi="Arial"/>
          <w:sz w:val="13"/>
          <w:szCs w:val="13"/>
          <w:color w:val="auto"/>
        </w:rPr>
      </w:pPr>
    </w:p>
    <w:p>
      <w:pPr>
        <w:ind w:left="624"/>
        <w:spacing w:after="0"/>
        <w:rPr>
          <w:rFonts w:ascii="Arial" w:cs="Arial" w:eastAsia="Arial" w:hAnsi="Arial"/>
          <w:sz w:val="13"/>
          <w:szCs w:val="13"/>
          <w:color w:val="auto"/>
        </w:rPr>
      </w:pPr>
      <w:r>
        <w:rPr>
          <w:rFonts w:ascii="Arial" w:cs="Arial" w:eastAsia="Arial" w:hAnsi="Arial"/>
          <w:sz w:val="13"/>
          <w:szCs w:val="13"/>
          <w:color w:val="auto"/>
        </w:rPr>
        <w:t>19,700</w:t>
      </w:r>
    </w:p>
    <w:p>
      <w:pPr>
        <w:spacing w:after="0" w:line="26" w:lineRule="exact"/>
        <w:rPr>
          <w:rFonts w:ascii="Arial" w:cs="Arial" w:eastAsia="Arial" w:hAnsi="Arial"/>
          <w:sz w:val="13"/>
          <w:szCs w:val="13"/>
          <w:color w:val="auto"/>
        </w:rPr>
      </w:pPr>
    </w:p>
    <w:p>
      <w:pPr>
        <w:ind w:left="804"/>
        <w:spacing w:after="0"/>
        <w:rPr>
          <w:rFonts w:ascii="Arial" w:cs="Arial" w:eastAsia="Arial" w:hAnsi="Arial"/>
          <w:sz w:val="13"/>
          <w:szCs w:val="13"/>
          <w:color w:val="auto"/>
        </w:rPr>
      </w:pPr>
      <w:r>
        <w:rPr>
          <w:rFonts w:ascii="Arial" w:cs="Arial" w:eastAsia="Arial" w:hAnsi="Arial"/>
          <w:sz w:val="13"/>
          <w:szCs w:val="13"/>
          <w:color w:val="auto"/>
        </w:rPr>
        <w:t>424</w:t>
      </w:r>
    </w:p>
    <w:p>
      <w:pPr>
        <w:spacing w:after="0" w:line="26" w:lineRule="exact"/>
        <w:rPr>
          <w:rFonts w:ascii="Arial" w:cs="Arial" w:eastAsia="Arial" w:hAnsi="Arial"/>
          <w:sz w:val="13"/>
          <w:szCs w:val="13"/>
          <w:color w:val="auto"/>
        </w:rPr>
      </w:pPr>
    </w:p>
    <w:p>
      <w:pPr>
        <w:ind w:left="884"/>
        <w:spacing w:after="0"/>
        <w:rPr>
          <w:rFonts w:ascii="Arial" w:cs="Arial" w:eastAsia="Arial" w:hAnsi="Arial"/>
          <w:sz w:val="13"/>
          <w:szCs w:val="13"/>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-784860</wp:posOffset>
            </wp:positionV>
            <wp:extent cx="7632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327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-1239520</wp:posOffset>
            </wp:positionV>
            <wp:extent cx="7632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4" w:lineRule="exact"/>
        <w:rPr>
          <w:sz w:val="20"/>
          <w:szCs w:val="20"/>
          <w:color w:val="auto"/>
        </w:rPr>
      </w:pPr>
    </w:p>
    <w:p>
      <w:pPr>
        <w:ind w:left="624" w:hanging="624"/>
        <w:spacing w:after="0"/>
        <w:tabs>
          <w:tab w:leader="none" w:pos="624" w:val="left"/>
        </w:tabs>
        <w:numPr>
          <w:ilvl w:val="0"/>
          <w:numId w:val="11"/>
        </w:numPr>
        <w:rPr>
          <w:rFonts w:ascii="Arial" w:cs="Arial" w:eastAsia="Arial" w:hAnsi="Arial"/>
          <w:sz w:val="13"/>
          <w:szCs w:val="13"/>
          <w:b w:val="1"/>
          <w:bCs w:val="1"/>
          <w:color w:val="auto"/>
        </w:rPr>
      </w:pPr>
      <w:r>
        <w:rPr>
          <w:rFonts w:ascii="Arial" w:cs="Arial" w:eastAsia="Arial" w:hAnsi="Arial"/>
          <w:sz w:val="13"/>
          <w:szCs w:val="13"/>
          <w:b w:val="1"/>
          <w:bCs w:val="1"/>
          <w:color w:val="auto"/>
        </w:rPr>
        <w:t>61,857</w:t>
      </w:r>
    </w:p>
    <w:p>
      <w:pPr>
        <w:spacing w:after="0" w:line="96" w:lineRule="exact"/>
        <w:rPr>
          <w:rFonts w:ascii="Arial" w:cs="Arial" w:eastAsia="Arial" w:hAnsi="Arial"/>
          <w:sz w:val="13"/>
          <w:szCs w:val="13"/>
          <w:b w:val="1"/>
          <w:bCs w:val="1"/>
          <w:color w:val="auto"/>
        </w:rPr>
      </w:pPr>
    </w:p>
    <w:p>
      <w:pPr>
        <w:ind w:left="764"/>
        <w:spacing w:after="0"/>
        <w:rPr>
          <w:rFonts w:ascii="Arial" w:cs="Arial" w:eastAsia="Arial" w:hAnsi="Arial"/>
          <w:sz w:val="13"/>
          <w:szCs w:val="13"/>
          <w:b w:val="1"/>
          <w:bCs w:val="1"/>
          <w:color w:val="auto"/>
        </w:rPr>
      </w:pPr>
      <w:r>
        <w:rPr>
          <w:rFonts w:ascii="Arial" w:cs="Arial" w:eastAsia="Arial" w:hAnsi="Arial"/>
          <w:sz w:val="12"/>
          <w:szCs w:val="12"/>
          <w:color w:val="auto"/>
        </w:rPr>
        <w:t>23.1 %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-100330</wp:posOffset>
            </wp:positionV>
            <wp:extent cx="7632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3270" cy="8255"/>
                    </a:xfrm>
                    <a:prstGeom prst="rect">
                      <a:avLst/>
                    </a:prstGeom>
                    <a:noFill/>
                  </pic:spPr>
                </pic:pic>
              </a:graphicData>
            </a:graphic>
          </wp:anchor>
        </w:drawing>
      </w:r>
    </w:p>
    <w:p>
      <w:pPr>
        <w:spacing w:after="0" w:line="1386" w:lineRule="exact"/>
        <w:rPr>
          <w:sz w:val="20"/>
          <w:szCs w:val="20"/>
          <w:color w:val="auto"/>
        </w:rPr>
      </w:pPr>
    </w:p>
    <w:p>
      <w:pPr>
        <w:sectPr>
          <w:pgSz w:w="11900" w:h="16838" w:orient="portrait"/>
          <w:cols w:equalWidth="0" w:num="2">
            <w:col w:w="9940" w:space="116"/>
            <w:col w:w="1184"/>
          </w:cols>
          <w:pgMar w:left="320" w:top="789" w:right="339" w:bottom="1440" w:gutter="0" w:footer="0" w:header="0"/>
          <w:type w:val="continuous"/>
        </w:sectPr>
      </w:pPr>
    </w:p>
    <w:p>
      <w:pPr>
        <w:spacing w:after="0" w:line="266"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789"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color w:val="auto"/>
        </w:rPr>
        <w:t>The following table summarizes share-based compensation expense by operating function for the periods indicated (unaudited):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Three months</w:t>
            </w: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Three months</w:t>
            </w:r>
          </w:p>
        </w:tc>
        <w:tc>
          <w:tcPr>
            <w:tcW w:w="10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Six months</w:t>
            </w:r>
          </w:p>
        </w:tc>
        <w:tc>
          <w:tcPr>
            <w:tcW w:w="100" w:type="dxa"/>
            <w:vAlign w:val="bottom"/>
          </w:tcPr>
          <w:p>
            <w:pPr>
              <w:spacing w:after="0"/>
              <w:rPr>
                <w:sz w:val="13"/>
                <w:szCs w:val="13"/>
                <w:color w:val="auto"/>
              </w:rPr>
            </w:pPr>
          </w:p>
        </w:tc>
        <w:tc>
          <w:tcPr>
            <w:tcW w:w="1000" w:type="dxa"/>
            <w:vAlign w:val="bottom"/>
          </w:tcPr>
          <w:p>
            <w:pPr>
              <w:jc w:val="center"/>
              <w:ind w:right="57"/>
              <w:spacing w:after="0"/>
              <w:rPr>
                <w:sz w:val="20"/>
                <w:szCs w:val="20"/>
                <w:color w:val="auto"/>
              </w:rPr>
            </w:pPr>
            <w:r>
              <w:rPr>
                <w:rFonts w:ascii="Arial" w:cs="Arial" w:eastAsia="Arial" w:hAnsi="Arial"/>
                <w:sz w:val="13"/>
                <w:szCs w:val="13"/>
                <w:b w:val="1"/>
                <w:bCs w:val="1"/>
                <w:color w:val="auto"/>
                <w:w w:val="96"/>
              </w:rPr>
              <w:t>Six months</w:t>
            </w:r>
          </w:p>
        </w:tc>
        <w:tc>
          <w:tcPr>
            <w:tcW w:w="0" w:type="dxa"/>
            <w:vAlign w:val="bottom"/>
          </w:tcPr>
          <w:p>
            <w:pPr>
              <w:spacing w:after="0"/>
              <w:rPr>
                <w:sz w:val="1"/>
                <w:szCs w:val="1"/>
                <w:color w:val="auto"/>
              </w:rPr>
            </w:pPr>
          </w:p>
        </w:tc>
      </w:tr>
      <w:tr>
        <w:trPr>
          <w:trHeight w:val="122"/>
        </w:trPr>
        <w:tc>
          <w:tcPr>
            <w:tcW w:w="6520" w:type="dxa"/>
            <w:vAlign w:val="bottom"/>
            <w:vMerge w:val="restart"/>
          </w:tcPr>
          <w:p>
            <w:pPr>
              <w:ind w:left="20"/>
              <w:spacing w:after="0"/>
              <w:rPr>
                <w:sz w:val="20"/>
                <w:szCs w:val="20"/>
                <w:color w:val="auto"/>
              </w:rPr>
            </w:pPr>
            <w:r>
              <w:rPr>
                <w:rFonts w:ascii="Arial" w:cs="Arial" w:eastAsia="Arial" w:hAnsi="Arial"/>
                <w:sz w:val="13"/>
                <w:szCs w:val="13"/>
                <w:color w:val="auto"/>
              </w:rPr>
              <w:t>(in thousands)</w:t>
            </w:r>
          </w:p>
        </w:tc>
        <w:tc>
          <w:tcPr>
            <w:tcW w:w="120" w:type="dxa"/>
            <w:vAlign w:val="bottom"/>
          </w:tcPr>
          <w:p>
            <w:pPr>
              <w:spacing w:after="0"/>
              <w:rPr>
                <w:sz w:val="10"/>
                <w:szCs w:val="10"/>
                <w:color w:val="auto"/>
              </w:rPr>
            </w:pPr>
          </w:p>
        </w:tc>
        <w:tc>
          <w:tcPr>
            <w:tcW w:w="108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7"/>
              </w:rPr>
              <w:t>ended Jun. 30,</w:t>
            </w: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7"/>
              </w:rPr>
              <w:t>ended Jun. 30,</w:t>
            </w:r>
          </w:p>
        </w:tc>
        <w:tc>
          <w:tcPr>
            <w:tcW w:w="100" w:type="dxa"/>
            <w:vAlign w:val="bottom"/>
          </w:tcPr>
          <w:p>
            <w:pPr>
              <w:spacing w:after="0"/>
              <w:rPr>
                <w:sz w:val="10"/>
                <w:szCs w:val="10"/>
                <w:color w:val="auto"/>
              </w:rPr>
            </w:pPr>
          </w:p>
        </w:tc>
        <w:tc>
          <w:tcPr>
            <w:tcW w:w="11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7"/>
              </w:rPr>
              <w:t>ended Jun. 30,</w:t>
            </w:r>
          </w:p>
        </w:tc>
        <w:tc>
          <w:tcPr>
            <w:tcW w:w="100" w:type="dxa"/>
            <w:vAlign w:val="bottom"/>
          </w:tcPr>
          <w:p>
            <w:pPr>
              <w:spacing w:after="0"/>
              <w:rPr>
                <w:sz w:val="10"/>
                <w:szCs w:val="10"/>
                <w:color w:val="auto"/>
              </w:rPr>
            </w:pPr>
          </w:p>
        </w:tc>
        <w:tc>
          <w:tcPr>
            <w:tcW w:w="100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7"/>
              </w:rPr>
              <w:t>ended Jun. 30,</w:t>
            </w:r>
          </w:p>
        </w:tc>
        <w:tc>
          <w:tcPr>
            <w:tcW w:w="0" w:type="dxa"/>
            <w:vAlign w:val="bottom"/>
          </w:tcPr>
          <w:p>
            <w:pPr>
              <w:spacing w:after="0"/>
              <w:rPr>
                <w:sz w:val="1"/>
                <w:szCs w:val="1"/>
                <w:color w:val="auto"/>
              </w:rPr>
            </w:pPr>
          </w:p>
        </w:tc>
      </w:tr>
      <w:tr>
        <w:trPr>
          <w:trHeight w:val="172"/>
        </w:trPr>
        <w:tc>
          <w:tcPr>
            <w:tcW w:w="652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2021</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73"/>
        </w:trPr>
        <w:tc>
          <w:tcPr>
            <w:tcW w:w="6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Marketing and advertising</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0" w:type="dxa"/>
            <w:vAlign w:val="bottom"/>
          </w:tcPr>
          <w:p>
            <w:pPr>
              <w:spacing w:after="0"/>
              <w:rPr>
                <w:sz w:val="1"/>
                <w:szCs w:val="1"/>
                <w:color w:val="auto"/>
              </w:rPr>
            </w:pPr>
          </w:p>
        </w:tc>
      </w:tr>
      <w:tr>
        <w:trPr>
          <w:trHeight w:val="168"/>
        </w:trPr>
        <w:tc>
          <w:tcPr>
            <w:tcW w:w="6520" w:type="dxa"/>
            <w:vAlign w:val="bottom"/>
          </w:tcPr>
          <w:p>
            <w:pPr>
              <w:ind w:left="20"/>
              <w:spacing w:after="0"/>
              <w:rPr>
                <w:sz w:val="20"/>
                <w:szCs w:val="20"/>
                <w:color w:val="auto"/>
              </w:rPr>
            </w:pPr>
            <w:r>
              <w:rPr>
                <w:rFonts w:ascii="Arial" w:cs="Arial" w:eastAsia="Arial" w:hAnsi="Arial"/>
                <w:sz w:val="13"/>
                <w:szCs w:val="13"/>
                <w:color w:val="auto"/>
              </w:rPr>
              <w:t>Customer care and enrollment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1,043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1,839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183"/>
        </w:trPr>
        <w:tc>
          <w:tcPr>
            <w:tcW w:w="6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Technology</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w:t>
            </w:r>
          </w:p>
        </w:tc>
        <w:tc>
          <w:tcPr>
            <w:tcW w:w="0" w:type="dxa"/>
            <w:vAlign w:val="bottom"/>
          </w:tcPr>
          <w:p>
            <w:pPr>
              <w:spacing w:after="0"/>
              <w:rPr>
                <w:sz w:val="1"/>
                <w:szCs w:val="1"/>
                <w:color w:val="auto"/>
              </w:rPr>
            </w:pPr>
          </w:p>
        </w:tc>
      </w:tr>
      <w:tr>
        <w:trPr>
          <w:trHeight w:val="16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General and administrative</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4,997</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8,228</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741</w:t>
            </w:r>
          </w:p>
        </w:tc>
        <w:tc>
          <w:tcPr>
            <w:tcW w:w="0" w:type="dxa"/>
            <w:vAlign w:val="bottom"/>
          </w:tcPr>
          <w:p>
            <w:pPr>
              <w:spacing w:after="0"/>
              <w:rPr>
                <w:sz w:val="1"/>
                <w:szCs w:val="1"/>
                <w:color w:val="auto"/>
              </w:rPr>
            </w:pPr>
          </w:p>
        </w:tc>
      </w:tr>
      <w:tr>
        <w:trPr>
          <w:trHeight w:val="201"/>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share-based compensation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7,599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597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12,711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1,077</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our balance sheets for the periods indicated (unaudited):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500" w:type="dxa"/>
            <w:vAlign w:val="bottom"/>
          </w:tcPr>
          <w:p>
            <w:pPr>
              <w:ind w:left="20"/>
              <w:spacing w:after="0"/>
              <w:rPr>
                <w:sz w:val="20"/>
                <w:szCs w:val="20"/>
                <w:color w:val="auto"/>
              </w:rPr>
            </w:pPr>
            <w:r>
              <w:rPr>
                <w:rFonts w:ascii="Arial" w:cs="Arial" w:eastAsia="Arial" w:hAnsi="Arial"/>
                <w:sz w:val="13"/>
                <w:szCs w:val="13"/>
                <w:color w:val="auto"/>
              </w:rPr>
              <w:t>(in thousands, except per share amounts)</w:t>
            </w:r>
          </w:p>
        </w:tc>
        <w:tc>
          <w:tcPr>
            <w:tcW w:w="1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3"/>
                <w:szCs w:val="13"/>
                <w:b w:val="1"/>
                <w:bCs w:val="1"/>
                <w:color w:val="auto"/>
              </w:rPr>
              <w:t>Jun. 30, 2021</w:t>
            </w:r>
          </w:p>
        </w:tc>
        <w:tc>
          <w:tcPr>
            <w:tcW w:w="180" w:type="dxa"/>
            <w:vAlign w:val="bottom"/>
          </w:tcPr>
          <w:p>
            <w:pPr>
              <w:spacing w:after="0"/>
              <w:rPr>
                <w:sz w:val="15"/>
                <w:szCs w:val="15"/>
                <w:color w:val="auto"/>
              </w:rPr>
            </w:pPr>
          </w:p>
        </w:tc>
        <w:tc>
          <w:tcPr>
            <w:tcW w:w="1140" w:type="dxa"/>
            <w:vAlign w:val="bottom"/>
          </w:tcPr>
          <w:p>
            <w:pPr>
              <w:jc w:val="right"/>
              <w:ind w:right="197"/>
              <w:spacing w:after="0"/>
              <w:rPr>
                <w:sz w:val="20"/>
                <w:szCs w:val="20"/>
                <w:color w:val="auto"/>
              </w:rPr>
            </w:pPr>
            <w:r>
              <w:rPr>
                <w:rFonts w:ascii="Arial" w:cs="Arial" w:eastAsia="Arial" w:hAnsi="Arial"/>
                <w:sz w:val="13"/>
                <w:szCs w:val="13"/>
                <w:b w:val="1"/>
                <w:bCs w:val="1"/>
                <w:color w:val="auto"/>
              </w:rPr>
              <w:t>Dec. 31, 2020</w:t>
            </w:r>
          </w:p>
        </w:tc>
        <w:tc>
          <w:tcPr>
            <w:tcW w:w="0" w:type="dxa"/>
            <w:vAlign w:val="bottom"/>
          </w:tcPr>
          <w:p>
            <w:pPr>
              <w:spacing w:after="0"/>
              <w:rPr>
                <w:sz w:val="1"/>
                <w:szCs w:val="1"/>
                <w:color w:val="auto"/>
              </w:rPr>
            </w:pPr>
          </w:p>
        </w:tc>
      </w:tr>
      <w:tr>
        <w:trPr>
          <w:trHeight w:val="162"/>
        </w:trPr>
        <w:tc>
          <w:tcPr>
            <w:tcW w:w="8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18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500" w:type="dxa"/>
            <w:vAlign w:val="bottom"/>
          </w:tcPr>
          <w:p>
            <w:pPr>
              <w:ind w:left="20"/>
              <w:spacing w:after="0"/>
              <w:rPr>
                <w:sz w:val="20"/>
                <w:szCs w:val="20"/>
                <w:color w:val="auto"/>
              </w:rPr>
            </w:pPr>
            <w:r>
              <w:rPr>
                <w:rFonts w:ascii="Arial" w:cs="Arial" w:eastAsia="Arial" w:hAnsi="Arial"/>
                <w:sz w:val="13"/>
                <w:szCs w:val="13"/>
                <w:i w:val="1"/>
                <w:iCs w:val="1"/>
                <w:color w:val="auto"/>
              </w:rPr>
              <w:t>Current assets: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Cash and cash equivalents</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112,863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144,234</w:t>
            </w:r>
          </w:p>
        </w:tc>
        <w:tc>
          <w:tcPr>
            <w:tcW w:w="0" w:type="dxa"/>
            <w:vAlign w:val="bottom"/>
          </w:tcPr>
          <w:p>
            <w:pPr>
              <w:spacing w:after="0"/>
              <w:rPr>
                <w:sz w:val="1"/>
                <w:szCs w:val="1"/>
                <w:color w:val="auto"/>
              </w:rPr>
            </w:pPr>
          </w:p>
        </w:tc>
      </w:tr>
      <w:tr>
        <w:trPr>
          <w:trHeight w:val="168"/>
        </w:trPr>
        <w:tc>
          <w:tcPr>
            <w:tcW w:w="8500" w:type="dxa"/>
            <w:vAlign w:val="bottom"/>
          </w:tcPr>
          <w:p>
            <w:pPr>
              <w:ind w:left="240"/>
              <w:spacing w:after="0"/>
              <w:rPr>
                <w:sz w:val="20"/>
                <w:szCs w:val="20"/>
                <w:color w:val="auto"/>
              </w:rPr>
            </w:pPr>
            <w:r>
              <w:rPr>
                <w:rFonts w:ascii="Arial" w:cs="Arial" w:eastAsia="Arial" w:hAnsi="Arial"/>
                <w:sz w:val="13"/>
                <w:szCs w:val="13"/>
                <w:color w:val="auto"/>
              </w:rPr>
              <w:t>Accounts receivable, net of allowance for doubtful accounts of $686 in 2021 and $787 in 2020</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17,335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14,211</w:t>
            </w:r>
          </w:p>
        </w:tc>
        <w:tc>
          <w:tcPr>
            <w:tcW w:w="0" w:type="dxa"/>
            <w:vAlign w:val="bottom"/>
          </w:tcPr>
          <w:p>
            <w:pPr>
              <w:spacing w:after="0"/>
              <w:rPr>
                <w:sz w:val="1"/>
                <w:szCs w:val="1"/>
                <w:color w:val="auto"/>
              </w:rPr>
            </w:pPr>
          </w:p>
        </w:tc>
      </w:tr>
      <w:tr>
        <w:trPr>
          <w:trHeight w:val="183"/>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Receivable from NVX Holdings, Inc.</w:t>
            </w:r>
          </w:p>
        </w:tc>
        <w:tc>
          <w:tcPr>
            <w:tcW w:w="1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3,395</w:t>
            </w:r>
          </w:p>
        </w:tc>
        <w:tc>
          <w:tcPr>
            <w:tcW w:w="0" w:type="dxa"/>
            <w:vAlign w:val="bottom"/>
          </w:tcPr>
          <w:p>
            <w:pPr>
              <w:spacing w:after="0"/>
              <w:rPr>
                <w:sz w:val="1"/>
                <w:szCs w:val="1"/>
                <w:color w:val="auto"/>
              </w:rPr>
            </w:pPr>
          </w:p>
        </w:tc>
      </w:tr>
      <w:tr>
        <w:trPr>
          <w:trHeight w:val="168"/>
        </w:trPr>
        <w:tc>
          <w:tcPr>
            <w:tcW w:w="8500" w:type="dxa"/>
            <w:vAlign w:val="bottom"/>
          </w:tcPr>
          <w:p>
            <w:pPr>
              <w:ind w:left="240"/>
              <w:spacing w:after="0"/>
              <w:rPr>
                <w:sz w:val="20"/>
                <w:szCs w:val="20"/>
                <w:color w:val="auto"/>
              </w:rPr>
            </w:pPr>
            <w:r>
              <w:rPr>
                <w:rFonts w:ascii="Arial" w:cs="Arial" w:eastAsia="Arial" w:hAnsi="Arial"/>
                <w:sz w:val="13"/>
                <w:szCs w:val="13"/>
                <w:color w:val="auto"/>
              </w:rPr>
              <w:t>Commissions receivable - current</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113,062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188,128</w:t>
            </w:r>
          </w:p>
        </w:tc>
        <w:tc>
          <w:tcPr>
            <w:tcW w:w="0" w:type="dxa"/>
            <w:vAlign w:val="bottom"/>
          </w:tcPr>
          <w:p>
            <w:pPr>
              <w:spacing w:after="0"/>
              <w:rPr>
                <w:sz w:val="1"/>
                <w:szCs w:val="1"/>
                <w:color w:val="auto"/>
              </w:rPr>
            </w:pPr>
          </w:p>
        </w:tc>
      </w:tr>
      <w:tr>
        <w:trPr>
          <w:trHeight w:val="183"/>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Prepaid expense and other current assets</w:t>
            </w: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52,992</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41,854</w:t>
            </w:r>
          </w:p>
        </w:tc>
        <w:tc>
          <w:tcPr>
            <w:tcW w:w="0" w:type="dxa"/>
            <w:vAlign w:val="bottom"/>
          </w:tcPr>
          <w:p>
            <w:pPr>
              <w:spacing w:after="0"/>
              <w:rPr>
                <w:sz w:val="1"/>
                <w:szCs w:val="1"/>
                <w:color w:val="auto"/>
              </w:rPr>
            </w:pPr>
          </w:p>
        </w:tc>
      </w:tr>
      <w:tr>
        <w:trPr>
          <w:trHeight w:val="163"/>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current assets</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296,252</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391,822</w:t>
            </w:r>
          </w:p>
        </w:tc>
        <w:tc>
          <w:tcPr>
            <w:tcW w:w="0" w:type="dxa"/>
            <w:vAlign w:val="bottom"/>
          </w:tcPr>
          <w:p>
            <w:pPr>
              <w:spacing w:after="0"/>
              <w:rPr>
                <w:sz w:val="1"/>
                <w:szCs w:val="1"/>
                <w:color w:val="auto"/>
              </w:rPr>
            </w:pPr>
          </w:p>
        </w:tc>
      </w:tr>
      <w:tr>
        <w:trPr>
          <w:trHeight w:val="176"/>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Commissions receivable - non-current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761,011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622,270</w:t>
            </w:r>
          </w:p>
        </w:tc>
        <w:tc>
          <w:tcPr>
            <w:tcW w:w="0" w:type="dxa"/>
            <w:vAlign w:val="bottom"/>
          </w:tcPr>
          <w:p>
            <w:pPr>
              <w:spacing w:after="0"/>
              <w:rPr>
                <w:sz w:val="1"/>
                <w:szCs w:val="1"/>
                <w:color w:val="auto"/>
              </w:rPr>
            </w:pPr>
          </w:p>
        </w:tc>
      </w:tr>
      <w:tr>
        <w:trPr>
          <w:trHeight w:val="167"/>
        </w:trPr>
        <w:tc>
          <w:tcPr>
            <w:tcW w:w="8500" w:type="dxa"/>
            <w:vAlign w:val="bottom"/>
          </w:tcPr>
          <w:p>
            <w:pPr>
              <w:ind w:left="20"/>
              <w:spacing w:after="0"/>
              <w:rPr>
                <w:sz w:val="20"/>
                <w:szCs w:val="20"/>
                <w:color w:val="auto"/>
              </w:rPr>
            </w:pPr>
            <w:r>
              <w:rPr>
                <w:rFonts w:ascii="Arial" w:cs="Arial" w:eastAsia="Arial" w:hAnsi="Arial"/>
                <w:sz w:val="13"/>
                <w:szCs w:val="13"/>
                <w:color w:val="auto"/>
              </w:rPr>
              <w:t>Other long-term assets</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2,594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2,072</w:t>
            </w:r>
          </w:p>
        </w:tc>
        <w:tc>
          <w:tcPr>
            <w:tcW w:w="0" w:type="dxa"/>
            <w:vAlign w:val="bottom"/>
          </w:tcPr>
          <w:p>
            <w:pPr>
              <w:spacing w:after="0"/>
              <w:rPr>
                <w:sz w:val="1"/>
                <w:szCs w:val="1"/>
                <w:color w:val="auto"/>
              </w:rPr>
            </w:pPr>
          </w:p>
        </w:tc>
      </w:tr>
      <w:tr>
        <w:trPr>
          <w:trHeight w:val="184"/>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equipment, and capitalized software, net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23,527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17,353</w:t>
            </w:r>
          </w:p>
        </w:tc>
        <w:tc>
          <w:tcPr>
            <w:tcW w:w="0" w:type="dxa"/>
            <w:vAlign w:val="bottom"/>
          </w:tcPr>
          <w:p>
            <w:pPr>
              <w:spacing w:after="0"/>
              <w:rPr>
                <w:sz w:val="1"/>
                <w:szCs w:val="1"/>
                <w:color w:val="auto"/>
              </w:rPr>
            </w:pPr>
          </w:p>
        </w:tc>
      </w:tr>
      <w:tr>
        <w:trPr>
          <w:trHeight w:val="168"/>
        </w:trPr>
        <w:tc>
          <w:tcPr>
            <w:tcW w:w="8500" w:type="dxa"/>
            <w:vAlign w:val="bottom"/>
          </w:tcPr>
          <w:p>
            <w:pPr>
              <w:ind w:left="20"/>
              <w:spacing w:after="0"/>
              <w:rPr>
                <w:sz w:val="20"/>
                <w:szCs w:val="20"/>
                <w:color w:val="auto"/>
              </w:rPr>
            </w:pPr>
            <w:r>
              <w:rPr>
                <w:rFonts w:ascii="Arial" w:cs="Arial" w:eastAsia="Arial" w:hAnsi="Arial"/>
                <w:sz w:val="13"/>
                <w:szCs w:val="13"/>
                <w:color w:val="auto"/>
              </w:rPr>
              <w:t>Intangible assets, net</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641,697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688,726</w:t>
            </w:r>
          </w:p>
        </w:tc>
        <w:tc>
          <w:tcPr>
            <w:tcW w:w="0" w:type="dxa"/>
            <w:vAlign w:val="bottom"/>
          </w:tcPr>
          <w:p>
            <w:pPr>
              <w:spacing w:after="0"/>
              <w:rPr>
                <w:sz w:val="1"/>
                <w:szCs w:val="1"/>
                <w:color w:val="auto"/>
              </w:rPr>
            </w:pPr>
          </w:p>
        </w:tc>
      </w:tr>
      <w:tr>
        <w:trPr>
          <w:trHeight w:val="177"/>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w:t>
            </w: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386,553</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386,553</w:t>
            </w:r>
          </w:p>
        </w:tc>
        <w:tc>
          <w:tcPr>
            <w:tcW w:w="0" w:type="dxa"/>
            <w:vAlign w:val="bottom"/>
          </w:tcPr>
          <w:p>
            <w:pPr>
              <w:spacing w:after="0"/>
              <w:rPr>
                <w:sz w:val="1"/>
                <w:szCs w:val="1"/>
                <w:color w:val="auto"/>
              </w:rPr>
            </w:pPr>
          </w:p>
        </w:tc>
      </w:tr>
      <w:tr>
        <w:trPr>
          <w:trHeight w:val="176"/>
        </w:trPr>
        <w:tc>
          <w:tcPr>
            <w:tcW w:w="8500" w:type="dxa"/>
            <w:vAlign w:val="bottom"/>
          </w:tcPr>
          <w:p>
            <w:pPr>
              <w:ind w:left="20"/>
              <w:spacing w:after="0"/>
              <w:rPr>
                <w:sz w:val="20"/>
                <w:szCs w:val="20"/>
                <w:color w:val="auto"/>
              </w:rPr>
            </w:pPr>
            <w:r>
              <w:rPr>
                <w:rFonts w:ascii="Arial" w:cs="Arial" w:eastAsia="Arial" w:hAnsi="Arial"/>
                <w:sz w:val="13"/>
                <w:szCs w:val="13"/>
                <w:b w:val="1"/>
                <w:bCs w:val="1"/>
                <w:color w:val="auto"/>
              </w:rPr>
              <w:t>Total assets</w:t>
            </w: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2,111,634</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2,108,796</w:t>
            </w:r>
          </w:p>
        </w:tc>
        <w:tc>
          <w:tcPr>
            <w:tcW w:w="0" w:type="dxa"/>
            <w:vAlign w:val="bottom"/>
          </w:tcPr>
          <w:p>
            <w:pPr>
              <w:spacing w:after="0"/>
              <w:rPr>
                <w:sz w:val="1"/>
                <w:szCs w:val="1"/>
                <w:color w:val="auto"/>
              </w:rPr>
            </w:pP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50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b w:val="1"/>
                <w:bCs w:val="1"/>
                <w:color w:val="auto"/>
              </w:rPr>
              <w:t>Liabilities and Stockholders’ Equity</w:t>
            </w: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500" w:type="dxa"/>
            <w:vAlign w:val="bottom"/>
          </w:tcPr>
          <w:p>
            <w:pPr>
              <w:ind w:left="20"/>
              <w:spacing w:after="0"/>
              <w:rPr>
                <w:sz w:val="20"/>
                <w:szCs w:val="20"/>
                <w:color w:val="auto"/>
              </w:rPr>
            </w:pPr>
            <w:r>
              <w:rPr>
                <w:rFonts w:ascii="Arial" w:cs="Arial" w:eastAsia="Arial" w:hAnsi="Arial"/>
                <w:sz w:val="13"/>
                <w:szCs w:val="13"/>
                <w:i w:val="1"/>
                <w:iCs w:val="1"/>
                <w:color w:val="auto"/>
              </w:rPr>
              <w:t>Current liabilities: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Accounts payable</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17,080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8,733</w:t>
            </w:r>
          </w:p>
        </w:tc>
        <w:tc>
          <w:tcPr>
            <w:tcW w:w="0" w:type="dxa"/>
            <w:vAlign w:val="bottom"/>
          </w:tcPr>
          <w:p>
            <w:pPr>
              <w:spacing w:after="0"/>
              <w:rPr>
                <w:sz w:val="1"/>
                <w:szCs w:val="1"/>
                <w:color w:val="auto"/>
              </w:rPr>
            </w:pPr>
          </w:p>
        </w:tc>
      </w:tr>
      <w:tr>
        <w:trPr>
          <w:trHeight w:val="168"/>
        </w:trPr>
        <w:tc>
          <w:tcPr>
            <w:tcW w:w="8500" w:type="dxa"/>
            <w:vAlign w:val="bottom"/>
          </w:tcPr>
          <w:p>
            <w:pPr>
              <w:ind w:left="240"/>
              <w:spacing w:after="0"/>
              <w:rPr>
                <w:sz w:val="20"/>
                <w:szCs w:val="20"/>
                <w:color w:val="auto"/>
              </w:rPr>
            </w:pPr>
            <w:r>
              <w:rPr>
                <w:rFonts w:ascii="Arial" w:cs="Arial" w:eastAsia="Arial" w:hAnsi="Arial"/>
                <w:sz w:val="13"/>
                <w:szCs w:val="13"/>
                <w:color w:val="auto"/>
              </w:rPr>
              <w:t>Accrued liabilities</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31,036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26,926</w:t>
            </w:r>
          </w:p>
        </w:tc>
        <w:tc>
          <w:tcPr>
            <w:tcW w:w="0" w:type="dxa"/>
            <w:vAlign w:val="bottom"/>
          </w:tcPr>
          <w:p>
            <w:pPr>
              <w:spacing w:after="0"/>
              <w:rPr>
                <w:sz w:val="1"/>
                <w:szCs w:val="1"/>
                <w:color w:val="auto"/>
              </w:rPr>
            </w:pPr>
          </w:p>
        </w:tc>
      </w:tr>
      <w:tr>
        <w:trPr>
          <w:trHeight w:val="183"/>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Commissions payable - current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51,579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78,478</w:t>
            </w:r>
          </w:p>
        </w:tc>
        <w:tc>
          <w:tcPr>
            <w:tcW w:w="0" w:type="dxa"/>
            <w:vAlign w:val="bottom"/>
          </w:tcPr>
          <w:p>
            <w:pPr>
              <w:spacing w:after="0"/>
              <w:rPr>
                <w:sz w:val="1"/>
                <w:szCs w:val="1"/>
                <w:color w:val="auto"/>
              </w:rPr>
            </w:pPr>
          </w:p>
        </w:tc>
      </w:tr>
      <w:tr>
        <w:trPr>
          <w:trHeight w:val="168"/>
        </w:trPr>
        <w:tc>
          <w:tcPr>
            <w:tcW w:w="8500" w:type="dxa"/>
            <w:vAlign w:val="bottom"/>
          </w:tcPr>
          <w:p>
            <w:pPr>
              <w:ind w:left="240"/>
              <w:spacing w:after="0"/>
              <w:rPr>
                <w:sz w:val="20"/>
                <w:szCs w:val="20"/>
                <w:color w:val="auto"/>
              </w:rPr>
            </w:pPr>
            <w:r>
              <w:rPr>
                <w:rFonts w:ascii="Arial" w:cs="Arial" w:eastAsia="Arial" w:hAnsi="Arial"/>
                <w:sz w:val="13"/>
                <w:szCs w:val="13"/>
                <w:color w:val="auto"/>
              </w:rPr>
              <w:t>Deferred revenue</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736</w:t>
            </w:r>
          </w:p>
        </w:tc>
        <w:tc>
          <w:tcPr>
            <w:tcW w:w="0" w:type="dxa"/>
            <w:vAlign w:val="bottom"/>
          </w:tcPr>
          <w:p>
            <w:pPr>
              <w:spacing w:after="0"/>
              <w:rPr>
                <w:sz w:val="1"/>
                <w:szCs w:val="1"/>
                <w:color w:val="auto"/>
              </w:rPr>
            </w:pPr>
          </w:p>
        </w:tc>
      </w:tr>
      <w:tr>
        <w:trPr>
          <w:trHeight w:val="184"/>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Current portion of long-term debt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4,170</w:t>
            </w:r>
          </w:p>
        </w:tc>
        <w:tc>
          <w:tcPr>
            <w:tcW w:w="0" w:type="dxa"/>
            <w:vAlign w:val="bottom"/>
          </w:tcPr>
          <w:p>
            <w:pPr>
              <w:spacing w:after="0"/>
              <w:rPr>
                <w:sz w:val="1"/>
                <w:szCs w:val="1"/>
                <w:color w:val="auto"/>
              </w:rPr>
            </w:pPr>
          </w:p>
        </w:tc>
      </w:tr>
      <w:tr>
        <w:trPr>
          <w:trHeight w:val="169"/>
        </w:trPr>
        <w:tc>
          <w:tcPr>
            <w:tcW w:w="850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Other current liabilities</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9,207</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8,328</w:t>
            </w:r>
          </w:p>
        </w:tc>
        <w:tc>
          <w:tcPr>
            <w:tcW w:w="0" w:type="dxa"/>
            <w:vAlign w:val="bottom"/>
          </w:tcPr>
          <w:p>
            <w:pPr>
              <w:spacing w:after="0"/>
              <w:rPr>
                <w:sz w:val="1"/>
                <w:szCs w:val="1"/>
                <w:color w:val="auto"/>
              </w:rPr>
            </w:pPr>
          </w:p>
        </w:tc>
      </w:tr>
      <w:tr>
        <w:trPr>
          <w:trHeight w:val="175"/>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current liabilities</w:t>
            </w: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113,872</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127,371</w:t>
            </w:r>
          </w:p>
        </w:tc>
        <w:tc>
          <w:tcPr>
            <w:tcW w:w="0" w:type="dxa"/>
            <w:vAlign w:val="bottom"/>
          </w:tcPr>
          <w:p>
            <w:pPr>
              <w:spacing w:after="0"/>
              <w:rPr>
                <w:sz w:val="1"/>
                <w:szCs w:val="1"/>
                <w:color w:val="auto"/>
              </w:rPr>
            </w:pPr>
          </w:p>
        </w:tc>
      </w:tr>
      <w:tr>
        <w:trPr>
          <w:trHeight w:val="150"/>
        </w:trPr>
        <w:tc>
          <w:tcPr>
            <w:tcW w:w="8500" w:type="dxa"/>
            <w:vAlign w:val="bottom"/>
          </w:tcPr>
          <w:p>
            <w:pPr>
              <w:ind w:left="20"/>
              <w:spacing w:after="0" w:line="144" w:lineRule="exact"/>
              <w:rPr>
                <w:sz w:val="20"/>
                <w:szCs w:val="20"/>
                <w:color w:val="auto"/>
              </w:rPr>
            </w:pPr>
            <w:r>
              <w:rPr>
                <w:rFonts w:ascii="Arial" w:cs="Arial" w:eastAsia="Arial" w:hAnsi="Arial"/>
                <w:sz w:val="13"/>
                <w:szCs w:val="13"/>
                <w:i w:val="1"/>
                <w:iCs w:val="1"/>
                <w:color w:val="auto"/>
              </w:rPr>
              <w:t>Non-current liabilities:</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Commissions payable - non-current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214,237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182,596</w:t>
            </w:r>
          </w:p>
        </w:tc>
        <w:tc>
          <w:tcPr>
            <w:tcW w:w="0" w:type="dxa"/>
            <w:vAlign w:val="bottom"/>
          </w:tcPr>
          <w:p>
            <w:pPr>
              <w:spacing w:after="0"/>
              <w:rPr>
                <w:sz w:val="1"/>
                <w:szCs w:val="1"/>
                <w:color w:val="auto"/>
              </w:rPr>
            </w:pPr>
          </w:p>
        </w:tc>
      </w:tr>
      <w:tr>
        <w:trPr>
          <w:trHeight w:val="168"/>
        </w:trPr>
        <w:tc>
          <w:tcPr>
            <w:tcW w:w="8500" w:type="dxa"/>
            <w:vAlign w:val="bottom"/>
          </w:tcPr>
          <w:p>
            <w:pPr>
              <w:ind w:left="240"/>
              <w:spacing w:after="0"/>
              <w:rPr>
                <w:sz w:val="20"/>
                <w:szCs w:val="20"/>
                <w:color w:val="auto"/>
              </w:rPr>
            </w:pPr>
            <w:r>
              <w:rPr>
                <w:rFonts w:ascii="Arial" w:cs="Arial" w:eastAsia="Arial" w:hAnsi="Arial"/>
                <w:sz w:val="13"/>
                <w:szCs w:val="13"/>
                <w:color w:val="auto"/>
              </w:rPr>
              <w:t>Long-term debt, net of current portion</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414,908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396,400</w:t>
            </w:r>
          </w:p>
        </w:tc>
        <w:tc>
          <w:tcPr>
            <w:tcW w:w="0" w:type="dxa"/>
            <w:vAlign w:val="bottom"/>
          </w:tcPr>
          <w:p>
            <w:pPr>
              <w:spacing w:after="0"/>
              <w:rPr>
                <w:sz w:val="1"/>
                <w:szCs w:val="1"/>
                <w:color w:val="auto"/>
              </w:rPr>
            </w:pPr>
          </w:p>
        </w:tc>
      </w:tr>
      <w:tr>
        <w:trPr>
          <w:trHeight w:val="183"/>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non-current liabilities</w:t>
            </w: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2,817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3,274</w:t>
            </w:r>
          </w:p>
        </w:tc>
        <w:tc>
          <w:tcPr>
            <w:tcW w:w="0" w:type="dxa"/>
            <w:vAlign w:val="bottom"/>
          </w:tcPr>
          <w:p>
            <w:pPr>
              <w:spacing w:after="0"/>
              <w:rPr>
                <w:sz w:val="1"/>
                <w:szCs w:val="1"/>
                <w:color w:val="auto"/>
              </w:rPr>
            </w:pPr>
          </w:p>
        </w:tc>
      </w:tr>
      <w:tr>
        <w:trPr>
          <w:trHeight w:val="163"/>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non-current liabilities</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631,962</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582,270</w:t>
            </w:r>
          </w:p>
        </w:tc>
        <w:tc>
          <w:tcPr>
            <w:tcW w:w="0" w:type="dxa"/>
            <w:vAlign w:val="bottom"/>
          </w:tcPr>
          <w:p>
            <w:pPr>
              <w:spacing w:after="0"/>
              <w:rPr>
                <w:sz w:val="1"/>
                <w:szCs w:val="1"/>
                <w:color w:val="auto"/>
              </w:rPr>
            </w:pPr>
          </w:p>
        </w:tc>
      </w:tr>
      <w:tr>
        <w:trPr>
          <w:trHeight w:val="162"/>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Stockholders’ equity:</w:t>
            </w: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500" w:type="dxa"/>
            <w:vAlign w:val="bottom"/>
          </w:tcPr>
          <w:p>
            <w:pPr>
              <w:ind w:left="240"/>
              <w:spacing w:after="0" w:line="129" w:lineRule="exact"/>
              <w:rPr>
                <w:sz w:val="20"/>
                <w:szCs w:val="20"/>
                <w:color w:val="auto"/>
              </w:rPr>
            </w:pPr>
            <w:r>
              <w:rPr>
                <w:rFonts w:ascii="Arial" w:cs="Arial" w:eastAsia="Arial" w:hAnsi="Arial"/>
                <w:sz w:val="13"/>
                <w:szCs w:val="13"/>
                <w:color w:val="auto"/>
                <w:w w:val="99"/>
              </w:rPr>
              <w:t>Class A common stock – $0.0001 par value; 1,100,000 shares authorized; 105,318 and 84,196 shares issued and outstanding at June 30, 2021</w:t>
            </w:r>
          </w:p>
        </w:tc>
        <w:tc>
          <w:tcPr>
            <w:tcW w:w="18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60"/>
        </w:trPr>
        <w:tc>
          <w:tcPr>
            <w:tcW w:w="8500" w:type="dxa"/>
            <w:vAlign w:val="bottom"/>
          </w:tcPr>
          <w:p>
            <w:pPr>
              <w:ind w:left="240"/>
              <w:spacing w:after="0"/>
              <w:rPr>
                <w:sz w:val="20"/>
                <w:szCs w:val="20"/>
                <w:color w:val="auto"/>
              </w:rPr>
            </w:pPr>
            <w:r>
              <w:rPr>
                <w:rFonts w:ascii="Arial" w:cs="Arial" w:eastAsia="Arial" w:hAnsi="Arial"/>
                <w:sz w:val="13"/>
                <w:szCs w:val="13"/>
                <w:color w:val="auto"/>
              </w:rPr>
              <w:t>and December 31, 2020, respectively.</w:t>
            </w:r>
          </w:p>
        </w:tc>
        <w:tc>
          <w:tcPr>
            <w:tcW w:w="18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8500" w:type="dxa"/>
            <w:vAlign w:val="bottom"/>
            <w:shd w:val="clear" w:color="auto" w:fill="CCEEFF"/>
          </w:tcPr>
          <w:p>
            <w:pPr>
              <w:ind w:left="240"/>
              <w:spacing w:after="0" w:line="137" w:lineRule="exact"/>
              <w:rPr>
                <w:sz w:val="20"/>
                <w:szCs w:val="20"/>
                <w:color w:val="auto"/>
              </w:rPr>
            </w:pPr>
            <w:r>
              <w:rPr>
                <w:rFonts w:ascii="Arial" w:cs="Arial" w:eastAsia="Arial" w:hAnsi="Arial"/>
                <w:sz w:val="13"/>
                <w:szCs w:val="13"/>
                <w:color w:val="auto"/>
              </w:rPr>
              <w:t>Class B common stock – $0.0001 par value; 597,502 and 619,004 shares authorized; 215,495 and 236,997 shares issued and outstanding at</w:t>
            </w:r>
          </w:p>
        </w:tc>
        <w:tc>
          <w:tcPr>
            <w:tcW w:w="18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68"/>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June 30, 2021 and December 31, 2020, respectively.</w:t>
            </w:r>
          </w:p>
        </w:tc>
        <w:tc>
          <w:tcPr>
            <w:tcW w:w="18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500" w:type="dxa"/>
            <w:vAlign w:val="bottom"/>
          </w:tcPr>
          <w:p>
            <w:pPr>
              <w:ind w:left="240"/>
              <w:spacing w:after="0"/>
              <w:rPr>
                <w:sz w:val="20"/>
                <w:szCs w:val="20"/>
                <w:color w:val="auto"/>
              </w:rPr>
            </w:pPr>
            <w:r>
              <w:rPr>
                <w:rFonts w:ascii="Arial" w:cs="Arial" w:eastAsia="Arial" w:hAnsi="Arial"/>
                <w:sz w:val="13"/>
                <w:szCs w:val="13"/>
                <w:color w:val="auto"/>
              </w:rPr>
              <w:t>Preferred stock – $0.0001 par value; 20,000 shares authorized; no shares issued and outstanding at June 30, 2021 and December 31, 2020.</w:t>
            </w:r>
          </w:p>
        </w:tc>
        <w:tc>
          <w:tcPr>
            <w:tcW w:w="18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4"/>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Additional paid-in capital</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503,689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399,169</w:t>
            </w:r>
          </w:p>
        </w:tc>
        <w:tc>
          <w:tcPr>
            <w:tcW w:w="0" w:type="dxa"/>
            <w:vAlign w:val="bottom"/>
          </w:tcPr>
          <w:p>
            <w:pPr>
              <w:spacing w:after="0"/>
              <w:rPr>
                <w:sz w:val="1"/>
                <w:szCs w:val="1"/>
                <w:color w:val="auto"/>
              </w:rPr>
            </w:pPr>
          </w:p>
        </w:tc>
      </w:tr>
      <w:tr>
        <w:trPr>
          <w:trHeight w:val="167"/>
        </w:trPr>
        <w:tc>
          <w:tcPr>
            <w:tcW w:w="8500" w:type="dxa"/>
            <w:vAlign w:val="bottom"/>
          </w:tcPr>
          <w:p>
            <w:pPr>
              <w:ind w:left="240"/>
              <w:spacing w:after="0"/>
              <w:rPr>
                <w:sz w:val="20"/>
                <w:szCs w:val="20"/>
                <w:color w:val="auto"/>
              </w:rPr>
            </w:pPr>
            <w:r>
              <w:rPr>
                <w:rFonts w:ascii="Arial" w:cs="Arial" w:eastAsia="Arial" w:hAnsi="Arial"/>
                <w:sz w:val="13"/>
                <w:szCs w:val="13"/>
                <w:color w:val="auto"/>
              </w:rPr>
              <w:t>Accumulated other comprehensive income (loss)</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84"/>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Accumulated deficit</w:t>
            </w: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(32,881)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(18,802)</w:t>
            </w:r>
          </w:p>
        </w:tc>
        <w:tc>
          <w:tcPr>
            <w:tcW w:w="0" w:type="dxa"/>
            <w:vAlign w:val="bottom"/>
          </w:tcPr>
          <w:p>
            <w:pPr>
              <w:spacing w:after="0"/>
              <w:rPr>
                <w:sz w:val="1"/>
                <w:szCs w:val="1"/>
                <w:color w:val="auto"/>
              </w:rPr>
            </w:pPr>
          </w:p>
        </w:tc>
      </w:tr>
      <w:tr>
        <w:trPr>
          <w:trHeight w:val="163"/>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stockholders’ equity attributable to GoHealth, Inc.</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470,827</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380,416</w:t>
            </w:r>
          </w:p>
        </w:tc>
        <w:tc>
          <w:tcPr>
            <w:tcW w:w="0" w:type="dxa"/>
            <w:vAlign w:val="bottom"/>
          </w:tcPr>
          <w:p>
            <w:pPr>
              <w:spacing w:after="0"/>
              <w:rPr>
                <w:sz w:val="1"/>
                <w:szCs w:val="1"/>
                <w:color w:val="auto"/>
              </w:rPr>
            </w:pPr>
          </w:p>
        </w:tc>
      </w:tr>
      <w:tr>
        <w:trPr>
          <w:trHeight w:val="175"/>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Non-controlling interests</w:t>
            </w: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894,973</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1,018,739</w:t>
            </w:r>
          </w:p>
        </w:tc>
        <w:tc>
          <w:tcPr>
            <w:tcW w:w="0" w:type="dxa"/>
            <w:vAlign w:val="bottom"/>
          </w:tcPr>
          <w:p>
            <w:pPr>
              <w:spacing w:after="0"/>
              <w:rPr>
                <w:sz w:val="1"/>
                <w:szCs w:val="1"/>
                <w:color w:val="auto"/>
              </w:rPr>
            </w:pPr>
          </w:p>
        </w:tc>
      </w:tr>
      <w:tr>
        <w:trPr>
          <w:trHeight w:val="163"/>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stockholders’ equity</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1,365,800</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1,399,155</w:t>
            </w:r>
          </w:p>
        </w:tc>
        <w:tc>
          <w:tcPr>
            <w:tcW w:w="0" w:type="dxa"/>
            <w:vAlign w:val="bottom"/>
          </w:tcPr>
          <w:p>
            <w:pPr>
              <w:spacing w:after="0"/>
              <w:rPr>
                <w:sz w:val="1"/>
                <w:szCs w:val="1"/>
                <w:color w:val="auto"/>
              </w:rPr>
            </w:pPr>
          </w:p>
        </w:tc>
      </w:tr>
      <w:tr>
        <w:trPr>
          <w:trHeight w:val="200"/>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liabilities and stockholders’ equity</w:t>
            </w: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2,111,634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2,108,796</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897"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The following table sets forth our statements of cash flows for the periods indicated (unaudited):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Six months</w:t>
            </w:r>
          </w:p>
        </w:tc>
        <w:tc>
          <w:tcPr>
            <w:tcW w:w="100" w:type="dxa"/>
            <w:vAlign w:val="bottom"/>
          </w:tcPr>
          <w:p>
            <w:pPr>
              <w:spacing w:after="0"/>
              <w:rPr>
                <w:sz w:val="13"/>
                <w:szCs w:val="13"/>
                <w:color w:val="auto"/>
              </w:rPr>
            </w:pPr>
          </w:p>
        </w:tc>
        <w:tc>
          <w:tcPr>
            <w:tcW w:w="1000" w:type="dxa"/>
            <w:vAlign w:val="bottom"/>
          </w:tcPr>
          <w:p>
            <w:pPr>
              <w:jc w:val="center"/>
              <w:ind w:right="57"/>
              <w:spacing w:after="0"/>
              <w:rPr>
                <w:sz w:val="20"/>
                <w:szCs w:val="20"/>
                <w:color w:val="auto"/>
              </w:rPr>
            </w:pPr>
            <w:r>
              <w:rPr>
                <w:rFonts w:ascii="Arial" w:cs="Arial" w:eastAsia="Arial" w:hAnsi="Arial"/>
                <w:sz w:val="13"/>
                <w:szCs w:val="13"/>
                <w:b w:val="1"/>
                <w:bCs w:val="1"/>
                <w:color w:val="auto"/>
                <w:w w:val="96"/>
              </w:rPr>
              <w:t>Six months</w:t>
            </w:r>
          </w:p>
        </w:tc>
        <w:tc>
          <w:tcPr>
            <w:tcW w:w="0" w:type="dxa"/>
            <w:vAlign w:val="bottom"/>
          </w:tcPr>
          <w:p>
            <w:pPr>
              <w:spacing w:after="0"/>
              <w:rPr>
                <w:sz w:val="1"/>
                <w:szCs w:val="1"/>
                <w:color w:val="auto"/>
              </w:rPr>
            </w:pPr>
          </w:p>
        </w:tc>
      </w:tr>
      <w:tr>
        <w:trPr>
          <w:trHeight w:val="122"/>
        </w:trPr>
        <w:tc>
          <w:tcPr>
            <w:tcW w:w="8940" w:type="dxa"/>
            <w:vAlign w:val="bottom"/>
            <w:vMerge w:val="restart"/>
          </w:tcPr>
          <w:p>
            <w:pPr>
              <w:ind w:left="20"/>
              <w:spacing w:after="0"/>
              <w:rPr>
                <w:sz w:val="20"/>
                <w:szCs w:val="20"/>
                <w:color w:val="auto"/>
              </w:rPr>
            </w:pPr>
            <w:r>
              <w:rPr>
                <w:rFonts w:ascii="Arial" w:cs="Arial" w:eastAsia="Arial" w:hAnsi="Arial"/>
                <w:sz w:val="13"/>
                <w:szCs w:val="13"/>
                <w:color w:val="auto"/>
              </w:rPr>
              <w:t>(in thousands)</w:t>
            </w:r>
          </w:p>
        </w:tc>
        <w:tc>
          <w:tcPr>
            <w:tcW w:w="100" w:type="dxa"/>
            <w:vAlign w:val="bottom"/>
          </w:tcPr>
          <w:p>
            <w:pPr>
              <w:spacing w:after="0"/>
              <w:rPr>
                <w:sz w:val="10"/>
                <w:szCs w:val="10"/>
                <w:color w:val="auto"/>
              </w:rPr>
            </w:pPr>
          </w:p>
        </w:tc>
        <w:tc>
          <w:tcPr>
            <w:tcW w:w="11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7"/>
              </w:rPr>
              <w:t>ended Jun. 30,</w:t>
            </w:r>
          </w:p>
        </w:tc>
        <w:tc>
          <w:tcPr>
            <w:tcW w:w="100" w:type="dxa"/>
            <w:vAlign w:val="bottom"/>
          </w:tcPr>
          <w:p>
            <w:pPr>
              <w:spacing w:after="0"/>
              <w:rPr>
                <w:sz w:val="10"/>
                <w:szCs w:val="10"/>
                <w:color w:val="auto"/>
              </w:rPr>
            </w:pPr>
          </w:p>
        </w:tc>
        <w:tc>
          <w:tcPr>
            <w:tcW w:w="100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7"/>
              </w:rPr>
              <w:t>ended Jun. 30,</w:t>
            </w:r>
          </w:p>
        </w:tc>
        <w:tc>
          <w:tcPr>
            <w:tcW w:w="0" w:type="dxa"/>
            <w:vAlign w:val="bottom"/>
          </w:tcPr>
          <w:p>
            <w:pPr>
              <w:spacing w:after="0"/>
              <w:rPr>
                <w:sz w:val="1"/>
                <w:szCs w:val="1"/>
                <w:color w:val="auto"/>
              </w:rPr>
            </w:pPr>
          </w:p>
        </w:tc>
      </w:tr>
      <w:tr>
        <w:trPr>
          <w:trHeight w:val="172"/>
        </w:trPr>
        <w:tc>
          <w:tcPr>
            <w:tcW w:w="894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59"/>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94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(46,443)</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(23,804)</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Adjustments to reconcile net income (loss) to net cash provided by (used in) operating activities: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940" w:type="dxa"/>
            <w:vAlign w:val="bottom"/>
          </w:tcPr>
          <w:p>
            <w:pPr>
              <w:ind w:left="240"/>
              <w:spacing w:after="0"/>
              <w:rPr>
                <w:sz w:val="20"/>
                <w:szCs w:val="20"/>
                <w:color w:val="auto"/>
              </w:rPr>
            </w:pPr>
            <w:r>
              <w:rPr>
                <w:rFonts w:ascii="Arial" w:cs="Arial" w:eastAsia="Arial" w:hAnsi="Arial"/>
                <w:sz w:val="13"/>
                <w:szCs w:val="13"/>
                <w:color w:val="auto"/>
              </w:rPr>
              <w:t>Share-based compensation</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12,711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1,077</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4,076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1,636</w:t>
            </w:r>
          </w:p>
        </w:tc>
        <w:tc>
          <w:tcPr>
            <w:tcW w:w="0" w:type="dxa"/>
            <w:vAlign w:val="bottom"/>
          </w:tcPr>
          <w:p>
            <w:pPr>
              <w:spacing w:after="0"/>
              <w:rPr>
                <w:sz w:val="1"/>
                <w:szCs w:val="1"/>
                <w:color w:val="auto"/>
              </w:rPr>
            </w:pPr>
          </w:p>
        </w:tc>
      </w:tr>
      <w:tr>
        <w:trPr>
          <w:trHeight w:val="168"/>
        </w:trPr>
        <w:tc>
          <w:tcPr>
            <w:tcW w:w="8940" w:type="dxa"/>
            <w:vAlign w:val="bottom"/>
          </w:tcPr>
          <w:p>
            <w:pPr>
              <w:ind w:left="240"/>
              <w:spacing w:after="0"/>
              <w:rPr>
                <w:sz w:val="20"/>
                <w:szCs w:val="20"/>
                <w:color w:val="auto"/>
              </w:rPr>
            </w:pPr>
            <w:r>
              <w:rPr>
                <w:rFonts w:ascii="Arial" w:cs="Arial" w:eastAsia="Arial" w:hAnsi="Arial"/>
                <w:sz w:val="13"/>
                <w:szCs w:val="13"/>
                <w:color w:val="auto"/>
              </w:rPr>
              <w:t>Amortization of intangible assets</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47,029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47,029</w:t>
            </w:r>
          </w:p>
        </w:tc>
        <w:tc>
          <w:tcPr>
            <w:tcW w:w="0" w:type="dxa"/>
            <w:vAlign w:val="bottom"/>
          </w:tcPr>
          <w:p>
            <w:pPr>
              <w:spacing w:after="0"/>
              <w:rPr>
                <w:sz w:val="1"/>
                <w:szCs w:val="1"/>
                <w:color w:val="auto"/>
              </w:rPr>
            </w:pPr>
          </w:p>
        </w:tc>
      </w:tr>
      <w:tr>
        <w:trPr>
          <w:trHeight w:val="184"/>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Amortization of debt discount and issuance costs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1,058</w:t>
            </w:r>
          </w:p>
        </w:tc>
        <w:tc>
          <w:tcPr>
            <w:tcW w:w="0" w:type="dxa"/>
            <w:vAlign w:val="bottom"/>
          </w:tcPr>
          <w:p>
            <w:pPr>
              <w:spacing w:after="0"/>
              <w:rPr>
                <w:sz w:val="1"/>
                <w:szCs w:val="1"/>
                <w:color w:val="auto"/>
              </w:rPr>
            </w:pPr>
          </w:p>
        </w:tc>
      </w:tr>
      <w:tr>
        <w:trPr>
          <w:trHeight w:val="168"/>
        </w:trPr>
        <w:tc>
          <w:tcPr>
            <w:tcW w:w="8940" w:type="dxa"/>
            <w:vAlign w:val="bottom"/>
          </w:tcPr>
          <w:p>
            <w:pPr>
              <w:ind w:left="240"/>
              <w:spacing w:after="0"/>
              <w:rPr>
                <w:sz w:val="20"/>
                <w:szCs w:val="20"/>
                <w:color w:val="auto"/>
              </w:rPr>
            </w:pPr>
            <w:r>
              <w:rPr>
                <w:rFonts w:ascii="Arial" w:cs="Arial" w:eastAsia="Arial" w:hAnsi="Arial"/>
                <w:sz w:val="13"/>
                <w:szCs w:val="13"/>
                <w:color w:val="auto"/>
              </w:rPr>
              <w:t>Change in fair value of contingent consideration</w:t>
            </w: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19,700</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Loss on extinguishment of debt</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11,935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8940" w:type="dxa"/>
            <w:vAlign w:val="bottom"/>
          </w:tcPr>
          <w:p>
            <w:pPr>
              <w:ind w:left="240"/>
              <w:spacing w:after="0"/>
              <w:rPr>
                <w:sz w:val="20"/>
                <w:szCs w:val="20"/>
                <w:color w:val="auto"/>
              </w:rPr>
            </w:pPr>
            <w:r>
              <w:rPr>
                <w:rFonts w:ascii="Arial" w:cs="Arial" w:eastAsia="Arial" w:hAnsi="Arial"/>
                <w:sz w:val="13"/>
                <w:szCs w:val="13"/>
                <w:color w:val="auto"/>
              </w:rPr>
              <w:t>Other non-cash items</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(884)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(458)</w:t>
            </w:r>
          </w:p>
        </w:tc>
        <w:tc>
          <w:tcPr>
            <w:tcW w:w="0" w:type="dxa"/>
            <w:vAlign w:val="bottom"/>
          </w:tcPr>
          <w:p>
            <w:pPr>
              <w:spacing w:after="0"/>
              <w:rPr>
                <w:sz w:val="1"/>
                <w:szCs w:val="1"/>
                <w:color w:val="auto"/>
              </w:rPr>
            </w:pPr>
          </w:p>
        </w:tc>
      </w:tr>
      <w:tr>
        <w:trPr>
          <w:trHeight w:val="184"/>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i w:val="1"/>
                <w:iCs w:val="1"/>
                <w:color w:val="auto"/>
              </w:rPr>
              <w:t>Changes in assets and liabilities, net of acquisition:</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940" w:type="dxa"/>
            <w:vAlign w:val="bottom"/>
          </w:tcPr>
          <w:p>
            <w:pPr>
              <w:ind w:left="460"/>
              <w:spacing w:after="0"/>
              <w:rPr>
                <w:sz w:val="20"/>
                <w:szCs w:val="20"/>
                <w:color w:val="auto"/>
              </w:rPr>
            </w:pPr>
            <w:r>
              <w:rPr>
                <w:rFonts w:ascii="Arial" w:cs="Arial" w:eastAsia="Arial" w:hAnsi="Arial"/>
                <w:sz w:val="13"/>
                <w:szCs w:val="13"/>
                <w:color w:val="auto"/>
              </w:rPr>
              <w:t>Accounts receivable</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(2,702)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12,383</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Commissions receivable</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(63,675)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(58,709)</w:t>
            </w:r>
          </w:p>
        </w:tc>
        <w:tc>
          <w:tcPr>
            <w:tcW w:w="0" w:type="dxa"/>
            <w:vAlign w:val="bottom"/>
          </w:tcPr>
          <w:p>
            <w:pPr>
              <w:spacing w:after="0"/>
              <w:rPr>
                <w:sz w:val="1"/>
                <w:szCs w:val="1"/>
                <w:color w:val="auto"/>
              </w:rPr>
            </w:pPr>
          </w:p>
        </w:tc>
      </w:tr>
      <w:tr>
        <w:trPr>
          <w:trHeight w:val="168"/>
        </w:trPr>
        <w:tc>
          <w:tcPr>
            <w:tcW w:w="8940" w:type="dxa"/>
            <w:vAlign w:val="bottom"/>
          </w:tcPr>
          <w:p>
            <w:pPr>
              <w:ind w:left="460"/>
              <w:spacing w:after="0"/>
              <w:rPr>
                <w:sz w:val="20"/>
                <w:szCs w:val="20"/>
                <w:color w:val="auto"/>
              </w:rPr>
            </w:pPr>
            <w:r>
              <w:rPr>
                <w:rFonts w:ascii="Arial" w:cs="Arial" w:eastAsia="Arial" w:hAnsi="Arial"/>
                <w:sz w:val="13"/>
                <w:szCs w:val="13"/>
                <w:color w:val="auto"/>
              </w:rPr>
              <w:t>Prepaid expenses and other assets</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(11,778)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1,794</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Accounts payable</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6,114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(3,467)</w:t>
            </w:r>
          </w:p>
        </w:tc>
        <w:tc>
          <w:tcPr>
            <w:tcW w:w="0" w:type="dxa"/>
            <w:vAlign w:val="bottom"/>
          </w:tcPr>
          <w:p>
            <w:pPr>
              <w:spacing w:after="0"/>
              <w:rPr>
                <w:sz w:val="1"/>
                <w:szCs w:val="1"/>
                <w:color w:val="auto"/>
              </w:rPr>
            </w:pPr>
          </w:p>
        </w:tc>
      </w:tr>
      <w:tr>
        <w:trPr>
          <w:trHeight w:val="168"/>
        </w:trPr>
        <w:tc>
          <w:tcPr>
            <w:tcW w:w="8940" w:type="dxa"/>
            <w:vAlign w:val="bottom"/>
          </w:tcPr>
          <w:p>
            <w:pPr>
              <w:ind w:left="460"/>
              <w:spacing w:after="0"/>
              <w:rPr>
                <w:sz w:val="20"/>
                <w:szCs w:val="20"/>
                <w:color w:val="auto"/>
              </w:rPr>
            </w:pPr>
            <w:r>
              <w:rPr>
                <w:rFonts w:ascii="Arial" w:cs="Arial" w:eastAsia="Arial" w:hAnsi="Arial"/>
                <w:sz w:val="13"/>
                <w:szCs w:val="13"/>
                <w:color w:val="auto"/>
              </w:rPr>
              <w:t>Accrued liabilities</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3,993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(7,641)</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Deferred revenue</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(14,171)</w:t>
            </w:r>
          </w:p>
        </w:tc>
        <w:tc>
          <w:tcPr>
            <w:tcW w:w="0" w:type="dxa"/>
            <w:vAlign w:val="bottom"/>
          </w:tcPr>
          <w:p>
            <w:pPr>
              <w:spacing w:after="0"/>
              <w:rPr>
                <w:sz w:val="1"/>
                <w:szCs w:val="1"/>
                <w:color w:val="auto"/>
              </w:rPr>
            </w:pPr>
          </w:p>
        </w:tc>
      </w:tr>
      <w:tr>
        <w:trPr>
          <w:trHeight w:val="168"/>
        </w:trPr>
        <w:tc>
          <w:tcPr>
            <w:tcW w:w="8940" w:type="dxa"/>
            <w:vAlign w:val="bottom"/>
          </w:tcPr>
          <w:p>
            <w:pPr>
              <w:ind w:left="460"/>
              <w:spacing w:after="0"/>
              <w:rPr>
                <w:sz w:val="20"/>
                <w:szCs w:val="20"/>
                <w:color w:val="auto"/>
              </w:rPr>
            </w:pPr>
            <w:r>
              <w:rPr>
                <w:rFonts w:ascii="Arial" w:cs="Arial" w:eastAsia="Arial" w:hAnsi="Arial"/>
                <w:sz w:val="13"/>
                <w:szCs w:val="13"/>
                <w:color w:val="auto"/>
              </w:rPr>
              <w:t>Commissions payable</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4,742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18,135</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Other liabilities</w:t>
            </w: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1,406</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1,269</w:t>
            </w:r>
          </w:p>
        </w:tc>
        <w:tc>
          <w:tcPr>
            <w:tcW w:w="0" w:type="dxa"/>
            <w:vAlign w:val="bottom"/>
          </w:tcPr>
          <w:p>
            <w:pPr>
              <w:spacing w:after="0"/>
              <w:rPr>
                <w:sz w:val="1"/>
                <w:szCs w:val="1"/>
                <w:color w:val="auto"/>
              </w:rPr>
            </w:pPr>
          </w:p>
        </w:tc>
      </w:tr>
      <w:tr>
        <w:trPr>
          <w:trHeight w:val="163"/>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cash provided by (used in) operating activities</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(32,250)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(4,169)</w:t>
            </w:r>
          </w:p>
        </w:tc>
        <w:tc>
          <w:tcPr>
            <w:tcW w:w="0" w:type="dxa"/>
            <w:vAlign w:val="bottom"/>
          </w:tcPr>
          <w:p>
            <w:pPr>
              <w:spacing w:after="0"/>
              <w:rPr>
                <w:sz w:val="1"/>
                <w:szCs w:val="1"/>
                <w:color w:val="auto"/>
              </w:rPr>
            </w:pPr>
          </w:p>
        </w:tc>
      </w:tr>
      <w:tr>
        <w:trPr>
          <w:trHeight w:val="162"/>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Purchases of property, equipment and software</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(7,909)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(7,764)</w:t>
            </w:r>
          </w:p>
        </w:tc>
        <w:tc>
          <w:tcPr>
            <w:tcW w:w="0" w:type="dxa"/>
            <w:vAlign w:val="bottom"/>
          </w:tcPr>
          <w:p>
            <w:pPr>
              <w:spacing w:after="0"/>
              <w:rPr>
                <w:sz w:val="1"/>
                <w:szCs w:val="1"/>
                <w:color w:val="auto"/>
              </w:rPr>
            </w:pPr>
          </w:p>
        </w:tc>
      </w:tr>
      <w:tr>
        <w:trPr>
          <w:trHeight w:val="175"/>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(used in) investing activities</w:t>
            </w: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(7,909)</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(7,764)</w:t>
            </w:r>
          </w:p>
        </w:tc>
        <w:tc>
          <w:tcPr>
            <w:tcW w:w="0" w:type="dxa"/>
            <w:vAlign w:val="bottom"/>
          </w:tcPr>
          <w:p>
            <w:pPr>
              <w:spacing w:after="0"/>
              <w:rPr>
                <w:sz w:val="1"/>
                <w:szCs w:val="1"/>
                <w:color w:val="auto"/>
              </w:rPr>
            </w:pPr>
          </w:p>
        </w:tc>
      </w:tr>
      <w:tr>
        <w:trPr>
          <w:trHeight w:val="152"/>
        </w:trPr>
        <w:tc>
          <w:tcPr>
            <w:tcW w:w="8940" w:type="dxa"/>
            <w:vAlign w:val="bottom"/>
          </w:tcPr>
          <w:p>
            <w:pPr>
              <w:ind w:left="20"/>
              <w:spacing w:after="0" w:line="148" w:lineRule="exact"/>
              <w:rPr>
                <w:sz w:val="20"/>
                <w:szCs w:val="20"/>
                <w:color w:val="auto"/>
              </w:rPr>
            </w:pPr>
            <w:r>
              <w:rPr>
                <w:rFonts w:ascii="Arial" w:cs="Arial" w:eastAsia="Arial" w:hAnsi="Arial"/>
                <w:sz w:val="13"/>
                <w:szCs w:val="13"/>
                <w:b w:val="1"/>
                <w:bCs w:val="1"/>
                <w:color w:val="auto"/>
              </w:rPr>
              <w:t>Financing Activities</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received upon issuance of common units</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0" w:type="dxa"/>
            <w:vAlign w:val="bottom"/>
          </w:tcPr>
          <w:p>
            <w:pPr>
              <w:spacing w:after="0"/>
              <w:rPr>
                <w:sz w:val="1"/>
                <w:szCs w:val="1"/>
                <w:color w:val="auto"/>
              </w:rPr>
            </w:pPr>
          </w:p>
        </w:tc>
      </w:tr>
      <w:tr>
        <w:trPr>
          <w:trHeight w:val="168"/>
        </w:trPr>
        <w:tc>
          <w:tcPr>
            <w:tcW w:w="8940" w:type="dxa"/>
            <w:vAlign w:val="bottom"/>
          </w:tcPr>
          <w:p>
            <w:pPr>
              <w:ind w:left="20"/>
              <w:spacing w:after="0"/>
              <w:rPr>
                <w:sz w:val="20"/>
                <w:szCs w:val="20"/>
                <w:color w:val="auto"/>
              </w:rPr>
            </w:pPr>
            <w:r>
              <w:rPr>
                <w:rFonts w:ascii="Arial" w:cs="Arial" w:eastAsia="Arial" w:hAnsi="Arial"/>
                <w:sz w:val="13"/>
                <w:szCs w:val="13"/>
                <w:color w:val="auto"/>
              </w:rPr>
              <w:t>Borrowings under term loans</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310,000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117,000</w:t>
            </w:r>
          </w:p>
        </w:tc>
        <w:tc>
          <w:tcPr>
            <w:tcW w:w="0" w:type="dxa"/>
            <w:vAlign w:val="bottom"/>
          </w:tcPr>
          <w:p>
            <w:pPr>
              <w:spacing w:after="0"/>
              <w:rPr>
                <w:sz w:val="1"/>
                <w:szCs w:val="1"/>
                <w:color w:val="auto"/>
              </w:rPr>
            </w:pPr>
          </w:p>
        </w:tc>
      </w:tr>
      <w:tr>
        <w:trPr>
          <w:trHeight w:val="184"/>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Payments of term loans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(296,835)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(1,793)</w:t>
            </w:r>
          </w:p>
        </w:tc>
        <w:tc>
          <w:tcPr>
            <w:tcW w:w="0" w:type="dxa"/>
            <w:vAlign w:val="bottom"/>
          </w:tcPr>
          <w:p>
            <w:pPr>
              <w:spacing w:after="0"/>
              <w:rPr>
                <w:sz w:val="1"/>
                <w:szCs w:val="1"/>
                <w:color w:val="auto"/>
              </w:rPr>
            </w:pPr>
          </w:p>
        </w:tc>
      </w:tr>
      <w:tr>
        <w:trPr>
          <w:trHeight w:val="168"/>
        </w:trPr>
        <w:tc>
          <w:tcPr>
            <w:tcW w:w="8940" w:type="dxa"/>
            <w:vAlign w:val="bottom"/>
          </w:tcPr>
          <w:p>
            <w:pPr>
              <w:ind w:left="20"/>
              <w:spacing w:after="0"/>
              <w:rPr>
                <w:sz w:val="20"/>
                <w:szCs w:val="20"/>
                <w:color w:val="auto"/>
              </w:rPr>
            </w:pPr>
            <w:r>
              <w:rPr>
                <w:rFonts w:ascii="Arial" w:cs="Arial" w:eastAsia="Arial" w:hAnsi="Arial"/>
                <w:sz w:val="13"/>
                <w:szCs w:val="13"/>
                <w:color w:val="auto"/>
              </w:rPr>
              <w:t>Call premium paid for debt extinguishment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(5,910)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 of deferred offering costs</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(874)</w:t>
            </w:r>
          </w:p>
        </w:tc>
        <w:tc>
          <w:tcPr>
            <w:tcW w:w="0" w:type="dxa"/>
            <w:vAlign w:val="bottom"/>
          </w:tcPr>
          <w:p>
            <w:pPr>
              <w:spacing w:after="0"/>
              <w:rPr>
                <w:sz w:val="1"/>
                <w:szCs w:val="1"/>
                <w:color w:val="auto"/>
              </w:rPr>
            </w:pPr>
          </w:p>
        </w:tc>
      </w:tr>
      <w:tr>
        <w:trPr>
          <w:trHeight w:val="168"/>
        </w:trPr>
        <w:tc>
          <w:tcPr>
            <w:tcW w:w="8940" w:type="dxa"/>
            <w:vAlign w:val="bottom"/>
          </w:tcPr>
          <w:p>
            <w:pPr>
              <w:ind w:left="20"/>
              <w:spacing w:after="0"/>
              <w:rPr>
                <w:sz w:val="20"/>
                <w:szCs w:val="20"/>
                <w:color w:val="auto"/>
              </w:rPr>
            </w:pPr>
            <w:r>
              <w:rPr>
                <w:rFonts w:ascii="Arial" w:cs="Arial" w:eastAsia="Arial" w:hAnsi="Arial"/>
                <w:sz w:val="13"/>
                <w:szCs w:val="13"/>
                <w:color w:val="auto"/>
              </w:rPr>
              <w:t>Debt issuance cost payments</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(1,608)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(6,289)</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Principal payments under capital lease obligations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0" w:type="dxa"/>
            <w:vAlign w:val="bottom"/>
          </w:tcPr>
          <w:p>
            <w:pPr>
              <w:spacing w:after="0"/>
              <w:rPr>
                <w:sz w:val="1"/>
                <w:szCs w:val="1"/>
                <w:color w:val="auto"/>
              </w:rPr>
            </w:pPr>
          </w:p>
        </w:tc>
      </w:tr>
      <w:tr>
        <w:trPr>
          <w:trHeight w:val="169"/>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received on advancement to NVX Holdings, Inc.</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3,395</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(used in) financing activities</w:t>
            </w: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8,888</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117,900</w:t>
            </w:r>
          </w:p>
        </w:tc>
        <w:tc>
          <w:tcPr>
            <w:tcW w:w="0" w:type="dxa"/>
            <w:vAlign w:val="bottom"/>
          </w:tcPr>
          <w:p>
            <w:pPr>
              <w:spacing w:after="0"/>
              <w:rPr>
                <w:sz w:val="1"/>
                <w:szCs w:val="1"/>
                <w:color w:val="auto"/>
              </w:rPr>
            </w:pPr>
          </w:p>
        </w:tc>
      </w:tr>
      <w:tr>
        <w:trPr>
          <w:trHeight w:val="163"/>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Effect of exchange rate changes on cash and cash equivalents</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175"/>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Increase in cash and cash equivalents</w:t>
            </w: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(31,371)</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106,065</w:t>
            </w:r>
          </w:p>
        </w:tc>
        <w:tc>
          <w:tcPr>
            <w:tcW w:w="0" w:type="dxa"/>
            <w:vAlign w:val="bottom"/>
          </w:tcPr>
          <w:p>
            <w:pPr>
              <w:spacing w:after="0"/>
              <w:rPr>
                <w:sz w:val="1"/>
                <w:szCs w:val="1"/>
                <w:color w:val="auto"/>
              </w:rPr>
            </w:pPr>
          </w:p>
        </w:tc>
      </w:tr>
      <w:tr>
        <w:trPr>
          <w:trHeight w:val="163"/>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and cash equivalents at beginning of period</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144,234</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12,276</w:t>
            </w:r>
          </w:p>
        </w:tc>
        <w:tc>
          <w:tcPr>
            <w:tcW w:w="0" w:type="dxa"/>
            <w:vAlign w:val="bottom"/>
          </w:tcPr>
          <w:p>
            <w:pPr>
              <w:spacing w:after="0"/>
              <w:rPr>
                <w:sz w:val="1"/>
                <w:szCs w:val="1"/>
                <w:color w:val="auto"/>
              </w:rPr>
            </w:pPr>
          </w:p>
        </w:tc>
      </w:tr>
      <w:tr>
        <w:trPr>
          <w:trHeight w:val="200"/>
        </w:trPr>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and cash equivalents at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112,863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118,341</w:t>
            </w:r>
          </w:p>
        </w:tc>
        <w:tc>
          <w:tcPr>
            <w:tcW w:w="0" w:type="dxa"/>
            <w:vAlign w:val="bottom"/>
          </w:tcPr>
          <w:p>
            <w:pPr>
              <w:spacing w:after="0"/>
              <w:rPr>
                <w:sz w:val="1"/>
                <w:szCs w:val="1"/>
                <w:color w:val="auto"/>
              </w:rPr>
            </w:pPr>
          </w:p>
        </w:tc>
      </w:tr>
      <w:tr>
        <w:trPr>
          <w:trHeight w:val="20"/>
        </w:trPr>
        <w:tc>
          <w:tcPr>
            <w:tcW w:w="8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89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Non-cash investing and financing activities: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940" w:type="dxa"/>
            <w:vAlign w:val="bottom"/>
          </w:tcPr>
          <w:p>
            <w:pPr>
              <w:ind w:left="240"/>
              <w:spacing w:after="0"/>
              <w:rPr>
                <w:sz w:val="20"/>
                <w:szCs w:val="20"/>
                <w:color w:val="auto"/>
              </w:rPr>
            </w:pPr>
            <w:r>
              <w:rPr>
                <w:rFonts w:ascii="Arial" w:cs="Arial" w:eastAsia="Arial" w:hAnsi="Arial"/>
                <w:sz w:val="13"/>
                <w:szCs w:val="13"/>
                <w:color w:val="auto"/>
              </w:rPr>
              <w:t>Purchases of property, equipment and software included in accounts payable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2,233</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798</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Issuance of senior preferred earnout units to settle contingent consideration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w:t>
            </w:r>
          </w:p>
        </w:tc>
        <w:tc>
          <w:tcPr>
            <w:tcW w:w="0" w:type="dxa"/>
            <w:vAlign w:val="bottom"/>
          </w:tcPr>
          <w:p>
            <w:pPr>
              <w:spacing w:after="0"/>
              <w:rPr>
                <w:sz w:val="1"/>
                <w:szCs w:val="1"/>
                <w:color w:val="auto"/>
              </w:rPr>
            </w:pPr>
          </w:p>
        </w:tc>
      </w:tr>
      <w:tr>
        <w:trPr>
          <w:trHeight w:val="160"/>
        </w:trPr>
        <w:tc>
          <w:tcPr>
            <w:tcW w:w="8940" w:type="dxa"/>
            <w:vAlign w:val="bottom"/>
          </w:tcPr>
          <w:p>
            <w:pPr>
              <w:ind w:left="240"/>
              <w:spacing w:after="0"/>
              <w:rPr>
                <w:sz w:val="20"/>
                <w:szCs w:val="20"/>
                <w:color w:val="auto"/>
              </w:rPr>
            </w:pPr>
            <w:r>
              <w:rPr>
                <w:rFonts w:ascii="Arial" w:cs="Arial" w:eastAsia="Arial" w:hAnsi="Arial"/>
                <w:sz w:val="13"/>
                <w:szCs w:val="13"/>
                <w:color w:val="auto"/>
              </w:rPr>
              <w:t>Issuance of common A and B units to settle contingent consideration liability</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897"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The following tables set forth operating segment results for the periods indicated (unaudited):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660" w:type="dxa"/>
            <w:vAlign w:val="bottom"/>
          </w:tcPr>
          <w:p>
            <w:pPr>
              <w:spacing w:after="0"/>
              <w:rPr>
                <w:sz w:val="15"/>
                <w:szCs w:val="15"/>
                <w:color w:val="auto"/>
              </w:rPr>
            </w:pPr>
          </w:p>
        </w:tc>
        <w:tc>
          <w:tcPr>
            <w:tcW w:w="21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97"/>
              </w:rPr>
              <w:t>Three months ended Jun. 30, 2021</w:t>
            </w:r>
          </w:p>
        </w:tc>
        <w:tc>
          <w:tcPr>
            <w:tcW w:w="100" w:type="dxa"/>
            <w:vAlign w:val="bottom"/>
          </w:tcPr>
          <w:p>
            <w:pPr>
              <w:spacing w:after="0"/>
              <w:rPr>
                <w:sz w:val="15"/>
                <w:szCs w:val="15"/>
                <w:color w:val="auto"/>
              </w:rPr>
            </w:pPr>
          </w:p>
        </w:tc>
        <w:tc>
          <w:tcPr>
            <w:tcW w:w="21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96"/>
              </w:rPr>
              <w:t>Three months ended Jun. 30, 2020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660" w:type="dxa"/>
            <w:vAlign w:val="bottom"/>
            <w:vMerge w:val="restart"/>
          </w:tcPr>
          <w:p>
            <w:pPr>
              <w:ind w:left="20"/>
              <w:spacing w:after="0"/>
              <w:rPr>
                <w:sz w:val="20"/>
                <w:szCs w:val="20"/>
                <w:color w:val="auto"/>
              </w:rPr>
            </w:pPr>
            <w:r>
              <w:rPr>
                <w:rFonts w:ascii="Arial" w:cs="Arial" w:eastAsia="Arial" w:hAnsi="Arial"/>
                <w:sz w:val="13"/>
                <w:szCs w:val="13"/>
                <w:color w:val="auto"/>
              </w:rPr>
              <w:t>(in thousands, except percentages)</w:t>
            </w:r>
          </w:p>
        </w:tc>
        <w:tc>
          <w:tcPr>
            <w:tcW w:w="200" w:type="dxa"/>
            <w:vAlign w:val="bottom"/>
          </w:tcPr>
          <w:p>
            <w:pPr>
              <w:spacing w:after="0"/>
              <w:rPr>
                <w:sz w:val="11"/>
                <w:szCs w:val="11"/>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Dollars</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 of Net</w:t>
            </w:r>
          </w:p>
        </w:tc>
        <w:tc>
          <w:tcPr>
            <w:tcW w:w="200" w:type="dxa"/>
            <w:vAlign w:val="bottom"/>
          </w:tcPr>
          <w:p>
            <w:pPr>
              <w:spacing w:after="0"/>
              <w:rPr>
                <w:sz w:val="11"/>
                <w:szCs w:val="11"/>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Dollars</w:t>
            </w:r>
          </w:p>
        </w:tc>
        <w:tc>
          <w:tcPr>
            <w:tcW w:w="10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9"/>
              </w:rPr>
              <w:t>% of Net</w:t>
            </w:r>
          </w:p>
        </w:tc>
        <w:tc>
          <w:tcPr>
            <w:tcW w:w="160" w:type="dxa"/>
            <w:vAlign w:val="bottom"/>
          </w:tcPr>
          <w:p>
            <w:pPr>
              <w:spacing w:after="0"/>
              <w:rPr>
                <w:sz w:val="11"/>
                <w:szCs w:val="11"/>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 Change</w:t>
            </w:r>
          </w:p>
        </w:tc>
        <w:tc>
          <w:tcPr>
            <w:tcW w:w="96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72"/>
        </w:trPr>
        <w:tc>
          <w:tcPr>
            <w:tcW w:w="4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Revenues</w:t>
            </w: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Revenues</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66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i w:val="1"/>
                <w:iCs w:val="1"/>
                <w:color w:val="auto"/>
              </w:rPr>
              <w:t>Net revenues:</w:t>
            </w:r>
          </w:p>
        </w:tc>
        <w:tc>
          <w:tcPr>
            <w:tcW w:w="2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Medicare - Internal</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160,433</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81.5 %</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87,201</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68.7 %</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73,232</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84.0 %</w:t>
            </w:r>
          </w:p>
        </w:tc>
        <w:tc>
          <w:tcPr>
            <w:tcW w:w="0" w:type="dxa"/>
            <w:vAlign w:val="bottom"/>
          </w:tcPr>
          <w:p>
            <w:pPr>
              <w:spacing w:after="0"/>
              <w:rPr>
                <w:sz w:val="1"/>
                <w:szCs w:val="1"/>
                <w:color w:val="auto"/>
              </w:rPr>
            </w:pPr>
          </w:p>
        </w:tc>
      </w:tr>
      <w:tr>
        <w:trPr>
          <w:trHeight w:val="183"/>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Medicare - External</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31,379</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28,108</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3,271</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11.6 %</w:t>
            </w:r>
          </w:p>
        </w:tc>
        <w:tc>
          <w:tcPr>
            <w:tcW w:w="0" w:type="dxa"/>
            <w:vAlign w:val="bottom"/>
          </w:tcPr>
          <w:p>
            <w:pPr>
              <w:spacing w:after="0"/>
              <w:rPr>
                <w:sz w:val="1"/>
                <w:szCs w:val="1"/>
                <w:color w:val="auto"/>
              </w:rPr>
            </w:pP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IFP and Other - Internal</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3,788</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7,019</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5.5 %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(3,231)</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(46.0)%</w:t>
            </w:r>
          </w:p>
        </w:tc>
        <w:tc>
          <w:tcPr>
            <w:tcW w:w="0" w:type="dxa"/>
            <w:vAlign w:val="bottom"/>
          </w:tcPr>
          <w:p>
            <w:pPr>
              <w:spacing w:after="0"/>
              <w:rPr>
                <w:sz w:val="1"/>
                <w:szCs w:val="1"/>
                <w:color w:val="auto"/>
              </w:rPr>
            </w:pPr>
          </w:p>
        </w:tc>
      </w:tr>
      <w:tr>
        <w:trPr>
          <w:trHeight w:val="183"/>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IFP and Other - External</w:t>
            </w:r>
          </w:p>
        </w:tc>
        <w:tc>
          <w:tcPr>
            <w:tcW w:w="2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1,302</w:t>
            </w:r>
          </w:p>
        </w:tc>
        <w:tc>
          <w:tcPr>
            <w:tcW w:w="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0.7 %</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4,729</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3.7 %</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(3,427)</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(72.5)%</w:t>
            </w:r>
          </w:p>
        </w:tc>
        <w:tc>
          <w:tcPr>
            <w:tcW w:w="0" w:type="dxa"/>
            <w:vAlign w:val="bottom"/>
          </w:tcPr>
          <w:p>
            <w:pPr>
              <w:spacing w:after="0"/>
              <w:rPr>
                <w:sz w:val="1"/>
                <w:szCs w:val="1"/>
                <w:color w:val="auto"/>
              </w:rPr>
            </w:pPr>
          </w:p>
        </w:tc>
      </w:tr>
      <w:tr>
        <w:trPr>
          <w:trHeight w:val="163"/>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revenues</w:t>
            </w: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196,902</w:t>
            </w: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127,057</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69,845</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55.0 %</w:t>
            </w:r>
          </w:p>
        </w:tc>
        <w:tc>
          <w:tcPr>
            <w:tcW w:w="0" w:type="dxa"/>
            <w:vAlign w:val="bottom"/>
          </w:tcPr>
          <w:p>
            <w:pPr>
              <w:spacing w:after="0"/>
              <w:rPr>
                <w:sz w:val="1"/>
                <w:szCs w:val="1"/>
                <w:color w:val="auto"/>
              </w:rPr>
            </w:pPr>
          </w:p>
        </w:tc>
      </w:tr>
      <w:tr>
        <w:trPr>
          <w:trHeight w:val="162"/>
        </w:trPr>
        <w:tc>
          <w:tcPr>
            <w:tcW w:w="466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Segment profit (loss):</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60" w:type="dxa"/>
            <w:vAlign w:val="bottom"/>
          </w:tcPr>
          <w:p>
            <w:pPr>
              <w:ind w:left="240"/>
              <w:spacing w:after="0"/>
              <w:rPr>
                <w:sz w:val="20"/>
                <w:szCs w:val="20"/>
                <w:color w:val="auto"/>
              </w:rPr>
            </w:pPr>
            <w:r>
              <w:rPr>
                <w:rFonts w:ascii="Arial" w:cs="Arial" w:eastAsia="Arial" w:hAnsi="Arial"/>
                <w:sz w:val="13"/>
                <w:szCs w:val="13"/>
                <w:color w:val="auto"/>
              </w:rPr>
              <w:t>Medicare - Internal</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31,257</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15.9 %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32,746</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25.8 %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(1,489)</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84"/>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Medicare - External</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(1,688)</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495</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(2,183)</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IFP and Other - Internal</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(800)</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(746)</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83"/>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IFP and Other - External</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(143.8)%</w:t>
            </w:r>
          </w:p>
        </w:tc>
        <w:tc>
          <w:tcPr>
            <w:tcW w:w="0" w:type="dxa"/>
            <w:vAlign w:val="bottom"/>
          </w:tcPr>
          <w:p>
            <w:pPr>
              <w:spacing w:after="0"/>
              <w:rPr>
                <w:sz w:val="1"/>
                <w:szCs w:val="1"/>
                <w:color w:val="auto"/>
              </w:rPr>
            </w:pPr>
          </w:p>
        </w:tc>
      </w:tr>
      <w:tr>
        <w:trPr>
          <w:trHeight w:val="163"/>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Segment profit</w:t>
            </w:r>
          </w:p>
        </w:tc>
        <w:tc>
          <w:tcPr>
            <w:tcW w:w="2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28,712</w:t>
            </w:r>
          </w:p>
        </w:tc>
        <w:tc>
          <w:tcPr>
            <w:tcW w:w="8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14.6 %</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33,317</w:t>
            </w:r>
          </w:p>
        </w:tc>
        <w:tc>
          <w:tcPr>
            <w:tcW w:w="10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26.2 %</w:t>
            </w: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(4,605)</w:t>
            </w:r>
          </w:p>
        </w:tc>
        <w:tc>
          <w:tcPr>
            <w:tcW w:w="10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(13.8)%</w:t>
            </w:r>
          </w:p>
        </w:tc>
        <w:tc>
          <w:tcPr>
            <w:tcW w:w="0" w:type="dxa"/>
            <w:vAlign w:val="bottom"/>
          </w:tcPr>
          <w:p>
            <w:pPr>
              <w:spacing w:after="0"/>
              <w:rPr>
                <w:sz w:val="1"/>
                <w:szCs w:val="1"/>
                <w:color w:val="auto"/>
              </w:rPr>
            </w:pPr>
          </w:p>
        </w:tc>
      </w:tr>
      <w:tr>
        <w:trPr>
          <w:trHeight w:val="175"/>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Corporate expense</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24,148</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8,911</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15,237</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171.0 %</w:t>
            </w:r>
          </w:p>
        </w:tc>
        <w:tc>
          <w:tcPr>
            <w:tcW w:w="0" w:type="dxa"/>
            <w:vAlign w:val="bottom"/>
          </w:tcPr>
          <w:p>
            <w:pPr>
              <w:spacing w:after="0"/>
              <w:rPr>
                <w:sz w:val="1"/>
                <w:szCs w:val="1"/>
                <w:color w:val="auto"/>
              </w:rPr>
            </w:pP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Change in fair value of contingent consideration liability</w:t>
            </w:r>
          </w:p>
        </w:tc>
        <w:tc>
          <w:tcPr>
            <w:tcW w:w="2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15,300</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12.0 %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(15,300)</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84"/>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Amortization of intangible assets</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23,515</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23,514</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Loss on extinguishment of debt</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11,935</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6.1 %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11,935</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83"/>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Interest expense</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8,277</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8,986</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(709)</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69"/>
        </w:trPr>
        <w:tc>
          <w:tcPr>
            <w:tcW w:w="4660" w:type="dxa"/>
            <w:vAlign w:val="bottom"/>
          </w:tcPr>
          <w:p>
            <w:pPr>
              <w:ind w:left="240"/>
              <w:spacing w:after="0"/>
              <w:rPr>
                <w:sz w:val="20"/>
                <w:szCs w:val="20"/>
                <w:color w:val="auto"/>
              </w:rPr>
            </w:pPr>
            <w:r>
              <w:rPr>
                <w:rFonts w:ascii="Arial" w:cs="Arial" w:eastAsia="Arial" w:hAnsi="Arial"/>
                <w:sz w:val="13"/>
                <w:szCs w:val="13"/>
                <w:color w:val="auto"/>
              </w:rPr>
              <w:t>Other (income) expense</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44</w:t>
            </w:r>
          </w:p>
        </w:tc>
        <w:tc>
          <w:tcPr>
            <w:tcW w:w="8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(505)</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549</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200"/>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Income (loss) before income taxes</w:t>
            </w: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(39,207)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(19.9)%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(22,889)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(18.0)%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(16,318)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71.3 %</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rPr>
          <w:sz w:val="20"/>
          <w:szCs w:val="20"/>
          <w:color w:val="auto"/>
        </w:rPr>
      </w:pPr>
      <w:r>
        <w:rPr>
          <w:rFonts w:ascii="Arial" w:cs="Arial" w:eastAsia="Arial" w:hAnsi="Arial"/>
          <w:sz w:val="13"/>
          <w:szCs w:val="13"/>
          <w:i w:val="1"/>
          <w:iCs w:val="1"/>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gridSpan w:val="4"/>
          </w:tcPr>
          <w:p>
            <w:pPr>
              <w:ind w:left="20"/>
              <w:spacing w:after="0"/>
              <w:rPr>
                <w:sz w:val="20"/>
                <w:szCs w:val="20"/>
                <w:color w:val="auto"/>
              </w:rPr>
            </w:pPr>
            <w:r>
              <w:rPr>
                <w:rFonts w:ascii="Arial" w:cs="Arial" w:eastAsia="Arial" w:hAnsi="Arial"/>
                <w:sz w:val="13"/>
                <w:szCs w:val="13"/>
                <w:b w:val="1"/>
                <w:bCs w:val="1"/>
                <w:color w:val="auto"/>
              </w:rPr>
              <w:t>Six months ended Jun. 30, 2021</w:t>
            </w:r>
          </w:p>
        </w:tc>
        <w:tc>
          <w:tcPr>
            <w:tcW w:w="100" w:type="dxa"/>
            <w:vAlign w:val="bottom"/>
          </w:tcPr>
          <w:p>
            <w:pPr>
              <w:spacing w:after="0"/>
              <w:rPr>
                <w:sz w:val="15"/>
                <w:szCs w:val="15"/>
                <w:color w:val="auto"/>
              </w:rPr>
            </w:pPr>
          </w:p>
        </w:tc>
        <w:tc>
          <w:tcPr>
            <w:tcW w:w="2120" w:type="dxa"/>
            <w:vAlign w:val="bottom"/>
            <w:gridSpan w:val="4"/>
          </w:tcPr>
          <w:p>
            <w:pPr>
              <w:spacing w:after="0"/>
              <w:rPr>
                <w:sz w:val="20"/>
                <w:szCs w:val="20"/>
                <w:color w:val="auto"/>
              </w:rPr>
            </w:pPr>
            <w:r>
              <w:rPr>
                <w:rFonts w:ascii="Arial" w:cs="Arial" w:eastAsia="Arial" w:hAnsi="Arial"/>
                <w:sz w:val="13"/>
                <w:szCs w:val="13"/>
                <w:b w:val="1"/>
                <w:bCs w:val="1"/>
                <w:color w:val="auto"/>
              </w:rPr>
              <w:t>Six months ended Jun. 30, 2020</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4660" w:type="dxa"/>
            <w:vAlign w:val="bottom"/>
            <w:vMerge w:val="restart"/>
          </w:tcPr>
          <w:p>
            <w:pPr>
              <w:ind w:left="20"/>
              <w:spacing w:after="0"/>
              <w:rPr>
                <w:sz w:val="20"/>
                <w:szCs w:val="20"/>
                <w:color w:val="auto"/>
              </w:rPr>
            </w:pPr>
            <w:r>
              <w:rPr>
                <w:rFonts w:ascii="Arial" w:cs="Arial" w:eastAsia="Arial" w:hAnsi="Arial"/>
                <w:sz w:val="13"/>
                <w:szCs w:val="13"/>
                <w:color w:val="auto"/>
              </w:rPr>
              <w:t>(in thousands, except percentages)</w:t>
            </w: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vMerge w:val="restart"/>
          </w:tcPr>
          <w:p>
            <w:pPr>
              <w:ind w:left="220"/>
              <w:spacing w:after="0"/>
              <w:rPr>
                <w:sz w:val="20"/>
                <w:szCs w:val="20"/>
                <w:color w:val="auto"/>
              </w:rPr>
            </w:pPr>
            <w:r>
              <w:rPr>
                <w:rFonts w:ascii="Arial" w:cs="Arial" w:eastAsia="Arial" w:hAnsi="Arial"/>
                <w:sz w:val="13"/>
                <w:szCs w:val="13"/>
                <w:b w:val="1"/>
                <w:bCs w:val="1"/>
                <w:color w:val="auto"/>
              </w:rPr>
              <w:t>Dollars</w:t>
            </w:r>
          </w:p>
        </w:tc>
        <w:tc>
          <w:tcPr>
            <w:tcW w:w="98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w w:val="96"/>
              </w:rPr>
              <w:t>% of Net</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vMerge w:val="restart"/>
          </w:tcPr>
          <w:p>
            <w:pPr>
              <w:ind w:left="220"/>
              <w:spacing w:after="0"/>
              <w:rPr>
                <w:sz w:val="20"/>
                <w:szCs w:val="20"/>
                <w:color w:val="auto"/>
              </w:rPr>
            </w:pPr>
            <w:r>
              <w:rPr>
                <w:rFonts w:ascii="Arial" w:cs="Arial" w:eastAsia="Arial" w:hAnsi="Arial"/>
                <w:sz w:val="13"/>
                <w:szCs w:val="13"/>
                <w:b w:val="1"/>
                <w:bCs w:val="1"/>
                <w:color w:val="auto"/>
              </w:rPr>
              <w:t>Dollars</w:t>
            </w:r>
          </w:p>
        </w:tc>
        <w:tc>
          <w:tcPr>
            <w:tcW w:w="96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w w:val="99"/>
              </w:rPr>
              <w:t>% of Net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 Change</w:t>
            </w:r>
          </w:p>
        </w:tc>
        <w:tc>
          <w:tcPr>
            <w:tcW w:w="96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72"/>
        </w:trPr>
        <w:tc>
          <w:tcPr>
            <w:tcW w:w="4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Revenues</w:t>
            </w: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Revenues</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66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i w:val="1"/>
                <w:iCs w:val="1"/>
                <w:color w:val="auto"/>
              </w:rPr>
              <w:t>Net revenues:</w:t>
            </w:r>
          </w:p>
        </w:tc>
        <w:tc>
          <w:tcPr>
            <w:tcW w:w="1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Medicare - Internal</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317,786</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79.2 %</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182,488</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68.1 %</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135,298</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74.1 %</w:t>
            </w:r>
          </w:p>
        </w:tc>
        <w:tc>
          <w:tcPr>
            <w:tcW w:w="0" w:type="dxa"/>
            <w:vAlign w:val="bottom"/>
          </w:tcPr>
          <w:p>
            <w:pPr>
              <w:spacing w:after="0"/>
              <w:rPr>
                <w:sz w:val="1"/>
                <w:szCs w:val="1"/>
                <w:color w:val="auto"/>
              </w:rPr>
            </w:pPr>
          </w:p>
        </w:tc>
      </w:tr>
      <w:tr>
        <w:trPr>
          <w:trHeight w:val="183"/>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Medicare - External</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70,879</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57,053</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13,826</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24.2 %</w:t>
            </w:r>
          </w:p>
        </w:tc>
        <w:tc>
          <w:tcPr>
            <w:tcW w:w="0" w:type="dxa"/>
            <w:vAlign w:val="bottom"/>
          </w:tcPr>
          <w:p>
            <w:pPr>
              <w:spacing w:after="0"/>
              <w:rPr>
                <w:sz w:val="1"/>
                <w:szCs w:val="1"/>
                <w:color w:val="auto"/>
              </w:rPr>
            </w:pP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IFP and Other - Internal</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7,763</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15,651</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5.8 %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(7,888)</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(50.4)%</w:t>
            </w:r>
          </w:p>
        </w:tc>
        <w:tc>
          <w:tcPr>
            <w:tcW w:w="0" w:type="dxa"/>
            <w:vAlign w:val="bottom"/>
          </w:tcPr>
          <w:p>
            <w:pPr>
              <w:spacing w:after="0"/>
              <w:rPr>
                <w:sz w:val="1"/>
                <w:szCs w:val="1"/>
                <w:color w:val="auto"/>
              </w:rPr>
            </w:pPr>
          </w:p>
        </w:tc>
      </w:tr>
      <w:tr>
        <w:trPr>
          <w:trHeight w:val="183"/>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IFP and Other - External</w:t>
            </w: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4,653</w:t>
            </w:r>
          </w:p>
        </w:tc>
        <w:tc>
          <w:tcPr>
            <w:tcW w:w="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1.2 %</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12,875</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4.8 %</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(8,222)</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(63.9)%</w:t>
            </w:r>
          </w:p>
        </w:tc>
        <w:tc>
          <w:tcPr>
            <w:tcW w:w="0" w:type="dxa"/>
            <w:vAlign w:val="bottom"/>
          </w:tcPr>
          <w:p>
            <w:pPr>
              <w:spacing w:after="0"/>
              <w:rPr>
                <w:sz w:val="1"/>
                <w:szCs w:val="1"/>
                <w:color w:val="auto"/>
              </w:rPr>
            </w:pPr>
          </w:p>
        </w:tc>
      </w:tr>
      <w:tr>
        <w:trPr>
          <w:trHeight w:val="163"/>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revenues</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401,081</w:t>
            </w: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268,067</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133,014</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49.6 %</w:t>
            </w:r>
          </w:p>
        </w:tc>
        <w:tc>
          <w:tcPr>
            <w:tcW w:w="0" w:type="dxa"/>
            <w:vAlign w:val="bottom"/>
          </w:tcPr>
          <w:p>
            <w:pPr>
              <w:spacing w:after="0"/>
              <w:rPr>
                <w:sz w:val="1"/>
                <w:szCs w:val="1"/>
                <w:color w:val="auto"/>
              </w:rPr>
            </w:pPr>
          </w:p>
        </w:tc>
      </w:tr>
      <w:tr>
        <w:trPr>
          <w:trHeight w:val="162"/>
        </w:trPr>
        <w:tc>
          <w:tcPr>
            <w:tcW w:w="466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Segment profit:</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Medicare - Internal</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77,700</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19.4 %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74,482</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27.8 %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3,218</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4.3 %</w:t>
            </w:r>
          </w:p>
        </w:tc>
        <w:tc>
          <w:tcPr>
            <w:tcW w:w="0" w:type="dxa"/>
            <w:vAlign w:val="bottom"/>
          </w:tcPr>
          <w:p>
            <w:pPr>
              <w:spacing w:after="0"/>
              <w:rPr>
                <w:sz w:val="1"/>
                <w:szCs w:val="1"/>
                <w:color w:val="auto"/>
              </w:rPr>
            </w:pPr>
          </w:p>
        </w:tc>
      </w:tr>
      <w:tr>
        <w:trPr>
          <w:trHeight w:val="183"/>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Medicare - External</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(2,319)</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(2,492)</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IFP and Other - Internal</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(1,529)</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427</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0.2 %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(1,956)</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84"/>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IFP and Other - External</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642</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(84.0)%</w:t>
            </w:r>
          </w:p>
        </w:tc>
        <w:tc>
          <w:tcPr>
            <w:tcW w:w="0" w:type="dxa"/>
            <w:vAlign w:val="bottom"/>
          </w:tcPr>
          <w:p>
            <w:pPr>
              <w:spacing w:after="0"/>
              <w:rPr>
                <w:sz w:val="1"/>
                <w:szCs w:val="1"/>
                <w:color w:val="auto"/>
              </w:rPr>
            </w:pPr>
          </w:p>
        </w:tc>
      </w:tr>
      <w:tr>
        <w:trPr>
          <w:trHeight w:val="163"/>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Segment profit</w:t>
            </w:r>
          </w:p>
        </w:tc>
        <w:tc>
          <w:tcPr>
            <w:tcW w:w="1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73,955</w:t>
            </w:r>
          </w:p>
        </w:tc>
        <w:tc>
          <w:tcPr>
            <w:tcW w:w="8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18.4 %</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75,724</w:t>
            </w:r>
          </w:p>
        </w:tc>
        <w:tc>
          <w:tcPr>
            <w:tcW w:w="10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28.2 %</w:t>
            </w: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(1,769)</w:t>
            </w:r>
          </w:p>
        </w:tc>
        <w:tc>
          <w:tcPr>
            <w:tcW w:w="10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75"/>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Corporate expense</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44,475</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17,576</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26,899</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153.0 %</w:t>
            </w:r>
          </w:p>
        </w:tc>
        <w:tc>
          <w:tcPr>
            <w:tcW w:w="0" w:type="dxa"/>
            <w:vAlign w:val="bottom"/>
          </w:tcPr>
          <w:p>
            <w:pPr>
              <w:spacing w:after="0"/>
              <w:rPr>
                <w:sz w:val="1"/>
                <w:szCs w:val="1"/>
                <w:color w:val="auto"/>
              </w:rPr>
            </w:pPr>
          </w:p>
        </w:tc>
      </w:tr>
      <w:tr>
        <w:trPr>
          <w:trHeight w:val="167"/>
        </w:trPr>
        <w:tc>
          <w:tcPr>
            <w:tcW w:w="4660" w:type="dxa"/>
            <w:vAlign w:val="bottom"/>
          </w:tcPr>
          <w:p>
            <w:pPr>
              <w:ind w:left="240"/>
              <w:spacing w:after="0"/>
              <w:rPr>
                <w:sz w:val="20"/>
                <w:szCs w:val="20"/>
                <w:color w:val="auto"/>
              </w:rPr>
            </w:pPr>
            <w:r>
              <w:rPr>
                <w:rFonts w:ascii="Arial" w:cs="Arial" w:eastAsia="Arial" w:hAnsi="Arial"/>
                <w:sz w:val="13"/>
                <w:szCs w:val="13"/>
                <w:color w:val="auto"/>
              </w:rPr>
              <w:t>Change in fair value of contingent consideration liability</w:t>
            </w: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19,700</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7.3 %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(19,700)</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84"/>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Amortization of intangible assets</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47,029</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47,029</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Loss on extinguishment of debt</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11,935</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3.0 %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11,935</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83"/>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Interest expense</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16,965</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15,742</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1,223</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7.8 %</w:t>
            </w:r>
          </w:p>
        </w:tc>
        <w:tc>
          <w:tcPr>
            <w:tcW w:w="0" w:type="dxa"/>
            <w:vAlign w:val="bottom"/>
          </w:tcPr>
          <w:p>
            <w:pPr>
              <w:spacing w:after="0"/>
              <w:rPr>
                <w:sz w:val="1"/>
                <w:szCs w:val="1"/>
                <w:color w:val="auto"/>
              </w:rPr>
            </w:pPr>
          </w:p>
        </w:tc>
      </w:tr>
      <w:tr>
        <w:trPr>
          <w:trHeight w:val="169"/>
        </w:trPr>
        <w:tc>
          <w:tcPr>
            <w:tcW w:w="4660" w:type="dxa"/>
            <w:vAlign w:val="bottom"/>
          </w:tcPr>
          <w:p>
            <w:pPr>
              <w:ind w:left="240"/>
              <w:spacing w:after="0"/>
              <w:rPr>
                <w:sz w:val="20"/>
                <w:szCs w:val="20"/>
                <w:color w:val="auto"/>
              </w:rPr>
            </w:pPr>
            <w:r>
              <w:rPr>
                <w:rFonts w:ascii="Arial" w:cs="Arial" w:eastAsia="Arial" w:hAnsi="Arial"/>
                <w:sz w:val="13"/>
                <w:szCs w:val="13"/>
                <w:color w:val="auto"/>
              </w:rPr>
              <w:t>Other (income) expense</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57</w:t>
            </w:r>
          </w:p>
        </w:tc>
        <w:tc>
          <w:tcPr>
            <w:tcW w:w="8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(495)</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552</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200"/>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Income (loss) before income taxes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(46,506)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(23,828)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(22,678)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95.2 %</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rPr>
          <w:sz w:val="20"/>
          <w:szCs w:val="20"/>
          <w:color w:val="auto"/>
        </w:rPr>
      </w:pPr>
      <w:r>
        <w:rPr>
          <w:rFonts w:ascii="Arial" w:cs="Arial" w:eastAsia="Arial" w:hAnsi="Arial"/>
          <w:sz w:val="13"/>
          <w:szCs w:val="13"/>
          <w:i w:val="1"/>
          <w:iCs w:val="1"/>
          <w:color w:val="auto"/>
        </w:rPr>
        <w:t>NM = Not meaningful</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789" w:right="339" w:bottom="1440" w:gutter="0" w:footer="0" w:header="0"/>
        </w:sectPr>
      </w:pPr>
    </w:p>
    <w:bookmarkStart w:id="13" w:name="page14"/>
    <w:bookmarkEnd w:id="13"/>
    <w:p>
      <w:pPr>
        <w:ind w:right="100"/>
        <w:spacing w:after="0" w:line="260" w:lineRule="auto"/>
        <w:rPr>
          <w:sz w:val="20"/>
          <w:szCs w:val="20"/>
          <w:color w:val="auto"/>
        </w:rPr>
      </w:pPr>
      <w:r>
        <w:rPr>
          <w:rFonts w:ascii="Arial" w:cs="Arial" w:eastAsia="Arial" w:hAnsi="Arial"/>
          <w:sz w:val="16"/>
          <w:szCs w:val="16"/>
          <w:color w:val="auto"/>
        </w:rPr>
        <w:t>The following table presents the number of Submitted Policies by product for the Medicare segments for the three and six months ended June 30, 2021 and 2020, for those submissions that are commissionable (compensated through commissions received from carriers):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40" w:type="dxa"/>
            <w:vAlign w:val="bottom"/>
          </w:tcPr>
          <w:p>
            <w:pPr>
              <w:spacing w:after="0"/>
              <w:rPr>
                <w:sz w:val="13"/>
                <w:szCs w:val="13"/>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Three months</w:t>
            </w:r>
          </w:p>
        </w:tc>
        <w:tc>
          <w:tcPr>
            <w:tcW w:w="12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Three months</w:t>
            </w:r>
          </w:p>
        </w:tc>
        <w:tc>
          <w:tcPr>
            <w:tcW w:w="12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Six months</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6"/>
              </w:rPr>
              <w:t>Six months</w:t>
            </w:r>
          </w:p>
        </w:tc>
        <w:tc>
          <w:tcPr>
            <w:tcW w:w="0" w:type="dxa"/>
            <w:vAlign w:val="bottom"/>
          </w:tcPr>
          <w:p>
            <w:pPr>
              <w:spacing w:after="0"/>
              <w:rPr>
                <w:sz w:val="1"/>
                <w:szCs w:val="1"/>
                <w:color w:val="auto"/>
              </w:rPr>
            </w:pPr>
          </w:p>
        </w:tc>
      </w:tr>
      <w:tr>
        <w:trPr>
          <w:trHeight w:val="122"/>
        </w:trPr>
        <w:tc>
          <w:tcPr>
            <w:tcW w:w="65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Medicare - Total Commissionable Submitted Policies</w:t>
            </w:r>
          </w:p>
        </w:tc>
        <w:tc>
          <w:tcPr>
            <w:tcW w:w="118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ended Jun. 30,</w:t>
            </w:r>
          </w:p>
        </w:tc>
        <w:tc>
          <w:tcPr>
            <w:tcW w:w="12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ended Jun. 30,</w:t>
            </w:r>
          </w:p>
        </w:tc>
        <w:tc>
          <w:tcPr>
            <w:tcW w:w="12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7"/>
              </w:rPr>
              <w:t>ended Jun. 30,</w:t>
            </w:r>
          </w:p>
        </w:tc>
        <w:tc>
          <w:tcPr>
            <w:tcW w:w="1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ended Jun. 30,</w:t>
            </w:r>
          </w:p>
        </w:tc>
        <w:tc>
          <w:tcPr>
            <w:tcW w:w="0" w:type="dxa"/>
            <w:vAlign w:val="bottom"/>
          </w:tcPr>
          <w:p>
            <w:pPr>
              <w:spacing w:after="0"/>
              <w:rPr>
                <w:sz w:val="1"/>
                <w:szCs w:val="1"/>
                <w:color w:val="auto"/>
              </w:rPr>
            </w:pPr>
          </w:p>
        </w:tc>
      </w:tr>
      <w:tr>
        <w:trPr>
          <w:trHeight w:val="173"/>
        </w:trPr>
        <w:tc>
          <w:tcPr>
            <w:tcW w:w="6540" w:type="dxa"/>
            <w:vAlign w:val="bottom"/>
            <w:tcBorders>
              <w:bottom w:val="single" w:sz="8" w:color="CCEEFF"/>
            </w:tcBorders>
            <w:vMerge w:val="continue"/>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72"/>
        </w:trPr>
        <w:tc>
          <w:tcPr>
            <w:tcW w:w="6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Medicare Advantage</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153,163</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99,078</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326,037</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216,413</w:t>
            </w:r>
          </w:p>
        </w:tc>
        <w:tc>
          <w:tcPr>
            <w:tcW w:w="0" w:type="dxa"/>
            <w:vAlign w:val="bottom"/>
          </w:tcPr>
          <w:p>
            <w:pPr>
              <w:spacing w:after="0"/>
              <w:rPr>
                <w:sz w:val="1"/>
                <w:szCs w:val="1"/>
                <w:color w:val="auto"/>
              </w:rPr>
            </w:pPr>
          </w:p>
        </w:tc>
      </w:tr>
      <w:tr>
        <w:trPr>
          <w:trHeight w:val="168"/>
        </w:trPr>
        <w:tc>
          <w:tcPr>
            <w:tcW w:w="6540" w:type="dxa"/>
            <w:vAlign w:val="bottom"/>
          </w:tcPr>
          <w:p>
            <w:pPr>
              <w:ind w:left="20"/>
              <w:spacing w:after="0"/>
              <w:rPr>
                <w:sz w:val="20"/>
                <w:szCs w:val="20"/>
                <w:color w:val="auto"/>
              </w:rPr>
            </w:pPr>
            <w:r>
              <w:rPr>
                <w:rFonts w:ascii="Arial" w:cs="Arial" w:eastAsia="Arial" w:hAnsi="Arial"/>
                <w:sz w:val="13"/>
                <w:szCs w:val="13"/>
                <w:color w:val="auto"/>
              </w:rPr>
              <w:t>Medicare Supplement</w:t>
            </w:r>
          </w:p>
        </w:tc>
        <w:tc>
          <w:tcPr>
            <w:tcW w:w="1100" w:type="dxa"/>
            <w:vAlign w:val="bottom"/>
          </w:tcPr>
          <w:p>
            <w:pPr>
              <w:jc w:val="right"/>
              <w:spacing w:after="0"/>
              <w:rPr>
                <w:sz w:val="20"/>
                <w:szCs w:val="20"/>
                <w:color w:val="auto"/>
              </w:rPr>
            </w:pPr>
            <w:r>
              <w:rPr>
                <w:rFonts w:ascii="Arial" w:cs="Arial" w:eastAsia="Arial" w:hAnsi="Arial"/>
                <w:sz w:val="13"/>
                <w:szCs w:val="13"/>
                <w:color w:val="auto"/>
              </w:rPr>
              <w:t>1,022</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2,248</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2,126</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4,919</w:t>
            </w:r>
          </w:p>
        </w:tc>
        <w:tc>
          <w:tcPr>
            <w:tcW w:w="0" w:type="dxa"/>
            <w:vAlign w:val="bottom"/>
          </w:tcPr>
          <w:p>
            <w:pPr>
              <w:spacing w:after="0"/>
              <w:rPr>
                <w:sz w:val="1"/>
                <w:szCs w:val="1"/>
                <w:color w:val="auto"/>
              </w:rPr>
            </w:pPr>
          </w:p>
        </w:tc>
      </w:tr>
      <w:tr>
        <w:trPr>
          <w:trHeight w:val="177"/>
        </w:trPr>
        <w:tc>
          <w:tcPr>
            <w:tcW w:w="6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Prescription Drug Plans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2,374</w:t>
            </w:r>
          </w:p>
        </w:tc>
        <w:tc>
          <w:tcPr>
            <w:tcW w:w="8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1,969</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4,967</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4,431</w:t>
            </w:r>
          </w:p>
        </w:tc>
        <w:tc>
          <w:tcPr>
            <w:tcW w:w="0" w:type="dxa"/>
            <w:vAlign w:val="bottom"/>
          </w:tcPr>
          <w:p>
            <w:pPr>
              <w:spacing w:after="0"/>
              <w:rPr>
                <w:sz w:val="1"/>
                <w:szCs w:val="1"/>
                <w:color w:val="auto"/>
              </w:rPr>
            </w:pPr>
          </w:p>
        </w:tc>
      </w:tr>
      <w:tr>
        <w:trPr>
          <w:trHeight w:val="176"/>
        </w:trPr>
        <w:tc>
          <w:tcPr>
            <w:tcW w:w="6540" w:type="dxa"/>
            <w:vAlign w:val="bottom"/>
          </w:tcPr>
          <w:p>
            <w:pPr>
              <w:ind w:left="20"/>
              <w:spacing w:after="0"/>
              <w:rPr>
                <w:sz w:val="20"/>
                <w:szCs w:val="20"/>
                <w:color w:val="auto"/>
              </w:rPr>
            </w:pPr>
            <w:r>
              <w:rPr>
                <w:rFonts w:ascii="Arial" w:cs="Arial" w:eastAsia="Arial" w:hAnsi="Arial"/>
                <w:sz w:val="13"/>
                <w:szCs w:val="13"/>
                <w:b w:val="1"/>
                <w:bCs w:val="1"/>
                <w:color w:val="auto"/>
              </w:rPr>
              <w:t>Total Medicare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156,559</w:t>
            </w:r>
          </w:p>
        </w:tc>
        <w:tc>
          <w:tcPr>
            <w:tcW w:w="8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103,295</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333,130</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225,763</w:t>
            </w: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The following tables present the number of Approved Submissions by product relating to commissionable policies for the Medicare segments for three and six months ended June 30, 2021 and 2020. Only commissionable policies are used to calculate LTV.</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40" w:type="dxa"/>
            <w:vAlign w:val="bottom"/>
          </w:tcPr>
          <w:p>
            <w:pPr>
              <w:spacing w:after="0"/>
              <w:rPr>
                <w:sz w:val="13"/>
                <w:szCs w:val="13"/>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Three months</w:t>
            </w:r>
          </w:p>
        </w:tc>
        <w:tc>
          <w:tcPr>
            <w:tcW w:w="12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Three months</w:t>
            </w:r>
          </w:p>
        </w:tc>
        <w:tc>
          <w:tcPr>
            <w:tcW w:w="12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Six months</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6"/>
              </w:rPr>
              <w:t>Six months</w:t>
            </w:r>
          </w:p>
        </w:tc>
        <w:tc>
          <w:tcPr>
            <w:tcW w:w="0" w:type="dxa"/>
            <w:vAlign w:val="bottom"/>
          </w:tcPr>
          <w:p>
            <w:pPr>
              <w:spacing w:after="0"/>
              <w:rPr>
                <w:sz w:val="1"/>
                <w:szCs w:val="1"/>
                <w:color w:val="auto"/>
              </w:rPr>
            </w:pPr>
          </w:p>
        </w:tc>
      </w:tr>
      <w:tr>
        <w:trPr>
          <w:trHeight w:val="122"/>
        </w:trPr>
        <w:tc>
          <w:tcPr>
            <w:tcW w:w="65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Medicare - Internal Commissionable Approved Submissions</w:t>
            </w:r>
          </w:p>
        </w:tc>
        <w:tc>
          <w:tcPr>
            <w:tcW w:w="118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ended Jun. 30,</w:t>
            </w:r>
          </w:p>
        </w:tc>
        <w:tc>
          <w:tcPr>
            <w:tcW w:w="12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ended Jun. 30,</w:t>
            </w:r>
          </w:p>
        </w:tc>
        <w:tc>
          <w:tcPr>
            <w:tcW w:w="12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7"/>
              </w:rPr>
              <w:t>ended Jun. 30,</w:t>
            </w:r>
          </w:p>
        </w:tc>
        <w:tc>
          <w:tcPr>
            <w:tcW w:w="1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ended Jun. 30,</w:t>
            </w:r>
          </w:p>
        </w:tc>
        <w:tc>
          <w:tcPr>
            <w:tcW w:w="0" w:type="dxa"/>
            <w:vAlign w:val="bottom"/>
          </w:tcPr>
          <w:p>
            <w:pPr>
              <w:spacing w:after="0"/>
              <w:rPr>
                <w:sz w:val="1"/>
                <w:szCs w:val="1"/>
                <w:color w:val="auto"/>
              </w:rPr>
            </w:pPr>
          </w:p>
        </w:tc>
      </w:tr>
      <w:tr>
        <w:trPr>
          <w:trHeight w:val="173"/>
        </w:trPr>
        <w:tc>
          <w:tcPr>
            <w:tcW w:w="6540" w:type="dxa"/>
            <w:vAlign w:val="bottom"/>
            <w:tcBorders>
              <w:bottom w:val="single" w:sz="8" w:color="CCEEFF"/>
            </w:tcBorders>
            <w:vMerge w:val="continue"/>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72"/>
        </w:trPr>
        <w:tc>
          <w:tcPr>
            <w:tcW w:w="6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Medicare Advantage</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121,299</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67,818</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250,185</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151,426</w:t>
            </w:r>
          </w:p>
        </w:tc>
        <w:tc>
          <w:tcPr>
            <w:tcW w:w="0" w:type="dxa"/>
            <w:vAlign w:val="bottom"/>
          </w:tcPr>
          <w:p>
            <w:pPr>
              <w:spacing w:after="0"/>
              <w:rPr>
                <w:sz w:val="1"/>
                <w:szCs w:val="1"/>
                <w:color w:val="auto"/>
              </w:rPr>
            </w:pPr>
          </w:p>
        </w:tc>
      </w:tr>
      <w:tr>
        <w:trPr>
          <w:trHeight w:val="168"/>
        </w:trPr>
        <w:tc>
          <w:tcPr>
            <w:tcW w:w="6540" w:type="dxa"/>
            <w:vAlign w:val="bottom"/>
          </w:tcPr>
          <w:p>
            <w:pPr>
              <w:ind w:left="20"/>
              <w:spacing w:after="0"/>
              <w:rPr>
                <w:sz w:val="20"/>
                <w:szCs w:val="20"/>
                <w:color w:val="auto"/>
              </w:rPr>
            </w:pPr>
            <w:r>
              <w:rPr>
                <w:rFonts w:ascii="Arial" w:cs="Arial" w:eastAsia="Arial" w:hAnsi="Arial"/>
                <w:sz w:val="13"/>
                <w:szCs w:val="13"/>
                <w:color w:val="auto"/>
              </w:rPr>
              <w:t>Medicare Supplement</w:t>
            </w:r>
          </w:p>
        </w:tc>
        <w:tc>
          <w:tcPr>
            <w:tcW w:w="1100" w:type="dxa"/>
            <w:vAlign w:val="bottom"/>
          </w:tcPr>
          <w:p>
            <w:pPr>
              <w:jc w:val="right"/>
              <w:spacing w:after="0"/>
              <w:rPr>
                <w:sz w:val="20"/>
                <w:szCs w:val="20"/>
                <w:color w:val="auto"/>
              </w:rPr>
            </w:pPr>
            <w:r>
              <w:rPr>
                <w:rFonts w:ascii="Arial" w:cs="Arial" w:eastAsia="Arial" w:hAnsi="Arial"/>
                <w:sz w:val="13"/>
                <w:szCs w:val="13"/>
                <w:color w:val="auto"/>
              </w:rPr>
              <w:t>268</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465</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519</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1,287</w:t>
            </w:r>
          </w:p>
        </w:tc>
        <w:tc>
          <w:tcPr>
            <w:tcW w:w="0" w:type="dxa"/>
            <w:vAlign w:val="bottom"/>
          </w:tcPr>
          <w:p>
            <w:pPr>
              <w:spacing w:after="0"/>
              <w:rPr>
                <w:sz w:val="1"/>
                <w:szCs w:val="1"/>
                <w:color w:val="auto"/>
              </w:rPr>
            </w:pPr>
          </w:p>
        </w:tc>
      </w:tr>
      <w:tr>
        <w:trPr>
          <w:trHeight w:val="177"/>
        </w:trPr>
        <w:tc>
          <w:tcPr>
            <w:tcW w:w="6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Prescription Drug Plans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2,033</w:t>
            </w:r>
          </w:p>
        </w:tc>
        <w:tc>
          <w:tcPr>
            <w:tcW w:w="8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1,571</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4,317</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3,745</w:t>
            </w:r>
          </w:p>
        </w:tc>
        <w:tc>
          <w:tcPr>
            <w:tcW w:w="0" w:type="dxa"/>
            <w:vAlign w:val="bottom"/>
          </w:tcPr>
          <w:p>
            <w:pPr>
              <w:spacing w:after="0"/>
              <w:rPr>
                <w:sz w:val="1"/>
                <w:szCs w:val="1"/>
                <w:color w:val="auto"/>
              </w:rPr>
            </w:pPr>
          </w:p>
        </w:tc>
      </w:tr>
      <w:tr>
        <w:trPr>
          <w:trHeight w:val="175"/>
        </w:trPr>
        <w:tc>
          <w:tcPr>
            <w:tcW w:w="6540" w:type="dxa"/>
            <w:vAlign w:val="bottom"/>
          </w:tcPr>
          <w:p>
            <w:pPr>
              <w:ind w:left="20"/>
              <w:spacing w:after="0"/>
              <w:rPr>
                <w:sz w:val="20"/>
                <w:szCs w:val="20"/>
                <w:color w:val="auto"/>
              </w:rPr>
            </w:pPr>
            <w:r>
              <w:rPr>
                <w:rFonts w:ascii="Arial" w:cs="Arial" w:eastAsia="Arial" w:hAnsi="Arial"/>
                <w:sz w:val="13"/>
                <w:szCs w:val="13"/>
                <w:b w:val="1"/>
                <w:bCs w:val="1"/>
                <w:color w:val="auto"/>
              </w:rPr>
              <w:t>Total Medicare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123,600</w:t>
            </w:r>
          </w:p>
        </w:tc>
        <w:tc>
          <w:tcPr>
            <w:tcW w:w="8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69,854</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255,021</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156,458</w:t>
            </w: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6540" w:type="dxa"/>
            <w:vAlign w:val="bottom"/>
          </w:tcPr>
          <w:p>
            <w:pPr>
              <w:spacing w:after="0"/>
              <w:rPr>
                <w:sz w:val="24"/>
                <w:szCs w:val="24"/>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Three months</w:t>
            </w:r>
          </w:p>
        </w:tc>
        <w:tc>
          <w:tcPr>
            <w:tcW w:w="12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Three months</w:t>
            </w:r>
          </w:p>
        </w:tc>
        <w:tc>
          <w:tcPr>
            <w:tcW w:w="12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Six months</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6"/>
              </w:rPr>
              <w:t>Six months</w:t>
            </w:r>
          </w:p>
        </w:tc>
        <w:tc>
          <w:tcPr>
            <w:tcW w:w="0" w:type="dxa"/>
            <w:vAlign w:val="bottom"/>
          </w:tcPr>
          <w:p>
            <w:pPr>
              <w:spacing w:after="0"/>
              <w:rPr>
                <w:sz w:val="1"/>
                <w:szCs w:val="1"/>
                <w:color w:val="auto"/>
              </w:rPr>
            </w:pPr>
          </w:p>
        </w:tc>
      </w:tr>
      <w:tr>
        <w:trPr>
          <w:trHeight w:val="122"/>
        </w:trPr>
        <w:tc>
          <w:tcPr>
            <w:tcW w:w="65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Medicare - External Commissionable Approved Submissions</w:t>
            </w:r>
          </w:p>
        </w:tc>
        <w:tc>
          <w:tcPr>
            <w:tcW w:w="118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ended Jun. 30,</w:t>
            </w:r>
          </w:p>
        </w:tc>
        <w:tc>
          <w:tcPr>
            <w:tcW w:w="12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ended Jun. 30,</w:t>
            </w:r>
          </w:p>
        </w:tc>
        <w:tc>
          <w:tcPr>
            <w:tcW w:w="12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7"/>
              </w:rPr>
              <w:t>ended Jun. 30,</w:t>
            </w:r>
          </w:p>
        </w:tc>
        <w:tc>
          <w:tcPr>
            <w:tcW w:w="1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ended Jun. 30,</w:t>
            </w:r>
          </w:p>
        </w:tc>
        <w:tc>
          <w:tcPr>
            <w:tcW w:w="0" w:type="dxa"/>
            <w:vAlign w:val="bottom"/>
          </w:tcPr>
          <w:p>
            <w:pPr>
              <w:spacing w:after="0"/>
              <w:rPr>
                <w:sz w:val="1"/>
                <w:szCs w:val="1"/>
                <w:color w:val="auto"/>
              </w:rPr>
            </w:pPr>
          </w:p>
        </w:tc>
      </w:tr>
      <w:tr>
        <w:trPr>
          <w:trHeight w:val="173"/>
        </w:trPr>
        <w:tc>
          <w:tcPr>
            <w:tcW w:w="6540" w:type="dxa"/>
            <w:vAlign w:val="bottom"/>
            <w:tcBorders>
              <w:bottom w:val="single" w:sz="8" w:color="CCEEFF"/>
            </w:tcBorders>
            <w:vMerge w:val="continue"/>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72"/>
        </w:trPr>
        <w:tc>
          <w:tcPr>
            <w:tcW w:w="6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Medicare Advantage</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31,450</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28,979</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73,691</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61,266</w:t>
            </w:r>
          </w:p>
        </w:tc>
        <w:tc>
          <w:tcPr>
            <w:tcW w:w="0" w:type="dxa"/>
            <w:vAlign w:val="bottom"/>
          </w:tcPr>
          <w:p>
            <w:pPr>
              <w:spacing w:after="0"/>
              <w:rPr>
                <w:sz w:val="1"/>
                <w:szCs w:val="1"/>
                <w:color w:val="auto"/>
              </w:rPr>
            </w:pPr>
          </w:p>
        </w:tc>
      </w:tr>
      <w:tr>
        <w:trPr>
          <w:trHeight w:val="168"/>
        </w:trPr>
        <w:tc>
          <w:tcPr>
            <w:tcW w:w="6540" w:type="dxa"/>
            <w:vAlign w:val="bottom"/>
          </w:tcPr>
          <w:p>
            <w:pPr>
              <w:ind w:left="20"/>
              <w:spacing w:after="0"/>
              <w:rPr>
                <w:sz w:val="20"/>
                <w:szCs w:val="20"/>
                <w:color w:val="auto"/>
              </w:rPr>
            </w:pPr>
            <w:r>
              <w:rPr>
                <w:rFonts w:ascii="Arial" w:cs="Arial" w:eastAsia="Arial" w:hAnsi="Arial"/>
                <w:sz w:val="13"/>
                <w:szCs w:val="13"/>
                <w:color w:val="auto"/>
              </w:rPr>
              <w:t>Medicare Supplement</w:t>
            </w:r>
          </w:p>
        </w:tc>
        <w:tc>
          <w:tcPr>
            <w:tcW w:w="1100" w:type="dxa"/>
            <w:vAlign w:val="bottom"/>
          </w:tcPr>
          <w:p>
            <w:pPr>
              <w:jc w:val="right"/>
              <w:spacing w:after="0"/>
              <w:rPr>
                <w:sz w:val="20"/>
                <w:szCs w:val="20"/>
                <w:color w:val="auto"/>
              </w:rPr>
            </w:pPr>
            <w:r>
              <w:rPr>
                <w:rFonts w:ascii="Arial" w:cs="Arial" w:eastAsia="Arial" w:hAnsi="Arial"/>
                <w:sz w:val="13"/>
                <w:szCs w:val="13"/>
                <w:color w:val="auto"/>
              </w:rPr>
              <w:t>665</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1,633</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1,396</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3,191</w:t>
            </w:r>
          </w:p>
        </w:tc>
        <w:tc>
          <w:tcPr>
            <w:tcW w:w="0" w:type="dxa"/>
            <w:vAlign w:val="bottom"/>
          </w:tcPr>
          <w:p>
            <w:pPr>
              <w:spacing w:after="0"/>
              <w:rPr>
                <w:sz w:val="1"/>
                <w:szCs w:val="1"/>
                <w:color w:val="auto"/>
              </w:rPr>
            </w:pPr>
          </w:p>
        </w:tc>
      </w:tr>
      <w:tr>
        <w:trPr>
          <w:trHeight w:val="177"/>
        </w:trPr>
        <w:tc>
          <w:tcPr>
            <w:tcW w:w="6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Prescription Drug Plans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236</w:t>
            </w:r>
          </w:p>
        </w:tc>
        <w:tc>
          <w:tcPr>
            <w:tcW w:w="8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405</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525</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854</w:t>
            </w:r>
          </w:p>
        </w:tc>
        <w:tc>
          <w:tcPr>
            <w:tcW w:w="0" w:type="dxa"/>
            <w:vAlign w:val="bottom"/>
          </w:tcPr>
          <w:p>
            <w:pPr>
              <w:spacing w:after="0"/>
              <w:rPr>
                <w:sz w:val="1"/>
                <w:szCs w:val="1"/>
                <w:color w:val="auto"/>
              </w:rPr>
            </w:pPr>
          </w:p>
        </w:tc>
      </w:tr>
      <w:tr>
        <w:trPr>
          <w:trHeight w:val="175"/>
        </w:trPr>
        <w:tc>
          <w:tcPr>
            <w:tcW w:w="6540" w:type="dxa"/>
            <w:vAlign w:val="bottom"/>
          </w:tcPr>
          <w:p>
            <w:pPr>
              <w:ind w:left="20"/>
              <w:spacing w:after="0"/>
              <w:rPr>
                <w:sz w:val="20"/>
                <w:szCs w:val="20"/>
                <w:color w:val="auto"/>
              </w:rPr>
            </w:pPr>
            <w:r>
              <w:rPr>
                <w:rFonts w:ascii="Arial" w:cs="Arial" w:eastAsia="Arial" w:hAnsi="Arial"/>
                <w:sz w:val="13"/>
                <w:szCs w:val="13"/>
                <w:b w:val="1"/>
                <w:bCs w:val="1"/>
                <w:color w:val="auto"/>
              </w:rPr>
              <w:t>Total Medicare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32,351</w:t>
            </w:r>
          </w:p>
        </w:tc>
        <w:tc>
          <w:tcPr>
            <w:tcW w:w="8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31,017</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75,612</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65,311</w:t>
            </w: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following table presents the LTV per Approved Submission by product for the Medicare segments for the three and six months ended June 30, 2021 and 2020:</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7"/>
              </w:rPr>
              <w:t>Three months</w:t>
            </w:r>
          </w:p>
        </w:tc>
        <w:tc>
          <w:tcPr>
            <w:tcW w:w="100" w:type="dxa"/>
            <w:vAlign w:val="bottom"/>
          </w:tcPr>
          <w:p>
            <w:pPr>
              <w:spacing w:after="0"/>
              <w:rPr>
                <w:sz w:val="12"/>
                <w:szCs w:val="12"/>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7"/>
              </w:rPr>
              <w:t>Three months</w:t>
            </w:r>
          </w:p>
        </w:tc>
        <w:tc>
          <w:tcPr>
            <w:tcW w:w="100" w:type="dxa"/>
            <w:vAlign w:val="bottom"/>
          </w:tcPr>
          <w:p>
            <w:pPr>
              <w:spacing w:after="0"/>
              <w:rPr>
                <w:sz w:val="12"/>
                <w:szCs w:val="12"/>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Six months</w:t>
            </w:r>
          </w:p>
        </w:tc>
        <w:tc>
          <w:tcPr>
            <w:tcW w:w="100" w:type="dxa"/>
            <w:vAlign w:val="bottom"/>
          </w:tcPr>
          <w:p>
            <w:pPr>
              <w:spacing w:after="0"/>
              <w:rPr>
                <w:sz w:val="12"/>
                <w:szCs w:val="12"/>
                <w:color w:val="auto"/>
              </w:rPr>
            </w:pPr>
          </w:p>
        </w:tc>
        <w:tc>
          <w:tcPr>
            <w:tcW w:w="100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Six months</w:t>
            </w:r>
          </w:p>
        </w:tc>
        <w:tc>
          <w:tcPr>
            <w:tcW w:w="0" w:type="dxa"/>
            <w:vAlign w:val="bottom"/>
          </w:tcPr>
          <w:p>
            <w:pPr>
              <w:spacing w:after="0"/>
              <w:rPr>
                <w:sz w:val="1"/>
                <w:szCs w:val="1"/>
                <w:color w:val="auto"/>
              </w:rPr>
            </w:pPr>
          </w:p>
        </w:tc>
      </w:tr>
      <w:tr>
        <w:trPr>
          <w:trHeight w:val="122"/>
        </w:trPr>
        <w:tc>
          <w:tcPr>
            <w:tcW w:w="642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LTV per Approved Submission</w:t>
            </w:r>
          </w:p>
        </w:tc>
        <w:tc>
          <w:tcPr>
            <w:tcW w:w="100" w:type="dxa"/>
            <w:vAlign w:val="bottom"/>
          </w:tcPr>
          <w:p>
            <w:pPr>
              <w:spacing w:after="0"/>
              <w:rPr>
                <w:sz w:val="10"/>
                <w:szCs w:val="10"/>
                <w:color w:val="auto"/>
              </w:rPr>
            </w:pPr>
          </w:p>
        </w:tc>
        <w:tc>
          <w:tcPr>
            <w:tcW w:w="1140" w:type="dxa"/>
            <w:vAlign w:val="bottom"/>
            <w:gridSpan w:val="2"/>
          </w:tcPr>
          <w:p>
            <w:pPr>
              <w:ind w:left="20"/>
              <w:spacing w:after="0" w:line="122" w:lineRule="exact"/>
              <w:rPr>
                <w:sz w:val="20"/>
                <w:szCs w:val="20"/>
                <w:color w:val="auto"/>
              </w:rPr>
            </w:pPr>
            <w:r>
              <w:rPr>
                <w:rFonts w:ascii="Arial" w:cs="Arial" w:eastAsia="Arial" w:hAnsi="Arial"/>
                <w:sz w:val="13"/>
                <w:szCs w:val="13"/>
                <w:b w:val="1"/>
                <w:bCs w:val="1"/>
                <w:color w:val="auto"/>
              </w:rPr>
              <w:t>ended Jun. 30,</w:t>
            </w:r>
          </w:p>
        </w:tc>
        <w:tc>
          <w:tcPr>
            <w:tcW w:w="100" w:type="dxa"/>
            <w:vAlign w:val="bottom"/>
          </w:tcPr>
          <w:p>
            <w:pPr>
              <w:spacing w:after="0"/>
              <w:rPr>
                <w:sz w:val="10"/>
                <w:szCs w:val="10"/>
                <w:color w:val="auto"/>
              </w:rPr>
            </w:pPr>
          </w:p>
        </w:tc>
        <w:tc>
          <w:tcPr>
            <w:tcW w:w="1140" w:type="dxa"/>
            <w:vAlign w:val="bottom"/>
            <w:gridSpan w:val="2"/>
          </w:tcPr>
          <w:p>
            <w:pPr>
              <w:ind w:left="20"/>
              <w:spacing w:after="0" w:line="122" w:lineRule="exact"/>
              <w:rPr>
                <w:sz w:val="20"/>
                <w:szCs w:val="20"/>
                <w:color w:val="auto"/>
              </w:rPr>
            </w:pPr>
            <w:r>
              <w:rPr>
                <w:rFonts w:ascii="Arial" w:cs="Arial" w:eastAsia="Arial" w:hAnsi="Arial"/>
                <w:sz w:val="13"/>
                <w:szCs w:val="13"/>
                <w:b w:val="1"/>
                <w:bCs w:val="1"/>
                <w:color w:val="auto"/>
              </w:rPr>
              <w:t>ended Jun. 30,</w:t>
            </w:r>
          </w:p>
        </w:tc>
        <w:tc>
          <w:tcPr>
            <w:tcW w:w="100" w:type="dxa"/>
            <w:vAlign w:val="bottom"/>
          </w:tcPr>
          <w:p>
            <w:pPr>
              <w:spacing w:after="0"/>
              <w:rPr>
                <w:sz w:val="10"/>
                <w:szCs w:val="10"/>
                <w:color w:val="auto"/>
              </w:rPr>
            </w:pPr>
          </w:p>
        </w:tc>
        <w:tc>
          <w:tcPr>
            <w:tcW w:w="11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5"/>
              </w:rPr>
              <w:t>ended Jun. 30,</w:t>
            </w:r>
          </w:p>
        </w:tc>
        <w:tc>
          <w:tcPr>
            <w:tcW w:w="100" w:type="dxa"/>
            <w:vAlign w:val="bottom"/>
          </w:tcPr>
          <w:p>
            <w:pPr>
              <w:spacing w:after="0"/>
              <w:rPr>
                <w:sz w:val="10"/>
                <w:szCs w:val="10"/>
                <w:color w:val="auto"/>
              </w:rPr>
            </w:pPr>
          </w:p>
        </w:tc>
        <w:tc>
          <w:tcPr>
            <w:tcW w:w="100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97"/>
              </w:rPr>
              <w:t>ended Jun. 30,</w:t>
            </w:r>
          </w:p>
        </w:tc>
        <w:tc>
          <w:tcPr>
            <w:tcW w:w="0" w:type="dxa"/>
            <w:vAlign w:val="bottom"/>
          </w:tcPr>
          <w:p>
            <w:pPr>
              <w:spacing w:after="0"/>
              <w:rPr>
                <w:sz w:val="1"/>
                <w:szCs w:val="1"/>
                <w:color w:val="auto"/>
              </w:rPr>
            </w:pPr>
          </w:p>
        </w:tc>
      </w:tr>
      <w:tr>
        <w:trPr>
          <w:trHeight w:val="173"/>
        </w:trPr>
        <w:tc>
          <w:tcPr>
            <w:tcW w:w="642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6"/>
              </w:rPr>
              <w:t>2021</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72"/>
        </w:trPr>
        <w:tc>
          <w:tcPr>
            <w:tcW w:w="6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Medicare Advantage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953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905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975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877</w:t>
            </w:r>
          </w:p>
        </w:tc>
        <w:tc>
          <w:tcPr>
            <w:tcW w:w="0" w:type="dxa"/>
            <w:vAlign w:val="bottom"/>
          </w:tcPr>
          <w:p>
            <w:pPr>
              <w:spacing w:after="0"/>
              <w:rPr>
                <w:sz w:val="1"/>
                <w:szCs w:val="1"/>
                <w:color w:val="auto"/>
              </w:rPr>
            </w:pPr>
          </w:p>
        </w:tc>
      </w:tr>
      <w:tr>
        <w:trPr>
          <w:trHeight w:val="167"/>
        </w:trPr>
        <w:tc>
          <w:tcPr>
            <w:tcW w:w="6420" w:type="dxa"/>
            <w:vAlign w:val="bottom"/>
          </w:tcPr>
          <w:p>
            <w:pPr>
              <w:ind w:left="20"/>
              <w:spacing w:after="0"/>
              <w:rPr>
                <w:sz w:val="20"/>
                <w:szCs w:val="20"/>
                <w:color w:val="auto"/>
              </w:rPr>
            </w:pPr>
            <w:r>
              <w:rPr>
                <w:rFonts w:ascii="Arial" w:cs="Arial" w:eastAsia="Arial" w:hAnsi="Arial"/>
                <w:sz w:val="13"/>
                <w:szCs w:val="13"/>
                <w:color w:val="auto"/>
              </w:rPr>
              <w:t>Medicare Supplement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846</w:t>
            </w:r>
          </w:p>
        </w:tc>
        <w:tc>
          <w:tcPr>
            <w:tcW w:w="1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937</w:t>
            </w:r>
          </w:p>
        </w:tc>
        <w:tc>
          <w:tcPr>
            <w:tcW w:w="1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821</w:t>
            </w:r>
          </w:p>
        </w:tc>
        <w:tc>
          <w:tcPr>
            <w:tcW w:w="1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928</w:t>
            </w:r>
          </w:p>
        </w:tc>
        <w:tc>
          <w:tcPr>
            <w:tcW w:w="0" w:type="dxa"/>
            <w:vAlign w:val="bottom"/>
          </w:tcPr>
          <w:p>
            <w:pPr>
              <w:spacing w:after="0"/>
              <w:rPr>
                <w:sz w:val="1"/>
                <w:szCs w:val="1"/>
                <w:color w:val="auto"/>
              </w:rPr>
            </w:pPr>
          </w:p>
        </w:tc>
      </w:tr>
      <w:tr>
        <w:trPr>
          <w:trHeight w:val="184"/>
        </w:trPr>
        <w:tc>
          <w:tcPr>
            <w:tcW w:w="6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Prescription Drug Plans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215</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215</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215</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216</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right="100"/>
        <w:spacing w:after="0" w:line="260" w:lineRule="auto"/>
        <w:rPr>
          <w:sz w:val="20"/>
          <w:szCs w:val="20"/>
          <w:color w:val="auto"/>
        </w:rPr>
      </w:pPr>
      <w:r>
        <w:rPr>
          <w:rFonts w:ascii="Arial" w:cs="Arial" w:eastAsia="Arial" w:hAnsi="Arial"/>
          <w:sz w:val="16"/>
          <w:szCs w:val="16"/>
          <w:color w:val="auto"/>
        </w:rPr>
        <w:t>The following table presents the number of Submitted Policies by product for the Medicare segments for the three and six months ended June 30, 2021 and 2020, for those submissions that are non-commissionable (compensated via hourly fees and enrollment fees) and do not result in commission revenue: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4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Three months</w:t>
            </w:r>
          </w:p>
        </w:tc>
        <w:tc>
          <w:tcPr>
            <w:tcW w:w="12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Three months</w:t>
            </w:r>
          </w:p>
        </w:tc>
        <w:tc>
          <w:tcPr>
            <w:tcW w:w="12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Six months</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6"/>
              </w:rPr>
              <w:t>Six months</w:t>
            </w:r>
          </w:p>
        </w:tc>
        <w:tc>
          <w:tcPr>
            <w:tcW w:w="0" w:type="dxa"/>
            <w:vAlign w:val="bottom"/>
          </w:tcPr>
          <w:p>
            <w:pPr>
              <w:spacing w:after="0"/>
              <w:rPr>
                <w:sz w:val="1"/>
                <w:szCs w:val="1"/>
                <w:color w:val="auto"/>
              </w:rPr>
            </w:pPr>
          </w:p>
        </w:tc>
      </w:tr>
      <w:tr>
        <w:trPr>
          <w:trHeight w:val="121"/>
        </w:trPr>
        <w:tc>
          <w:tcPr>
            <w:tcW w:w="65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Medicare - Total Non-Commissionable Submitted Policies</w:t>
            </w:r>
          </w:p>
        </w:tc>
        <w:tc>
          <w:tcPr>
            <w:tcW w:w="118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ended Jun. 30,</w:t>
            </w:r>
          </w:p>
        </w:tc>
        <w:tc>
          <w:tcPr>
            <w:tcW w:w="12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ended Jun. 30,</w:t>
            </w:r>
          </w:p>
        </w:tc>
        <w:tc>
          <w:tcPr>
            <w:tcW w:w="12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7"/>
              </w:rPr>
              <w:t>ended Jun. 30,</w:t>
            </w:r>
          </w:p>
        </w:tc>
        <w:tc>
          <w:tcPr>
            <w:tcW w:w="1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ended Jun. 30,</w:t>
            </w:r>
          </w:p>
        </w:tc>
        <w:tc>
          <w:tcPr>
            <w:tcW w:w="0" w:type="dxa"/>
            <w:vAlign w:val="bottom"/>
          </w:tcPr>
          <w:p>
            <w:pPr>
              <w:spacing w:after="0"/>
              <w:rPr>
                <w:sz w:val="1"/>
                <w:szCs w:val="1"/>
                <w:color w:val="auto"/>
              </w:rPr>
            </w:pPr>
          </w:p>
        </w:tc>
      </w:tr>
      <w:tr>
        <w:trPr>
          <w:trHeight w:val="173"/>
        </w:trPr>
        <w:tc>
          <w:tcPr>
            <w:tcW w:w="6540" w:type="dxa"/>
            <w:vAlign w:val="bottom"/>
            <w:tcBorders>
              <w:bottom w:val="single" w:sz="8" w:color="CCEEFF"/>
            </w:tcBorders>
            <w:vMerge w:val="continue"/>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72"/>
        </w:trPr>
        <w:tc>
          <w:tcPr>
            <w:tcW w:w="6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Medicare Advantage</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3,232</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7,407</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9,171</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14,334</w:t>
            </w:r>
          </w:p>
        </w:tc>
        <w:tc>
          <w:tcPr>
            <w:tcW w:w="0" w:type="dxa"/>
            <w:vAlign w:val="bottom"/>
          </w:tcPr>
          <w:p>
            <w:pPr>
              <w:spacing w:after="0"/>
              <w:rPr>
                <w:sz w:val="1"/>
                <w:szCs w:val="1"/>
                <w:color w:val="auto"/>
              </w:rPr>
            </w:pPr>
          </w:p>
        </w:tc>
      </w:tr>
      <w:tr>
        <w:trPr>
          <w:trHeight w:val="168"/>
        </w:trPr>
        <w:tc>
          <w:tcPr>
            <w:tcW w:w="6540" w:type="dxa"/>
            <w:vAlign w:val="bottom"/>
          </w:tcPr>
          <w:p>
            <w:pPr>
              <w:ind w:left="20"/>
              <w:spacing w:after="0"/>
              <w:rPr>
                <w:sz w:val="20"/>
                <w:szCs w:val="20"/>
                <w:color w:val="auto"/>
              </w:rPr>
            </w:pPr>
            <w:r>
              <w:rPr>
                <w:rFonts w:ascii="Arial" w:cs="Arial" w:eastAsia="Arial" w:hAnsi="Arial"/>
                <w:sz w:val="13"/>
                <w:szCs w:val="13"/>
                <w:color w:val="auto"/>
              </w:rPr>
              <w:t>Medicare Supplement</w:t>
            </w:r>
          </w:p>
        </w:tc>
        <w:tc>
          <w:tcPr>
            <w:tcW w:w="1100" w:type="dxa"/>
            <w:vAlign w:val="bottom"/>
          </w:tcPr>
          <w:p>
            <w:pPr>
              <w:jc w:val="right"/>
              <w:spacing w:after="0"/>
              <w:rPr>
                <w:sz w:val="20"/>
                <w:szCs w:val="20"/>
                <w:color w:val="auto"/>
              </w:rPr>
            </w:pPr>
            <w:r>
              <w:rPr>
                <w:rFonts w:ascii="Arial" w:cs="Arial" w:eastAsia="Arial" w:hAnsi="Arial"/>
                <w:sz w:val="13"/>
                <w:szCs w:val="13"/>
                <w:color w:val="auto"/>
              </w:rPr>
              <w:t>2,042</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1,734</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3,692</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3,546</w:t>
            </w:r>
          </w:p>
        </w:tc>
        <w:tc>
          <w:tcPr>
            <w:tcW w:w="0" w:type="dxa"/>
            <w:vAlign w:val="bottom"/>
          </w:tcPr>
          <w:p>
            <w:pPr>
              <w:spacing w:after="0"/>
              <w:rPr>
                <w:sz w:val="1"/>
                <w:szCs w:val="1"/>
                <w:color w:val="auto"/>
              </w:rPr>
            </w:pPr>
          </w:p>
        </w:tc>
      </w:tr>
      <w:tr>
        <w:trPr>
          <w:trHeight w:val="177"/>
        </w:trPr>
        <w:tc>
          <w:tcPr>
            <w:tcW w:w="6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Prescription Drug Plans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791</w:t>
            </w:r>
          </w:p>
        </w:tc>
        <w:tc>
          <w:tcPr>
            <w:tcW w:w="8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955</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1,676</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1,753</w:t>
            </w:r>
          </w:p>
        </w:tc>
        <w:tc>
          <w:tcPr>
            <w:tcW w:w="0" w:type="dxa"/>
            <w:vAlign w:val="bottom"/>
          </w:tcPr>
          <w:p>
            <w:pPr>
              <w:spacing w:after="0"/>
              <w:rPr>
                <w:sz w:val="1"/>
                <w:szCs w:val="1"/>
                <w:color w:val="auto"/>
              </w:rPr>
            </w:pPr>
          </w:p>
        </w:tc>
      </w:tr>
      <w:tr>
        <w:trPr>
          <w:trHeight w:val="175"/>
        </w:trPr>
        <w:tc>
          <w:tcPr>
            <w:tcW w:w="6540" w:type="dxa"/>
            <w:vAlign w:val="bottom"/>
          </w:tcPr>
          <w:p>
            <w:pPr>
              <w:ind w:left="20"/>
              <w:spacing w:after="0"/>
              <w:rPr>
                <w:sz w:val="20"/>
                <w:szCs w:val="20"/>
                <w:color w:val="auto"/>
              </w:rPr>
            </w:pPr>
            <w:r>
              <w:rPr>
                <w:rFonts w:ascii="Arial" w:cs="Arial" w:eastAsia="Arial" w:hAnsi="Arial"/>
                <w:sz w:val="13"/>
                <w:szCs w:val="13"/>
                <w:b w:val="1"/>
                <w:bCs w:val="1"/>
                <w:color w:val="auto"/>
              </w:rPr>
              <w:t>Total Medicare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6,065</w:t>
            </w:r>
          </w:p>
        </w:tc>
        <w:tc>
          <w:tcPr>
            <w:tcW w:w="8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10,096</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14,539</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19,633</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0"/>
        </w:trPr>
        <w:tc>
          <w:tcPr>
            <w:tcW w:w="6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7"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The following table presents a reconciliation from net income to non-GAAP Adjusted EBITDA guidance for the twelve months ended December 31, 2021:</w:t>
      </w:r>
    </w:p>
    <w:p>
      <w:pPr>
        <w:spacing w:after="0" w:line="118" w:lineRule="exact"/>
        <w:rPr>
          <w:sz w:val="20"/>
          <w:szCs w:val="20"/>
          <w:color w:val="auto"/>
        </w:rPr>
      </w:pPr>
    </w:p>
    <w:p>
      <w:pPr>
        <w:jc w:val="center"/>
        <w:ind w:left="8700"/>
        <w:spacing w:after="0"/>
        <w:rPr>
          <w:sz w:val="20"/>
          <w:szCs w:val="20"/>
          <w:color w:val="auto"/>
        </w:rPr>
      </w:pPr>
      <w:r>
        <w:rPr>
          <w:rFonts w:ascii="Arial" w:cs="Arial" w:eastAsia="Arial" w:hAnsi="Arial"/>
          <w:sz w:val="13"/>
          <w:szCs w:val="13"/>
          <w:b w:val="1"/>
          <w:bCs w:val="1"/>
          <w:color w:val="auto"/>
        </w:rPr>
        <w:t>Twelve months ended</w:t>
      </w:r>
    </w:p>
    <w:p>
      <w:pPr>
        <w:jc w:val="center"/>
        <w:ind w:left="8700"/>
        <w:spacing w:after="0"/>
        <w:rPr>
          <w:sz w:val="20"/>
          <w:szCs w:val="20"/>
          <w:color w:val="auto"/>
        </w:rPr>
      </w:pPr>
      <w:r>
        <w:rPr>
          <w:rFonts w:ascii="Arial" w:cs="Arial" w:eastAsia="Arial" w:hAnsi="Arial"/>
          <w:sz w:val="13"/>
          <w:szCs w:val="13"/>
          <w:b w:val="1"/>
          <w:bCs w:val="1"/>
          <w:color w:val="auto"/>
        </w:rPr>
        <w:t>Dec. 31, 2021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72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Guidance Range</w:t>
            </w:r>
          </w:p>
        </w:tc>
        <w:tc>
          <w:tcPr>
            <w:tcW w:w="760" w:type="dxa"/>
            <w:vAlign w:val="bottom"/>
            <w:tcBorders>
              <w:top w:val="single" w:sz="8" w:color="auto"/>
              <w:bottom w:val="single" w:sz="8" w:color="auto"/>
            </w:tcBorders>
          </w:tcPr>
          <w:p>
            <w:pPr>
              <w:spacing w:after="0"/>
              <w:rPr>
                <w:sz w:val="15"/>
                <w:szCs w:val="15"/>
                <w:color w:val="auto"/>
              </w:rPr>
            </w:pPr>
          </w:p>
        </w:tc>
      </w:tr>
      <w:tr>
        <w:trPr>
          <w:trHeight w:val="172"/>
        </w:trPr>
        <w:tc>
          <w:tcPr>
            <w:tcW w:w="8720" w:type="dxa"/>
            <w:vAlign w:val="bottom"/>
          </w:tcPr>
          <w:p>
            <w:pPr>
              <w:ind w:left="20"/>
              <w:spacing w:after="0"/>
              <w:rPr>
                <w:sz w:val="20"/>
                <w:szCs w:val="20"/>
                <w:color w:val="auto"/>
              </w:rPr>
            </w:pPr>
            <w:r>
              <w:rPr>
                <w:rFonts w:ascii="Arial" w:cs="Arial" w:eastAsia="Arial" w:hAnsi="Arial"/>
                <w:sz w:val="13"/>
                <w:szCs w:val="13"/>
                <w:color w:val="auto"/>
              </w:rPr>
              <w:t>(in thousands)</w:t>
            </w:r>
          </w:p>
        </w:tc>
        <w:tc>
          <w:tcPr>
            <w:tcW w:w="280" w:type="dxa"/>
            <w:vAlign w:val="bottom"/>
          </w:tcPr>
          <w:p>
            <w:pPr>
              <w:spacing w:after="0"/>
              <w:rPr>
                <w:sz w:val="14"/>
                <w:szCs w:val="14"/>
                <w:color w:val="auto"/>
              </w:rPr>
            </w:pPr>
          </w:p>
        </w:tc>
        <w:tc>
          <w:tcPr>
            <w:tcW w:w="1020" w:type="dxa"/>
            <w:vAlign w:val="bottom"/>
            <w:gridSpan w:val="2"/>
          </w:tcPr>
          <w:p>
            <w:pPr>
              <w:ind w:left="200"/>
              <w:spacing w:after="0"/>
              <w:rPr>
                <w:sz w:val="20"/>
                <w:szCs w:val="20"/>
                <w:color w:val="auto"/>
              </w:rPr>
            </w:pPr>
            <w:r>
              <w:rPr>
                <w:rFonts w:ascii="Arial" w:cs="Arial" w:eastAsia="Arial" w:hAnsi="Arial"/>
                <w:sz w:val="13"/>
                <w:szCs w:val="13"/>
                <w:b w:val="1"/>
                <w:bCs w:val="1"/>
                <w:color w:val="auto"/>
              </w:rPr>
              <w:t>Low</w:t>
            </w:r>
          </w:p>
        </w:tc>
        <w:tc>
          <w:tcPr>
            <w:tcW w:w="460" w:type="dxa"/>
            <w:vAlign w:val="bottom"/>
          </w:tcPr>
          <w:p>
            <w:pPr>
              <w:spacing w:after="0"/>
              <w:rPr>
                <w:sz w:val="14"/>
                <w:szCs w:val="14"/>
                <w:color w:val="auto"/>
              </w:rPr>
            </w:pPr>
          </w:p>
        </w:tc>
        <w:tc>
          <w:tcPr>
            <w:tcW w:w="760" w:type="dxa"/>
            <w:vAlign w:val="bottom"/>
          </w:tcPr>
          <w:p>
            <w:pPr>
              <w:jc w:val="right"/>
              <w:ind w:right="397"/>
              <w:spacing w:after="0"/>
              <w:rPr>
                <w:sz w:val="20"/>
                <w:szCs w:val="20"/>
                <w:color w:val="auto"/>
              </w:rPr>
            </w:pPr>
            <w:r>
              <w:rPr>
                <w:rFonts w:ascii="Arial" w:cs="Arial" w:eastAsia="Arial" w:hAnsi="Arial"/>
                <w:sz w:val="13"/>
                <w:szCs w:val="13"/>
                <w:b w:val="1"/>
                <w:bCs w:val="1"/>
                <w:color w:val="auto"/>
                <w:w w:val="96"/>
              </w:rPr>
              <w:t>High</w:t>
            </w:r>
          </w:p>
        </w:tc>
      </w:tr>
      <w:tr>
        <w:trPr>
          <w:trHeight w:val="173"/>
        </w:trPr>
        <w:tc>
          <w:tcPr>
            <w:tcW w:w="8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28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1,200,000</w:t>
            </w:r>
          </w:p>
        </w:tc>
        <w:tc>
          <w:tcPr>
            <w:tcW w:w="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1,300,000</w:t>
            </w:r>
          </w:p>
        </w:tc>
      </w:tr>
      <w:tr>
        <w:trPr>
          <w:trHeight w:val="161"/>
        </w:trPr>
        <w:tc>
          <w:tcPr>
            <w:tcW w:w="87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280" w:type="dxa"/>
            <w:vAlign w:val="bottom"/>
          </w:tcPr>
          <w:p>
            <w:pPr>
              <w:spacing w:after="0"/>
              <w:rPr>
                <w:sz w:val="14"/>
                <w:szCs w:val="14"/>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127,665</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157,665</w:t>
            </w:r>
          </w:p>
        </w:tc>
      </w:tr>
      <w:tr>
        <w:trPr>
          <w:trHeight w:val="183"/>
        </w:trPr>
        <w:tc>
          <w:tcPr>
            <w:tcW w:w="8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Interest expense</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30,000</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30,000</w:t>
            </w:r>
          </w:p>
        </w:tc>
      </w:tr>
      <w:tr>
        <w:trPr>
          <w:trHeight w:val="168"/>
        </w:trPr>
        <w:tc>
          <w:tcPr>
            <w:tcW w:w="8720" w:type="dxa"/>
            <w:vAlign w:val="bottom"/>
          </w:tcPr>
          <w:p>
            <w:pPr>
              <w:ind w:left="240"/>
              <w:spacing w:after="0"/>
              <w:rPr>
                <w:sz w:val="20"/>
                <w:szCs w:val="20"/>
                <w:color w:val="auto"/>
              </w:rPr>
            </w:pPr>
            <w:r>
              <w:rPr>
                <w:rFonts w:ascii="Arial" w:cs="Arial" w:eastAsia="Arial" w:hAnsi="Arial"/>
                <w:sz w:val="13"/>
                <w:szCs w:val="13"/>
                <w:color w:val="auto"/>
              </w:rPr>
              <w:t>Income tax expense</w:t>
            </w:r>
          </w:p>
        </w:tc>
        <w:tc>
          <w:tcPr>
            <w:tcW w:w="280" w:type="dxa"/>
            <w:vAlign w:val="bottom"/>
          </w:tcPr>
          <w:p>
            <w:pPr>
              <w:spacing w:after="0"/>
              <w:rPr>
                <w:sz w:val="14"/>
                <w:szCs w:val="14"/>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220</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220</w:t>
            </w:r>
          </w:p>
        </w:tc>
      </w:tr>
      <w:tr>
        <w:trPr>
          <w:trHeight w:val="183"/>
        </w:trPr>
        <w:tc>
          <w:tcPr>
            <w:tcW w:w="8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 expense</w:t>
            </w: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102,000</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102,000</w:t>
            </w:r>
          </w:p>
        </w:tc>
      </w:tr>
      <w:tr>
        <w:trPr>
          <w:trHeight w:val="163"/>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EBITDA</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259,885</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289,885</w:t>
            </w:r>
          </w:p>
        </w:tc>
      </w:tr>
      <w:tr>
        <w:trPr>
          <w:trHeight w:val="175"/>
        </w:trPr>
        <w:tc>
          <w:tcPr>
            <w:tcW w:w="8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Loss on extinguishment of debt (1)</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11,935</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11,935</w:t>
            </w:r>
          </w:p>
        </w:tc>
      </w:tr>
      <w:tr>
        <w:trPr>
          <w:trHeight w:val="168"/>
        </w:trPr>
        <w:tc>
          <w:tcPr>
            <w:tcW w:w="8720" w:type="dxa"/>
            <w:vAlign w:val="bottom"/>
          </w:tcPr>
          <w:p>
            <w:pPr>
              <w:ind w:left="240"/>
              <w:spacing w:after="0"/>
              <w:rPr>
                <w:sz w:val="20"/>
                <w:szCs w:val="20"/>
                <w:color w:val="auto"/>
              </w:rPr>
            </w:pPr>
            <w:r>
              <w:rPr>
                <w:rFonts w:ascii="Arial" w:cs="Arial" w:eastAsia="Arial" w:hAnsi="Arial"/>
                <w:sz w:val="13"/>
                <w:szCs w:val="13"/>
                <w:color w:val="auto"/>
              </w:rPr>
              <w:t>Share-based compensation expense (2)</w:t>
            </w:r>
          </w:p>
        </w:tc>
        <w:tc>
          <w:tcPr>
            <w:tcW w:w="280" w:type="dxa"/>
            <w:vAlign w:val="bottom"/>
          </w:tcPr>
          <w:p>
            <w:pPr>
              <w:spacing w:after="0"/>
              <w:rPr>
                <w:sz w:val="14"/>
                <w:szCs w:val="14"/>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28,000</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28,000</w:t>
            </w:r>
          </w:p>
        </w:tc>
      </w:tr>
      <w:tr>
        <w:trPr>
          <w:trHeight w:val="177"/>
        </w:trPr>
        <w:tc>
          <w:tcPr>
            <w:tcW w:w="8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Legal fees (3)</w:t>
            </w: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180</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180</w:t>
            </w:r>
          </w:p>
        </w:tc>
      </w:tr>
      <w:tr>
        <w:trPr>
          <w:trHeight w:val="175"/>
        </w:trPr>
        <w:tc>
          <w:tcPr>
            <w:tcW w:w="8720" w:type="dxa"/>
            <w:vAlign w:val="bottom"/>
          </w:tcPr>
          <w:p>
            <w:pPr>
              <w:ind w:left="20"/>
              <w:spacing w:after="0"/>
              <w:rPr>
                <w:sz w:val="20"/>
                <w:szCs w:val="20"/>
                <w:color w:val="auto"/>
              </w:rPr>
            </w:pPr>
            <w:r>
              <w:rPr>
                <w:rFonts w:ascii="Arial" w:cs="Arial" w:eastAsia="Arial" w:hAnsi="Arial"/>
                <w:sz w:val="13"/>
                <w:szCs w:val="13"/>
                <w:b w:val="1"/>
                <w:bCs w:val="1"/>
                <w:color w:val="auto"/>
              </w:rPr>
              <w:t>Adjusted EBITDA</w:t>
            </w:r>
          </w:p>
        </w:tc>
        <w:tc>
          <w:tcPr>
            <w:tcW w:w="2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82"/>
              </w:rPr>
              <w:t>$</w:t>
            </w:r>
          </w:p>
        </w:tc>
        <w:tc>
          <w:tcPr>
            <w:tcW w:w="9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300,000</w:t>
            </w:r>
          </w:p>
        </w:tc>
        <w:tc>
          <w:tcPr>
            <w:tcW w:w="80" w:type="dxa"/>
            <w:vAlign w:val="bottom"/>
          </w:tcPr>
          <w:p>
            <w:pPr>
              <w:spacing w:after="0"/>
              <w:rPr>
                <w:sz w:val="15"/>
                <w:szCs w:val="15"/>
                <w:color w:val="auto"/>
              </w:rPr>
            </w:pPr>
          </w:p>
        </w:tc>
        <w:tc>
          <w:tcPr>
            <w:tcW w:w="4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330,000</w:t>
            </w:r>
          </w:p>
        </w:tc>
      </w:tr>
      <w:tr>
        <w:trPr>
          <w:trHeight w:val="20"/>
        </w:trPr>
        <w:tc>
          <w:tcPr>
            <w:tcW w:w="8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70"/>
        </w:trPr>
        <w:tc>
          <w:tcPr>
            <w:tcW w:w="8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EBITDA margin</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25 %</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25 %</w:t>
            </w:r>
          </w:p>
        </w:tc>
      </w:tr>
      <w:tr>
        <w:trPr>
          <w:trHeight w:val="237"/>
        </w:trPr>
        <w:tc>
          <w:tcPr>
            <w:tcW w:w="8720" w:type="dxa"/>
            <w:vAlign w:val="bottom"/>
          </w:tcPr>
          <w:p>
            <w:pPr>
              <w:spacing w:after="0"/>
              <w:rPr>
                <w:sz w:val="20"/>
                <w:szCs w:val="20"/>
                <w:color w:val="auto"/>
              </w:rPr>
            </w:pPr>
            <w:r>
              <w:rPr>
                <w:rFonts w:ascii="Arial" w:cs="Arial" w:eastAsia="Arial" w:hAnsi="Arial"/>
                <w:sz w:val="13"/>
                <w:szCs w:val="13"/>
                <w:color w:val="auto"/>
              </w:rPr>
              <w:t>_________________________</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r>
    </w:tbl>
    <w:p>
      <w:pPr>
        <w:ind w:left="320" w:hanging="312"/>
        <w:spacing w:after="0"/>
        <w:tabs>
          <w:tab w:leader="none" w:pos="320" w:val="left"/>
        </w:tabs>
        <w:numPr>
          <w:ilvl w:val="0"/>
          <w:numId w:val="12"/>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loss on debt extinguishment related to the Term Loan Facility.</w:t>
      </w:r>
    </w:p>
    <w:p>
      <w:pPr>
        <w:ind w:left="320" w:hanging="312"/>
        <w:spacing w:after="0"/>
        <w:tabs>
          <w:tab w:leader="none" w:pos="320" w:val="left"/>
        </w:tabs>
        <w:numPr>
          <w:ilvl w:val="0"/>
          <w:numId w:val="12"/>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non-cash share-based compensation expense relating to equity awards.</w:t>
      </w:r>
    </w:p>
    <w:p>
      <w:pPr>
        <w:ind w:left="320" w:hanging="312"/>
        <w:spacing w:after="0"/>
        <w:tabs>
          <w:tab w:leader="none" w:pos="320" w:val="left"/>
        </w:tabs>
        <w:numPr>
          <w:ilvl w:val="0"/>
          <w:numId w:val="12"/>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non-recurring legal fees unrelated to our core operations.</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w:t>
      </w:r>
    </w:p>
    <w:sectPr>
      <w:pgSz w:w="11900" w:h="16838" w:orient="portrait"/>
      <w:cols w:equalWidth="0" w:num="1">
        <w:col w:w="11240"/>
      </w:cols>
      <w:pgMar w:left="320" w:top="89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4"/>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
    <w:nsid w:val="515F007C"/>
    <w:multiLevelType w:val="hybridMultilevel"/>
    <w:lvl w:ilvl="0">
      <w:lvlJc w:val="left"/>
      <w:lvlText w:val="•"/>
      <w:numFmt w:val="bullet"/>
      <w:start w:val="1"/>
    </w:lvl>
    <w:lvl w:ilvl="1">
      <w:lvlJc w:val="left"/>
      <w:lvlText w:val="◦"/>
      <w:numFmt w:val="bullet"/>
      <w:start w:val="1"/>
    </w:lvl>
  </w:abstractNum>
  <w:abstractNum w:abstractNumId="5">
    <w:nsid w:val="5BD062C2"/>
    <w:multiLevelType w:val="hybridMultilevel"/>
    <w:lvl w:ilvl="0">
      <w:lvlJc w:val="left"/>
      <w:lvlText w:val="•"/>
      <w:numFmt w:val="bullet"/>
      <w:start w:val="1"/>
    </w:lvl>
    <w:lvl w:ilvl="1">
      <w:lvlJc w:val="left"/>
      <w:lvlText w:val="◦"/>
      <w:numFmt w:val="bullet"/>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2021-08-11T15:45:04Z</dcterms:created>
  <dcterms:modified xsi:type="dcterms:W3CDTF">2021-08-11T15:45:04Z</dcterms:modified>
</cp:coreProperties>
</file>