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CCP III Cayman GP Ltd.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jc w:val="center"/>
              <w:ind w:right="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12/05/2022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3,872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11.8479</w:t>
            </w:r>
            <w:r>
              <w:rPr>
                <w:rFonts w:ascii="Times New Roman" w:cs="Times New Roman" w:eastAsia="Times New Roman" w:hAnsi="Times New Roman"/>
                <w:sz w:val="22"/>
                <w:szCs w:val="22"/>
                <w:color w:val="008000"/>
                <w:w w:val="95"/>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3,882,490</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12/05/2022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13,754</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12.1856</w:t>
            </w:r>
            <w:r>
              <w:rPr>
                <w:rFonts w:ascii="Times New Roman" w:cs="Times New Roman" w:eastAsia="Times New Roman" w:hAnsi="Times New Roman"/>
                <w:sz w:val="22"/>
                <w:szCs w:val="22"/>
                <w:color w:val="008000"/>
                <w:w w:val="97"/>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3,896,244</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12/06/2022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8,547</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11.3174</w:t>
            </w:r>
            <w:r>
              <w:rPr>
                <w:rFonts w:ascii="Times New Roman" w:cs="Times New Roman" w:eastAsia="Times New Roman" w:hAnsi="Times New Roman"/>
                <w:sz w:val="22"/>
                <w:szCs w:val="22"/>
                <w:color w:val="008000"/>
                <w:w w:val="95"/>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3,904,791</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12/07/2022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10,740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11.6532</w:t>
            </w:r>
            <w:r>
              <w:rPr>
                <w:rFonts w:ascii="Times New Roman" w:cs="Times New Roman" w:eastAsia="Times New Roman" w:hAnsi="Times New Roman"/>
                <w:sz w:val="22"/>
                <w:szCs w:val="22"/>
                <w:color w:val="008000"/>
                <w:w w:val="95"/>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3,915,531</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12/07/2022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20,515</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12.4143</w:t>
            </w:r>
            <w:r>
              <w:rPr>
                <w:rFonts w:ascii="Times New Roman" w:cs="Times New Roman" w:eastAsia="Times New Roman" w:hAnsi="Times New Roman"/>
                <w:sz w:val="22"/>
                <w:szCs w:val="22"/>
                <w:color w:val="008000"/>
                <w:w w:val="97"/>
                <w:vertAlign w:val="superscript"/>
              </w:rPr>
              <w:t>(8)</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3,936,046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12/07/2022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49,416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13.5112</w:t>
            </w:r>
            <w:r>
              <w:rPr>
                <w:rFonts w:ascii="Times New Roman" w:cs="Times New Roman" w:eastAsia="Times New Roman" w:hAnsi="Times New Roman"/>
                <w:sz w:val="22"/>
                <w:szCs w:val="22"/>
                <w:color w:val="008000"/>
                <w:w w:val="95"/>
                <w:vertAlign w:val="superscript"/>
              </w:rPr>
              <w:t>(9)</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3,985,462</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12/07/2022</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2,988</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3,988,450</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5"/>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6"/>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60" w:type="dxa"/>
            <w:vAlign w:val="bottom"/>
            <w:gridSpan w:val="14"/>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jc w:val="center"/>
              <w:ind w:right="26"/>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CCP III Cayman GP Ltd.</w:t>
              </w:r>
            </w:hyperlink>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jc w:val="center"/>
              <w:ind w:right="46"/>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tcPr>
          <w:p>
            <w:pPr>
              <w:jc w:val="center"/>
              <w:ind w:right="86"/>
              <w:spacing w:after="0"/>
              <w:rPr>
                <w:sz w:val="20"/>
                <w:szCs w:val="20"/>
                <w:color w:val="auto"/>
              </w:rPr>
            </w:pPr>
            <w:r>
              <w:rPr>
                <w:rFonts w:ascii="Times New Roman" w:cs="Times New Roman" w:eastAsia="Times New Roman" w:hAnsi="Times New Roman"/>
                <w:sz w:val="17"/>
                <w:szCs w:val="17"/>
                <w:color w:val="0000FF"/>
              </w:rPr>
              <w:t>10152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2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Centerbridge Associates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CCP III AIV VII Holdings,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CB Blizzard Co-Invest Holdings,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Blizzard Aggregator,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Aronson Jeffrey</w:t>
              </w:r>
            </w:hyperlink>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CB Blizzard Lower Holdings GP 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CB Blizzard Lower Holdings A,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45" w:orient="portrait"/>
          <w:cols w:equalWidth="0" w:num="1">
            <w:col w:w="9979"/>
          </w:cols>
          <w:pgMar w:left="480" w:top="125"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10152</w:t>
      </w:r>
    </w:p>
    <w:p>
      <w:pPr>
        <w:sectPr>
          <w:pgSz w:w="11900" w:h="16845" w:orient="portrait"/>
          <w:cols w:equalWidth="0" w:num="1">
            <w:col w:w="9979"/>
          </w:cols>
          <w:pgMar w:left="480" w:top="125" w:right="1440" w:bottom="0" w:gutter="0" w:footer="0" w:header="0"/>
          <w:type w:val="continuous"/>
        </w:sectPr>
      </w:pPr>
    </w:p>
    <w:bookmarkStart w:id="2" w:name="page3"/>
    <w:bookmarkEnd w:id="2"/>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592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3592195"/>
                    </a:xfrm>
                    <a:prstGeom prst="rect">
                      <a:avLst/>
                    </a:prstGeom>
                    <a:noFill/>
                  </pic:spPr>
                </pic:pic>
              </a:graphicData>
            </a:graphic>
          </wp:anchor>
        </w:drawing>
      </w: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CB Blizzard Lower Holdings GP B,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CB Blizzard Lower Holdings B,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375 PARK AVENUE, 11TH FLOOR</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$11.75 to $11.97.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1,276,253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$12.00 to $12.44.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$11.07 to $11.56.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$11.36 to $11.99.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$12.00 to $12.99.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$13.00 to $13.99.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the limitations of the electronic filing system, CB Blizzard Holdings C, L.P. is filing on a separate Form 4.</w:t>
      </w:r>
    </w:p>
    <w:p>
      <w:pPr>
        <w:sectPr>
          <w:pgSz w:w="11900" w:h="16898" w:orient="portrait"/>
          <w:cols w:equalWidth="0" w:num="1">
            <w:col w:w="10900"/>
          </w:cols>
          <w:pgMar w:left="500" w:top="300" w:right="49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36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ASSOCIATES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CCP III CAYMAN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5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4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34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48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923" w:lineRule="exact"/>
        <w:rPr>
          <w:sz w:val="20"/>
          <w:szCs w:val="20"/>
          <w:color w:val="auto"/>
        </w:rPr>
      </w:pPr>
    </w:p>
    <w:p>
      <w:pPr>
        <w:sectPr>
          <w:pgSz w:w="11900" w:h="16898" w:orient="portrait"/>
          <w:cols w:equalWidth="0" w:num="2">
            <w:col w:w="8620" w:space="120"/>
            <w:col w:w="2160"/>
          </w:cols>
          <w:pgMar w:left="500" w:top="300" w:right="49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CB BLIZZARD CO-INVEST 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369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6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76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4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ectPr>
          <w:pgSz w:w="11900" w:h="16898" w:orient="portrait"/>
          <w:cols w:equalWidth="0" w:num="1">
            <w:col w:w="10900"/>
          </w:cols>
          <w:pgMar w:left="500" w:top="300"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8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BLIZZARD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23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CCP III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04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LTD., its sole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42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JEFFREY H. ARONSON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53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A,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GP 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7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B, L.P., By: 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0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28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12" Type="http://schemas.openxmlformats.org/officeDocument/2006/relationships/hyperlink" Target="http://www.sec.gov/cgi-bin/browse-edgar?action=getcompany&amp;CIK=0001667801" TargetMode="External"/><Relationship Id="rId13" Type="http://schemas.openxmlformats.org/officeDocument/2006/relationships/hyperlink" Target="http://www.sec.gov/cgi-bin/browse-edgar?action=getcompany&amp;CIK=0001808220" TargetMode="External"/><Relationship Id="rId15" Type="http://schemas.openxmlformats.org/officeDocument/2006/relationships/hyperlink" Target="http://www.sec.gov/cgi-bin/browse-edgar?action=getcompany&amp;CIK=0001818016" TargetMode="External"/><Relationship Id="rId17" Type="http://schemas.openxmlformats.org/officeDocument/2006/relationships/hyperlink" Target="http://www.sec.gov/cgi-bin/browse-edgar?action=getcompany&amp;CIK=0001818077" TargetMode="External"/><Relationship Id="rId18" Type="http://schemas.openxmlformats.org/officeDocument/2006/relationships/hyperlink" Target="http://www.sec.gov/cgi-bin/browse-edgar?action=getcompany&amp;CIK=0001785522" TargetMode="External"/><Relationship Id="rId19" Type="http://schemas.openxmlformats.org/officeDocument/2006/relationships/hyperlink" Target="http://www.sec.gov/cgi-bin/browse-edgar?action=getcompany&amp;CIK=0001818020" TargetMode="External"/><Relationship Id="rId20" Type="http://schemas.openxmlformats.org/officeDocument/2006/relationships/hyperlink" Target="http://www.sec.gov/cgi-bin/browse-edgar?action=getcompany&amp;CIK=0001425800" TargetMode="External"/><Relationship Id="rId21" Type="http://schemas.openxmlformats.org/officeDocument/2006/relationships/hyperlink" Target="http://www.sec.gov/cgi-bin/browse-edgar?action=getcompany&amp;CIK=0001852144" TargetMode="External"/><Relationship Id="rId22" Type="http://schemas.openxmlformats.org/officeDocument/2006/relationships/hyperlink" Target="http://www.sec.gov/cgi-bin/browse-edgar?action=getcompany&amp;CIK=0001852252" TargetMode="External"/><Relationship Id="rId24" Type="http://schemas.openxmlformats.org/officeDocument/2006/relationships/hyperlink" Target="http://www.sec.gov/cgi-bin/browse-edgar?action=getcompany&amp;CIK=0001852159" TargetMode="External"/><Relationship Id="rId25" Type="http://schemas.openxmlformats.org/officeDocument/2006/relationships/hyperlink" Target="http://www.sec.gov/cgi-bin/browse-edgar?action=getcompany&amp;CIK=0001852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2022-12-07T18:43:35Z</dcterms:created>
  <dcterms:modified xsi:type="dcterms:W3CDTF">2022-12-07T18:43:35Z</dcterms:modified>
</cp:coreProperties>
</file>