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CCP III Cayman GP Ltd.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375 PARK AVENUE,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GoHealth,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gridSpan w:val="2"/>
          </w:tcPr>
          <w:p>
            <w:pPr>
              <w:jc w:val="center"/>
              <w:ind w:right="108"/>
              <w:spacing w:after="0"/>
              <w:rPr>
                <w:sz w:val="20"/>
                <w:szCs w:val="20"/>
                <w:color w:val="auto"/>
              </w:rPr>
            </w:pPr>
            <w:r>
              <w:rPr>
                <w:rFonts w:ascii="Arial" w:cs="Arial" w:eastAsia="Arial" w:hAnsi="Arial"/>
                <w:sz w:val="12"/>
                <w:szCs w:val="12"/>
                <w:b w:val="1"/>
                <w:bCs w:val="1"/>
                <w:color w:val="auto"/>
                <w:w w:val="98"/>
              </w:rPr>
              <w:t>2. Transaction</w:t>
            </w:r>
          </w:p>
        </w:tc>
        <w:tc>
          <w:tcPr>
            <w:tcW w:w="84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3"/>
          </w:tcPr>
          <w:p>
            <w:pPr>
              <w:ind w:left="34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6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86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11/22/2022</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80" w:type="dxa"/>
            <w:vAlign w:val="bottom"/>
          </w:tcPr>
          <w:p>
            <w:pPr>
              <w:spacing w:after="0"/>
              <w:rPr>
                <w:sz w:val="21"/>
                <w:szCs w:val="2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22,918</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7.9037</w:t>
            </w:r>
            <w:r>
              <w:rPr>
                <w:rFonts w:ascii="Times New Roman" w:cs="Times New Roman" w:eastAsia="Times New Roman" w:hAnsi="Times New Roman"/>
                <w:sz w:val="22"/>
                <w:szCs w:val="22"/>
                <w:color w:val="008000"/>
                <w:w w:val="95"/>
                <w:vertAlign w:val="superscript"/>
              </w:rPr>
              <w:t>(1)</w:t>
            </w:r>
          </w:p>
        </w:tc>
        <w:tc>
          <w:tcPr>
            <w:tcW w:w="1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3,451,472</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gridSpan w:val="5"/>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6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11/22/2022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27,734</w:t>
            </w:r>
          </w:p>
        </w:tc>
        <w:tc>
          <w:tcPr>
            <w:tcW w:w="4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8.5362</w:t>
            </w:r>
            <w:r>
              <w:rPr>
                <w:rFonts w:ascii="Times New Roman" w:cs="Times New Roman" w:eastAsia="Times New Roman" w:hAnsi="Times New Roman"/>
                <w:sz w:val="22"/>
                <w:szCs w:val="22"/>
                <w:color w:val="008000"/>
                <w:w w:val="95"/>
                <w:vertAlign w:val="superscript"/>
              </w:rPr>
              <w:t>(5)</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3,479,206</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gridSpan w:val="5"/>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6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11/22/2022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4,961</w:t>
            </w:r>
          </w:p>
        </w:tc>
        <w:tc>
          <w:tcPr>
            <w:tcW w:w="4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9.004</w:t>
            </w:r>
            <w:r>
              <w:rPr>
                <w:rFonts w:ascii="Times New Roman" w:cs="Times New Roman" w:eastAsia="Times New Roman" w:hAnsi="Times New Roman"/>
                <w:sz w:val="22"/>
                <w:szCs w:val="22"/>
                <w:color w:val="008000"/>
                <w:w w:val="95"/>
                <w:vertAlign w:val="superscript"/>
              </w:rPr>
              <w:t>(6)</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3,484,167</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gridSpan w:val="5"/>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6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11/23/2022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7,569</w:t>
            </w:r>
          </w:p>
        </w:tc>
        <w:tc>
          <w:tcPr>
            <w:tcW w:w="4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8.9037</w:t>
            </w:r>
            <w:r>
              <w:rPr>
                <w:rFonts w:ascii="Times New Roman" w:cs="Times New Roman" w:eastAsia="Times New Roman" w:hAnsi="Times New Roman"/>
                <w:sz w:val="22"/>
                <w:szCs w:val="22"/>
                <w:color w:val="008000"/>
                <w:w w:val="95"/>
                <w:vertAlign w:val="superscript"/>
              </w:rPr>
              <w:t>(7)</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3,491,736</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gridSpan w:val="5"/>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6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11/23/2022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20,033</w:t>
            </w:r>
          </w:p>
        </w:tc>
        <w:tc>
          <w:tcPr>
            <w:tcW w:w="4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9.171</w:t>
            </w:r>
            <w:r>
              <w:rPr>
                <w:rFonts w:ascii="Times New Roman" w:cs="Times New Roman" w:eastAsia="Times New Roman" w:hAnsi="Times New Roman"/>
                <w:sz w:val="22"/>
                <w:szCs w:val="22"/>
                <w:color w:val="008000"/>
                <w:w w:val="95"/>
                <w:vertAlign w:val="superscript"/>
              </w:rPr>
              <w:t>(8)</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3,511,769</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gridSpan w:val="5"/>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20" w:type="dxa"/>
            <w:vAlign w:val="bottom"/>
            <w:gridSpan w:val="16"/>
          </w:tcPr>
          <w:p>
            <w:pPr>
              <w:jc w:val="center"/>
              <w:ind w:righ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20" w:type="dxa"/>
            <w:vAlign w:val="bottom"/>
            <w:gridSpan w:val="13"/>
          </w:tcPr>
          <w:p>
            <w:pPr>
              <w:jc w:val="center"/>
              <w:ind w:right="3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jc w:val="center"/>
              <w:ind w:right="88"/>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ind w:left="42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70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CCP III Cayman GP Ltd.</w:t>
              </w:r>
            </w:hyperlink>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880" w:type="dxa"/>
            <w:vAlign w:val="bottom"/>
          </w:tcPr>
          <w:p>
            <w:pPr>
              <w:jc w:val="center"/>
              <w:ind w:right="288"/>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gridSpan w:val="2"/>
          </w:tcPr>
          <w:p>
            <w:pPr>
              <w:jc w:val="center"/>
              <w:ind w:right="148"/>
              <w:spacing w:after="0"/>
              <w:rPr>
                <w:sz w:val="20"/>
                <w:szCs w:val="20"/>
                <w:color w:val="auto"/>
              </w:rPr>
            </w:pPr>
            <w:r>
              <w:rPr>
                <w:rFonts w:ascii="Times New Roman" w:cs="Times New Roman" w:eastAsia="Times New Roman" w:hAnsi="Times New Roman"/>
                <w:sz w:val="17"/>
                <w:szCs w:val="17"/>
                <w:color w:val="0000FF"/>
              </w:rPr>
              <w:t>10152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Centerbridge Associates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880" w:type="dxa"/>
            <w:vAlign w:val="bottom"/>
          </w:tcPr>
          <w:p>
            <w:pPr>
              <w:jc w:val="center"/>
              <w:ind w:right="288"/>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-4100195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375 PARK AVENUE, 11TH FLOOR</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10152</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CCP III AIV VII Holdings,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CB Blizzard Co-Invest Holdings,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Blizzard Aggregator,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Aronson Jeffrey</w:t>
              </w:r>
            </w:hyperlink>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CB Blizzard Lower Holdings GP 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CB Blizzard Lower Holdings A,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CB Blizzard Lower Holdings GP B, LLC</w:t>
        </w:r>
      </w:hyperlink>
    </w:p>
    <w:p>
      <w:pPr>
        <w:spacing w:after="0" w:line="20" w:lineRule="exact"/>
        <w:rPr>
          <w:sz w:val="20"/>
          <w:szCs w:val="20"/>
          <w:color w:val="auto"/>
        </w:rPr>
      </w:pPr>
    </w:p>
    <w:p>
      <w:pPr>
        <w:sectPr>
          <w:pgSz w:w="11900" w:h="16838" w:orient="portrait"/>
          <w:cols w:equalWidth="0" w:num="1">
            <w:col w:w="9979"/>
          </w:cols>
          <w:pgMar w:left="480" w:top="167" w:right="1440"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880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28809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CB Blizzard Lower Holdings B,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$7.755 to $7.99.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reported herein, includes (i) 2,712,197 shares of Class A Common Stock held of record by CB Blizzard Lower Holdings A, L.P. ("CB Blizzard A") and (ii) 799,572 shares of Class A Common Stock held of record by CB Blizzard Holdings C, L.P. ("CB Blizzard C").</w:t>
      </w:r>
    </w:p>
    <w:p>
      <w:pPr>
        <w:spacing w:after="0" w:line="7" w:lineRule="exact"/>
        <w:rPr>
          <w:rFonts w:ascii="Times New Roman" w:cs="Times New Roman" w:eastAsia="Times New Roman" w:hAnsi="Times New Roman"/>
          <w:sz w:val="13"/>
          <w:szCs w:val="13"/>
          <w:color w:val="008000"/>
        </w:rPr>
      </w:pPr>
    </w:p>
    <w:p>
      <w:pPr>
        <w:ind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CCP III Cayman GP Ltd.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Lower Holdings B, L.P. ("CB Blizzard B"). As a result, each of the foregoing entities may be deemed to share beneficial ownership of the securities held of record by CB Blizzard B.</w:t>
      </w:r>
    </w:p>
    <w:p>
      <w:pPr>
        <w:spacing w:after="0" w:line="26" w:lineRule="exact"/>
        <w:rPr>
          <w:rFonts w:ascii="Times New Roman" w:cs="Times New Roman" w:eastAsia="Times New Roman" w:hAnsi="Times New Roman"/>
          <w:sz w:val="13"/>
          <w:szCs w:val="13"/>
          <w:color w:val="008000"/>
        </w:rPr>
      </w:pPr>
    </w:p>
    <w:p>
      <w:pPr>
        <w:ind w:right="14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except to the extent of any proportionate pecuniary interest therein.</w:t>
      </w:r>
    </w:p>
    <w:p>
      <w:pPr>
        <w:spacing w:after="0" w:line="24" w:lineRule="exact"/>
        <w:rPr>
          <w:rFonts w:ascii="Times New Roman" w:cs="Times New Roman" w:eastAsia="Times New Roman" w:hAnsi="Times New Roman"/>
          <w:sz w:val="13"/>
          <w:szCs w:val="13"/>
          <w:color w:val="008000"/>
        </w:rPr>
      </w:pPr>
    </w:p>
    <w:p>
      <w:pPr>
        <w:jc w:val="both"/>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$8.00 to $8.99.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$9.00 to $9.08.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$8.80 to $8.99.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$9.00 to $9.42.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the limitations of the electronic filing system, CB Blizzard Holdings C, L.P. is filing on a separate Form 4.</w:t>
      </w:r>
    </w:p>
    <w:p>
      <w:pPr>
        <w:sectPr>
          <w:pgSz w:w="11900" w:h="16838" w:orient="portrait"/>
          <w:cols w:equalWidth="0" w:num="1">
            <w:col w:w="10900"/>
          </w:cols>
          <w:pgMar w:left="500" w:top="287" w:right="499" w:bottom="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CCP III CAYMAN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5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4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369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ASSOCIATES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CCP III CAYMAN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55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4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CCP III AIV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486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6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4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CO-INVEST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58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6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46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BLIZZARD AGGREGATOR,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23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CCP III 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04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LTD., its sole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8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42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2">
            <w:col w:w="8660" w:space="80"/>
            <w:col w:w="2160"/>
          </w:cols>
          <w:pgMar w:left="500" w:top="287" w:right="49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JEFFREY H. ARONSON, By: 11/25/2022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29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53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ectPr>
          <w:pgSz w:w="11900" w:h="16838" w:orient="portrait"/>
          <w:cols w:equalWidth="0" w:num="1">
            <w:col w:w="10180"/>
          </w:cols>
          <w:pgMar w:left="500" w:top="125" w:right="1219" w:bottom="1440" w:gutter="0" w:footer="0" w:header="0"/>
        </w:sectPr>
      </w:pPr>
    </w:p>
    <w:p>
      <w:pPr>
        <w:spacing w:after="0" w:line="5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GP A,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8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75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A, L.P., By: 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0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GP A,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GP B,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1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75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B, L.P., By: 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9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0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GP B,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28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1440"/>
          </w:cols>
          <w:pgMar w:left="500" w:top="125" w:right="12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4"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12" Type="http://schemas.openxmlformats.org/officeDocument/2006/relationships/hyperlink" Target="http://www.sec.gov/cgi-bin/browse-edgar?action=getcompany&amp;CIK=0001667801" TargetMode="External"/><Relationship Id="rId13" Type="http://schemas.openxmlformats.org/officeDocument/2006/relationships/hyperlink" Target="http://www.sec.gov/cgi-bin/browse-edgar?action=getcompany&amp;CIK=0001808220" TargetMode="External"/><Relationship Id="rId14" Type="http://schemas.openxmlformats.org/officeDocument/2006/relationships/hyperlink" Target="http://www.sec.gov/cgi-bin/browse-edgar?action=getcompany&amp;CIK=0001818016" TargetMode="External"/><Relationship Id="rId16" Type="http://schemas.openxmlformats.org/officeDocument/2006/relationships/hyperlink" Target="http://www.sec.gov/cgi-bin/browse-edgar?action=getcompany&amp;CIK=0001818077" TargetMode="External"/><Relationship Id="rId18" Type="http://schemas.openxmlformats.org/officeDocument/2006/relationships/hyperlink" Target="http://www.sec.gov/cgi-bin/browse-edgar?action=getcompany&amp;CIK=0001785522" TargetMode="External"/><Relationship Id="rId19" Type="http://schemas.openxmlformats.org/officeDocument/2006/relationships/hyperlink" Target="http://www.sec.gov/cgi-bin/browse-edgar?action=getcompany&amp;CIK=0001818020" TargetMode="External"/><Relationship Id="rId20" Type="http://schemas.openxmlformats.org/officeDocument/2006/relationships/hyperlink" Target="http://www.sec.gov/cgi-bin/browse-edgar?action=getcompany&amp;CIK=0001425800" TargetMode="External"/><Relationship Id="rId21" Type="http://schemas.openxmlformats.org/officeDocument/2006/relationships/hyperlink" Target="http://www.sec.gov/cgi-bin/browse-edgar?action=getcompany&amp;CIK=0001852144" TargetMode="External"/><Relationship Id="rId22" Type="http://schemas.openxmlformats.org/officeDocument/2006/relationships/hyperlink" Target="http://www.sec.gov/cgi-bin/browse-edgar?action=getcompany&amp;CIK=0001852252" TargetMode="External"/><Relationship Id="rId23" Type="http://schemas.openxmlformats.org/officeDocument/2006/relationships/hyperlink" Target="http://www.sec.gov/cgi-bin/browse-edgar?action=getcompany&amp;CIK=0001852159" TargetMode="External"/><Relationship Id="rId25" Type="http://schemas.openxmlformats.org/officeDocument/2006/relationships/hyperlink" Target="http://www.sec.gov/cgi-bin/browse-edgar?action=getcompany&amp;CIK=0001852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2022-11-25T15:45:04Z</dcterms:created>
  <dcterms:modified xsi:type="dcterms:W3CDTF">2022-11-25T15:45:04Z</dcterms:modified>
</cp:coreProperties>
</file>