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1877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87706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Sharman James A.</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5"/>
        </w:trPr>
        <w:tc>
          <w:tcPr>
            <w:tcW w:w="28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07/15/2020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GoHealth,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GOCO</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28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980" w:type="dxa"/>
            <w:vAlign w:val="bottom"/>
          </w:tcPr>
          <w:p>
            <w:pPr>
              <w:ind w:left="40"/>
              <w:spacing w:after="0"/>
              <w:rPr>
                <w:sz w:val="20"/>
                <w:szCs w:val="20"/>
                <w:color w:val="auto"/>
              </w:rPr>
            </w:pPr>
            <w:r>
              <w:rPr>
                <w:rFonts w:ascii="Arial" w:cs="Arial" w:eastAsia="Arial" w:hAnsi="Arial"/>
                <w:sz w:val="15"/>
                <w:szCs w:val="15"/>
                <w:color w:val="auto"/>
              </w:rPr>
              <w:t>(Last)</w:t>
            </w:r>
          </w:p>
        </w:tc>
        <w:tc>
          <w:tcPr>
            <w:tcW w:w="1040" w:type="dxa"/>
            <w:vAlign w:val="bottom"/>
          </w:tcPr>
          <w:p>
            <w:pPr>
              <w:ind w:left="80"/>
              <w:spacing w:after="0"/>
              <w:rPr>
                <w:sz w:val="20"/>
                <w:szCs w:val="20"/>
                <w:color w:val="auto"/>
              </w:rPr>
            </w:pPr>
            <w:r>
              <w:rPr>
                <w:rFonts w:ascii="Arial" w:cs="Arial" w:eastAsia="Arial" w:hAnsi="Arial"/>
                <w:sz w:val="15"/>
                <w:szCs w:val="15"/>
                <w:color w:val="auto"/>
              </w:rPr>
              <w:t>(First)</w:t>
            </w:r>
          </w:p>
        </w:tc>
        <w:tc>
          <w:tcPr>
            <w:tcW w:w="1080" w:type="dxa"/>
            <w:vAlign w:val="bottom"/>
          </w:tcPr>
          <w:p>
            <w:pPr>
              <w:ind w:left="80"/>
              <w:spacing w:after="0"/>
              <w:rPr>
                <w:sz w:val="20"/>
                <w:szCs w:val="20"/>
                <w:color w:val="auto"/>
              </w:rPr>
            </w:pPr>
            <w:r>
              <w:rPr>
                <w:rFonts w:ascii="Arial" w:cs="Arial" w:eastAsia="Arial" w:hAnsi="Arial"/>
                <w:sz w:val="15"/>
                <w:szCs w:val="15"/>
                <w:color w:val="auto"/>
              </w:rPr>
              <w:t>(Middle)</w:t>
            </w:r>
          </w:p>
        </w:tc>
      </w:tr>
      <w:tr>
        <w:trPr>
          <w:trHeight w:val="314"/>
        </w:trPr>
        <w:tc>
          <w:tcPr>
            <w:tcW w:w="2020" w:type="dxa"/>
            <w:vAlign w:val="bottom"/>
            <w:gridSpan w:val="2"/>
          </w:tcPr>
          <w:p>
            <w:pPr>
              <w:ind w:left="40"/>
              <w:spacing w:after="0"/>
              <w:rPr>
                <w:sz w:val="20"/>
                <w:szCs w:val="20"/>
                <w:color w:val="auto"/>
              </w:rPr>
            </w:pPr>
            <w:r>
              <w:rPr>
                <w:rFonts w:ascii="Arial" w:cs="Arial" w:eastAsia="Arial" w:hAnsi="Arial"/>
                <w:sz w:val="20"/>
                <w:szCs w:val="20"/>
                <w:color w:val="0000FF"/>
                <w:w w:val="92"/>
              </w:rPr>
              <w:t>214 WEST HURON ST.</w:t>
            </w:r>
          </w:p>
        </w:tc>
        <w:tc>
          <w:tcPr>
            <w:tcW w:w="1080" w:type="dxa"/>
            <w:vAlign w:val="bottom"/>
          </w:tcPr>
          <w:p>
            <w:pPr>
              <w:spacing w:after="0"/>
              <w:rPr>
                <w:sz w:val="24"/>
                <w:szCs w:val="24"/>
                <w:color w:val="auto"/>
              </w:rPr>
            </w:pPr>
          </w:p>
        </w:tc>
      </w:tr>
      <w:tr>
        <w:trPr>
          <w:trHeight w:val="237"/>
        </w:trPr>
        <w:tc>
          <w:tcPr>
            <w:tcW w:w="980" w:type="dxa"/>
            <w:vAlign w:val="bottom"/>
            <w:tcBorders>
              <w:bottom w:val="single" w:sz="8" w:color="9A9A9A"/>
            </w:tcBorders>
          </w:tcPr>
          <w:p>
            <w:pPr>
              <w:spacing w:after="0"/>
              <w:rPr>
                <w:sz w:val="20"/>
                <w:szCs w:val="20"/>
                <w:color w:val="auto"/>
              </w:rPr>
            </w:pPr>
          </w:p>
        </w:tc>
        <w:tc>
          <w:tcPr>
            <w:tcW w:w="1040" w:type="dxa"/>
            <w:vAlign w:val="bottom"/>
            <w:tcBorders>
              <w:bottom w:val="single" w:sz="8" w:color="9A9A9A"/>
            </w:tcBorders>
          </w:tcPr>
          <w:p>
            <w:pPr>
              <w:spacing w:after="0"/>
              <w:rPr>
                <w:sz w:val="20"/>
                <w:szCs w:val="20"/>
                <w:color w:val="auto"/>
              </w:rPr>
            </w:pPr>
          </w:p>
        </w:tc>
        <w:tc>
          <w:tcPr>
            <w:tcW w:w="1080" w:type="dxa"/>
            <w:vAlign w:val="bottom"/>
            <w:tcBorders>
              <w:bottom w:val="single" w:sz="8" w:color="9A9A9A"/>
            </w:tcBorders>
          </w:tcPr>
          <w:p>
            <w:pPr>
              <w:spacing w:after="0"/>
              <w:rPr>
                <w:sz w:val="20"/>
                <w:szCs w:val="20"/>
                <w:color w:val="auto"/>
              </w:rPr>
            </w:pPr>
          </w:p>
        </w:tc>
      </w:tr>
      <w:tr>
        <w:trPr>
          <w:trHeight w:val="299"/>
        </w:trPr>
        <w:tc>
          <w:tcPr>
            <w:tcW w:w="980" w:type="dxa"/>
            <w:vAlign w:val="bottom"/>
          </w:tcPr>
          <w:p>
            <w:pPr>
              <w:spacing w:after="0"/>
              <w:rPr>
                <w:sz w:val="20"/>
                <w:szCs w:val="20"/>
                <w:color w:val="auto"/>
              </w:rPr>
            </w:pPr>
            <w:r>
              <w:rPr>
                <w:rFonts w:ascii="Arial" w:cs="Arial" w:eastAsia="Arial" w:hAnsi="Arial"/>
                <w:sz w:val="15"/>
                <w:szCs w:val="15"/>
                <w:color w:val="auto"/>
              </w:rPr>
              <w:t>(Street)</w:t>
            </w: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69"/>
        </w:trPr>
        <w:tc>
          <w:tcPr>
            <w:tcW w:w="980" w:type="dxa"/>
            <w:vAlign w:val="bottom"/>
          </w:tcPr>
          <w:p>
            <w:pPr>
              <w:ind w:left="40"/>
              <w:spacing w:after="0"/>
              <w:rPr>
                <w:sz w:val="20"/>
                <w:szCs w:val="20"/>
                <w:color w:val="auto"/>
              </w:rPr>
            </w:pPr>
            <w:r>
              <w:rPr>
                <w:rFonts w:ascii="Arial" w:cs="Arial" w:eastAsia="Arial" w:hAnsi="Arial"/>
                <w:sz w:val="20"/>
                <w:szCs w:val="20"/>
                <w:color w:val="0000FF"/>
                <w:w w:val="98"/>
              </w:rPr>
              <w:t>CHICAGO</w:t>
            </w:r>
          </w:p>
        </w:tc>
        <w:tc>
          <w:tcPr>
            <w:tcW w:w="1040" w:type="dxa"/>
            <w:vAlign w:val="bottom"/>
          </w:tcPr>
          <w:p>
            <w:pPr>
              <w:ind w:left="80"/>
              <w:spacing w:after="0"/>
              <w:rPr>
                <w:sz w:val="20"/>
                <w:szCs w:val="20"/>
                <w:color w:val="auto"/>
              </w:rPr>
            </w:pPr>
            <w:r>
              <w:rPr>
                <w:rFonts w:ascii="Arial" w:cs="Arial" w:eastAsia="Arial" w:hAnsi="Arial"/>
                <w:sz w:val="20"/>
                <w:szCs w:val="20"/>
                <w:color w:val="0000FF"/>
              </w:rPr>
              <w:t>IL</w:t>
            </w:r>
          </w:p>
        </w:tc>
        <w:tc>
          <w:tcPr>
            <w:tcW w:w="1080" w:type="dxa"/>
            <w:vAlign w:val="bottom"/>
          </w:tcPr>
          <w:p>
            <w:pPr>
              <w:ind w:left="80"/>
              <w:spacing w:after="0"/>
              <w:rPr>
                <w:sz w:val="20"/>
                <w:szCs w:val="20"/>
                <w:color w:val="auto"/>
              </w:rPr>
            </w:pPr>
            <w:r>
              <w:rPr>
                <w:rFonts w:ascii="Arial" w:cs="Arial" w:eastAsia="Arial" w:hAnsi="Arial"/>
                <w:sz w:val="20"/>
                <w:szCs w:val="20"/>
                <w:color w:val="0000FF"/>
              </w:rPr>
              <w:t>60654</w:t>
            </w:r>
          </w:p>
        </w:tc>
      </w:tr>
      <w:tr>
        <w:trPr>
          <w:trHeight w:val="177"/>
        </w:trPr>
        <w:tc>
          <w:tcPr>
            <w:tcW w:w="9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r>
      <w:tr>
        <w:trPr>
          <w:trHeight w:val="344"/>
        </w:trPr>
        <w:tc>
          <w:tcPr>
            <w:tcW w:w="980" w:type="dxa"/>
            <w:vAlign w:val="bottom"/>
          </w:tcPr>
          <w:p>
            <w:pPr>
              <w:ind w:left="40"/>
              <w:spacing w:after="0"/>
              <w:rPr>
                <w:sz w:val="20"/>
                <w:szCs w:val="20"/>
                <w:color w:val="auto"/>
              </w:rPr>
            </w:pPr>
            <w:r>
              <w:rPr>
                <w:rFonts w:ascii="Arial" w:cs="Arial" w:eastAsia="Arial" w:hAnsi="Arial"/>
                <w:sz w:val="15"/>
                <w:szCs w:val="15"/>
                <w:color w:val="auto"/>
              </w:rPr>
              <w:t>(City)</w:t>
            </w:r>
          </w:p>
        </w:tc>
        <w:tc>
          <w:tcPr>
            <w:tcW w:w="1040" w:type="dxa"/>
            <w:vAlign w:val="bottom"/>
          </w:tcPr>
          <w:p>
            <w:pPr>
              <w:ind w:left="80"/>
              <w:spacing w:after="0"/>
              <w:rPr>
                <w:sz w:val="20"/>
                <w:szCs w:val="20"/>
                <w:color w:val="auto"/>
              </w:rPr>
            </w:pPr>
            <w:r>
              <w:rPr>
                <w:rFonts w:ascii="Arial" w:cs="Arial" w:eastAsia="Arial" w:hAnsi="Arial"/>
                <w:sz w:val="15"/>
                <w:szCs w:val="15"/>
                <w:color w:val="auto"/>
              </w:rPr>
              <w:t>(State)</w:t>
            </w:r>
          </w:p>
        </w:tc>
        <w:tc>
          <w:tcPr>
            <w:tcW w:w="1080" w:type="dxa"/>
            <w:vAlign w:val="bottom"/>
          </w:tcPr>
          <w:p>
            <w:pPr>
              <w:ind w:left="8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1203"/>
        <w:spacing w:after="0"/>
        <w:rPr>
          <w:sz w:val="20"/>
          <w:szCs w:val="20"/>
          <w:color w:val="auto"/>
        </w:rPr>
      </w:pPr>
      <w:r>
        <w:rPr>
          <w:rFonts w:ascii="Arial" w:cs="Arial" w:eastAsia="Arial" w:hAnsi="Arial"/>
          <w:sz w:val="20"/>
          <w:szCs w:val="20"/>
          <w:color w:val="0000FF"/>
        </w:rPr>
        <w:t>President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-3172460</wp:posOffset>
            </wp:positionH>
            <wp:positionV relativeFrom="paragraph">
              <wp:posOffset>488950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2325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2325370"/>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29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2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9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9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0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9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98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060" w:type="dxa"/>
            <w:vAlign w:val="bottom"/>
            <w:vMerge w:val="restart"/>
          </w:tcPr>
          <w:p>
            <w:pPr>
              <w:ind w:left="20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9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165"/>
        </w:trPr>
        <w:tc>
          <w:tcPr>
            <w:tcW w:w="298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64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060" w:type="dxa"/>
            <w:vAlign w:val="bottom"/>
          </w:tcPr>
          <w:p>
            <w:pPr>
              <w:ind w:left="20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98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40" w:type="dxa"/>
            <w:vAlign w:val="bottom"/>
            <w:vMerge w:val="continue"/>
          </w:tcPr>
          <w:p>
            <w:pPr>
              <w:spacing w:after="0"/>
              <w:rPr>
                <w:sz w:val="17"/>
                <w:szCs w:val="17"/>
                <w:color w:val="auto"/>
              </w:rPr>
            </w:pPr>
          </w:p>
        </w:tc>
        <w:tc>
          <w:tcPr>
            <w:tcW w:w="1060" w:type="dxa"/>
            <w:vAlign w:val="bottom"/>
          </w:tcPr>
          <w:p>
            <w:pPr>
              <w:ind w:left="2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9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980" w:type="dxa"/>
            <w:vAlign w:val="bottom"/>
          </w:tcPr>
          <w:p>
            <w:pPr>
              <w:ind w:left="80"/>
              <w:spacing w:after="0"/>
              <w:rPr>
                <w:sz w:val="20"/>
                <w:szCs w:val="20"/>
                <w:color w:val="auto"/>
              </w:rPr>
            </w:pPr>
            <w:r>
              <w:rPr>
                <w:rFonts w:ascii="Arial" w:cs="Arial" w:eastAsia="Arial" w:hAnsi="Arial"/>
                <w:sz w:val="20"/>
                <w:szCs w:val="20"/>
                <w:color w:val="0000FF"/>
                <w:w w:val="94"/>
              </w:rPr>
              <w:t>Blizzard Management Feeder LLC</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(1)</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8000"/>
                <w:w w:val="87"/>
              </w:rPr>
              <w:t>(1)</w:t>
            </w:r>
          </w:p>
        </w:tc>
        <w:tc>
          <w:tcPr>
            <w:tcW w:w="1640" w:type="dxa"/>
            <w:vAlign w:val="bottom"/>
            <w:vMerge w:val="restart"/>
          </w:tcPr>
          <w:p>
            <w:pPr>
              <w:ind w:left="340"/>
              <w:spacing w:after="0"/>
              <w:rPr>
                <w:sz w:val="20"/>
                <w:szCs w:val="20"/>
                <w:color w:val="auto"/>
              </w:rPr>
            </w:pPr>
            <w:r>
              <w:rPr>
                <w:rFonts w:ascii="Arial" w:cs="Arial" w:eastAsia="Arial" w:hAnsi="Arial"/>
                <w:sz w:val="20"/>
                <w:szCs w:val="20"/>
                <w:color w:val="0000FF"/>
              </w:rPr>
              <w:t>LLC Interests</w:t>
            </w:r>
          </w:p>
        </w:tc>
        <w:tc>
          <w:tcPr>
            <w:tcW w:w="1060" w:type="dxa"/>
            <w:vAlign w:val="bottom"/>
            <w:vMerge w:val="restart"/>
          </w:tcPr>
          <w:p>
            <w:pPr>
              <w:ind w:left="200"/>
              <w:spacing w:after="0"/>
              <w:rPr>
                <w:sz w:val="20"/>
                <w:szCs w:val="20"/>
                <w:color w:val="auto"/>
              </w:rPr>
            </w:pPr>
            <w:r>
              <w:rPr>
                <w:rFonts w:ascii="Arial" w:cs="Arial" w:eastAsia="Arial" w:hAnsi="Arial"/>
                <w:sz w:val="20"/>
                <w:szCs w:val="20"/>
                <w:color w:val="0000FF"/>
                <w:w w:val="94"/>
              </w:rPr>
              <w:t>1,249,002</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(2)</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980" w:type="dxa"/>
            <w:vAlign w:val="bottom"/>
            <w:vMerge w:val="restart"/>
          </w:tcPr>
          <w:p>
            <w:pPr>
              <w:ind w:left="80"/>
              <w:spacing w:after="0"/>
              <w:rPr>
                <w:sz w:val="20"/>
                <w:szCs w:val="20"/>
                <w:color w:val="auto"/>
              </w:rPr>
            </w:pPr>
            <w:r>
              <w:rPr>
                <w:rFonts w:ascii="Arial" w:cs="Arial" w:eastAsia="Arial" w:hAnsi="Arial"/>
                <w:sz w:val="20"/>
                <w:szCs w:val="20"/>
                <w:color w:val="0000FF"/>
              </w:rPr>
              <w:t>Interests</w:t>
            </w: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64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98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9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6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ind w:left="80"/>
              <w:spacing w:after="0"/>
              <w:rPr>
                <w:sz w:val="20"/>
                <w:szCs w:val="20"/>
                <w:color w:val="auto"/>
              </w:rPr>
            </w:pPr>
            <w:r>
              <w:rPr>
                <w:rFonts w:ascii="Arial" w:cs="Arial" w:eastAsia="Arial" w:hAnsi="Arial"/>
                <w:sz w:val="20"/>
                <w:szCs w:val="20"/>
                <w:color w:val="0000FF"/>
              </w:rPr>
              <w:t>By: James A.</w:t>
            </w:r>
          </w:p>
        </w:tc>
        <w:tc>
          <w:tcPr>
            <w:tcW w:w="0" w:type="dxa"/>
            <w:vAlign w:val="bottom"/>
          </w:tcPr>
          <w:p>
            <w:pPr>
              <w:spacing w:after="0"/>
              <w:rPr>
                <w:sz w:val="1"/>
                <w:szCs w:val="1"/>
                <w:color w:val="auto"/>
              </w:rPr>
            </w:pPr>
          </w:p>
        </w:tc>
      </w:tr>
      <w:tr>
        <w:trPr>
          <w:trHeight w:val="240"/>
        </w:trPr>
        <w:tc>
          <w:tcPr>
            <w:tcW w:w="2980" w:type="dxa"/>
            <w:vAlign w:val="bottom"/>
          </w:tcPr>
          <w:p>
            <w:pPr>
              <w:ind w:left="80"/>
              <w:spacing w:after="0"/>
              <w:rPr>
                <w:sz w:val="20"/>
                <w:szCs w:val="20"/>
                <w:color w:val="auto"/>
              </w:rPr>
            </w:pPr>
            <w:r>
              <w:rPr>
                <w:rFonts w:ascii="Arial" w:cs="Arial" w:eastAsia="Arial" w:hAnsi="Arial"/>
                <w:sz w:val="20"/>
                <w:szCs w:val="20"/>
                <w:color w:val="0000FF"/>
                <w:w w:val="94"/>
              </w:rPr>
              <w:t>Blizzard Management Feeder LLC</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(3)</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8000"/>
                <w:w w:val="87"/>
              </w:rPr>
              <w:t>(3)</w:t>
            </w:r>
          </w:p>
        </w:tc>
        <w:tc>
          <w:tcPr>
            <w:tcW w:w="1640" w:type="dxa"/>
            <w:vAlign w:val="bottom"/>
            <w:vMerge w:val="restart"/>
          </w:tcPr>
          <w:p>
            <w:pPr>
              <w:ind w:left="340"/>
              <w:spacing w:after="0"/>
              <w:rPr>
                <w:sz w:val="20"/>
                <w:szCs w:val="20"/>
                <w:color w:val="auto"/>
              </w:rPr>
            </w:pPr>
            <w:r>
              <w:rPr>
                <w:rFonts w:ascii="Arial" w:cs="Arial" w:eastAsia="Arial" w:hAnsi="Arial"/>
                <w:sz w:val="20"/>
                <w:szCs w:val="20"/>
                <w:color w:val="0000FF"/>
              </w:rPr>
              <w:t>LLC Interests</w:t>
            </w:r>
          </w:p>
        </w:tc>
        <w:tc>
          <w:tcPr>
            <w:tcW w:w="1060" w:type="dxa"/>
            <w:vAlign w:val="bottom"/>
            <w:vMerge w:val="restart"/>
          </w:tcPr>
          <w:p>
            <w:pPr>
              <w:ind w:left="200"/>
              <w:spacing w:after="0"/>
              <w:rPr>
                <w:sz w:val="20"/>
                <w:szCs w:val="20"/>
                <w:color w:val="auto"/>
              </w:rPr>
            </w:pPr>
            <w:r>
              <w:rPr>
                <w:rFonts w:ascii="Arial" w:cs="Arial" w:eastAsia="Arial" w:hAnsi="Arial"/>
                <w:sz w:val="20"/>
                <w:szCs w:val="20"/>
                <w:color w:val="0000FF"/>
                <w:w w:val="94"/>
              </w:rPr>
              <w:t>3,702,127</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(2)</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20" w:type="dxa"/>
            <w:vAlign w:val="bottom"/>
          </w:tcPr>
          <w:p>
            <w:pPr>
              <w:ind w:left="80"/>
              <w:spacing w:after="0"/>
              <w:rPr>
                <w:sz w:val="20"/>
                <w:szCs w:val="20"/>
                <w:color w:val="auto"/>
              </w:rPr>
            </w:pPr>
            <w:r>
              <w:rPr>
                <w:rFonts w:ascii="Arial" w:cs="Arial" w:eastAsia="Arial" w:hAnsi="Arial"/>
                <w:sz w:val="20"/>
                <w:szCs w:val="20"/>
                <w:color w:val="0000FF"/>
              </w:rPr>
              <w:t>Sharman Gift</w:t>
            </w:r>
          </w:p>
        </w:tc>
        <w:tc>
          <w:tcPr>
            <w:tcW w:w="0" w:type="dxa"/>
            <w:vAlign w:val="bottom"/>
          </w:tcPr>
          <w:p>
            <w:pPr>
              <w:spacing w:after="0"/>
              <w:rPr>
                <w:sz w:val="1"/>
                <w:szCs w:val="1"/>
                <w:color w:val="auto"/>
              </w:rPr>
            </w:pPr>
          </w:p>
        </w:tc>
      </w:tr>
      <w:tr>
        <w:trPr>
          <w:trHeight w:val="128"/>
        </w:trPr>
        <w:tc>
          <w:tcPr>
            <w:tcW w:w="2980" w:type="dxa"/>
            <w:vAlign w:val="bottom"/>
            <w:vMerge w:val="restart"/>
          </w:tcPr>
          <w:p>
            <w:pPr>
              <w:ind w:left="80"/>
              <w:spacing w:after="0"/>
              <w:rPr>
                <w:sz w:val="20"/>
                <w:szCs w:val="20"/>
                <w:color w:val="auto"/>
              </w:rPr>
            </w:pPr>
            <w:r>
              <w:rPr>
                <w:rFonts w:ascii="Arial" w:cs="Arial" w:eastAsia="Arial" w:hAnsi="Arial"/>
                <w:sz w:val="20"/>
                <w:szCs w:val="20"/>
                <w:color w:val="0000FF"/>
              </w:rPr>
              <w:t>Interests</w:t>
            </w: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64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20" w:type="dxa"/>
            <w:vAlign w:val="bottom"/>
            <w:vMerge w:val="restart"/>
          </w:tcPr>
          <w:p>
            <w:pPr>
              <w:ind w:left="80"/>
              <w:spacing w:after="0"/>
              <w:rPr>
                <w:sz w:val="20"/>
                <w:szCs w:val="20"/>
                <w:color w:val="auto"/>
              </w:rPr>
            </w:pPr>
            <w:r>
              <w:rPr>
                <w:rFonts w:ascii="Arial" w:cs="Arial" w:eastAsia="Arial" w:hAnsi="Arial"/>
                <w:sz w:val="20"/>
                <w:szCs w:val="20"/>
                <w:color w:val="0000FF"/>
              </w:rPr>
              <w:t>Trust dated</w:t>
            </w:r>
          </w:p>
        </w:tc>
        <w:tc>
          <w:tcPr>
            <w:tcW w:w="0" w:type="dxa"/>
            <w:vAlign w:val="bottom"/>
          </w:tcPr>
          <w:p>
            <w:pPr>
              <w:spacing w:after="0"/>
              <w:rPr>
                <w:sz w:val="1"/>
                <w:szCs w:val="1"/>
                <w:color w:val="auto"/>
              </w:rPr>
            </w:pPr>
          </w:p>
        </w:tc>
      </w:tr>
      <w:tr>
        <w:trPr>
          <w:trHeight w:val="112"/>
        </w:trPr>
        <w:tc>
          <w:tcPr>
            <w:tcW w:w="298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8"/>
        </w:trPr>
        <w:tc>
          <w:tcPr>
            <w:tcW w:w="29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20" w:type="dxa"/>
            <w:vAlign w:val="bottom"/>
          </w:tcPr>
          <w:p>
            <w:pPr>
              <w:ind w:left="80"/>
              <w:spacing w:after="0"/>
              <w:rPr>
                <w:sz w:val="20"/>
                <w:szCs w:val="20"/>
                <w:color w:val="auto"/>
              </w:rPr>
            </w:pPr>
            <w:r>
              <w:rPr>
                <w:rFonts w:ascii="Arial" w:cs="Arial" w:eastAsia="Arial" w:hAnsi="Arial"/>
                <w:sz w:val="20"/>
                <w:szCs w:val="20"/>
                <w:color w:val="0000FF"/>
              </w:rPr>
              <w:t>7/18/2019</w:t>
            </w: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32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832,668 Blizzard Management Feeder LLC Interests ("Feeder Interests") are currently vested and currently exercisable. The remaining Feeder Interests will vest in five equal annual installments beginning on September 13, 2020 and have no expiration date.</w:t>
      </w:r>
    </w:p>
    <w:p>
      <w:pPr>
        <w:spacing w:after="0" w:line="26" w:lineRule="exact"/>
        <w:rPr>
          <w:rFonts w:ascii="Arial" w:cs="Arial" w:eastAsia="Arial" w:hAnsi="Arial"/>
          <w:sz w:val="15"/>
          <w:szCs w:val="15"/>
          <w:color w:val="008000"/>
        </w:rPr>
      </w:pPr>
    </w:p>
    <w:p>
      <w:pPr>
        <w:ind w:left="40" w:right="26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Feeder Interests are convertible at the option of the holder for LLC Interests on a 1-for-1 basis, which will be subsequently redeemed for an equal number of shares of Class A Common Stock.</w:t>
      </w:r>
    </w:p>
    <w:p>
      <w:pPr>
        <w:spacing w:after="0" w:line="26"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Feeder Interests are fully vested and currently exercisable.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84" w:lineRule="exact"/>
        <w:rPr>
          <w:sz w:val="24"/>
          <w:szCs w:val="24"/>
          <w:color w:val="auto"/>
        </w:rPr>
      </w:pPr>
    </w:p>
    <w:p>
      <w:pPr>
        <w:ind w:left="6580"/>
        <w:spacing w:after="0"/>
        <w:rPr>
          <w:sz w:val="20"/>
          <w:szCs w:val="20"/>
          <w:color w:val="auto"/>
        </w:rPr>
      </w:pPr>
      <w:r>
        <w:rPr>
          <w:rFonts w:ascii="Arial" w:cs="Arial" w:eastAsia="Arial" w:hAnsi="Arial"/>
          <w:sz w:val="20"/>
          <w:szCs w:val="20"/>
          <w:color w:val="0000FF"/>
        </w:rPr>
        <w:t>/s/ Clinton P. Jones,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-15240</wp:posOffset>
            </wp:positionV>
            <wp:extent cx="97409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409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Attorney-in-fact for James 07/15/2020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A. Sharman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59182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91820" cy="9525"/>
                    </a:xfrm>
                    <a:prstGeom prst="rect">
                      <a:avLst/>
                    </a:prstGeom>
                    <a:noFill/>
                  </pic:spPr>
                </pic:pic>
              </a:graphicData>
            </a:graphic>
          </wp:anchor>
        </w:drawing>
      </w:r>
    </w:p>
    <w:p>
      <w:pPr>
        <w:spacing w:after="0" w:line="44"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619" w:firstLine="936"/>
        <w:spacing w:after="0" w:line="269" w:lineRule="auto"/>
        <w:rPr>
          <w:sz w:val="20"/>
          <w:szCs w:val="20"/>
          <w:color w:val="auto"/>
        </w:rPr>
      </w:pPr>
      <w:r>
        <w:rPr>
          <w:rFonts w:ascii="Courier New" w:cs="Courier New" w:eastAsia="Courier New" w:hAnsi="Courier New"/>
          <w:sz w:val="18"/>
          <w:szCs w:val="18"/>
          <w:color w:val="auto"/>
        </w:rPr>
        <w:t>With respect to holdings of and transactions in securities issued by GoHealth, Inc.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208" w:lineRule="exact"/>
        <w:rPr>
          <w:sz w:val="20"/>
          <w:szCs w:val="20"/>
          <w:color w:val="auto"/>
        </w:rPr>
      </w:pPr>
    </w:p>
    <w:p>
      <w:pPr>
        <w:ind w:left="1400" w:right="619" w:hanging="698"/>
        <w:spacing w:after="0" w:line="237" w:lineRule="auto"/>
        <w:tabs>
          <w:tab w:leader="none" w:pos="140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United States Securities and Exchange Commission (the "SEC")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236" w:lineRule="exact"/>
        <w:rPr>
          <w:rFonts w:ascii="Courier New" w:cs="Courier New" w:eastAsia="Courier New" w:hAnsi="Courier New"/>
          <w:sz w:val="20"/>
          <w:szCs w:val="20"/>
          <w:color w:val="auto"/>
        </w:rPr>
      </w:pPr>
    </w:p>
    <w:p>
      <w:pPr>
        <w:jc w:val="both"/>
        <w:ind w:left="1400" w:right="839" w:hanging="698"/>
        <w:spacing w:after="0" w:line="236" w:lineRule="auto"/>
        <w:tabs>
          <w:tab w:leader="none" w:pos="140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Forms 3, 4, and 5 in accordance with Section 16 of the Securities Exchange Act of 1934, as amended, and the rules thereunder;</w:t>
      </w:r>
    </w:p>
    <w:p>
      <w:pPr>
        <w:spacing w:after="0" w:line="232" w:lineRule="exact"/>
        <w:rPr>
          <w:rFonts w:ascii="Courier New" w:cs="Courier New" w:eastAsia="Courier New" w:hAnsi="Courier New"/>
          <w:sz w:val="20"/>
          <w:szCs w:val="20"/>
          <w:color w:val="auto"/>
        </w:rPr>
      </w:pPr>
    </w:p>
    <w:p>
      <w:pPr>
        <w:ind w:left="1400" w:right="619" w:hanging="698"/>
        <w:spacing w:after="0" w:line="237" w:lineRule="auto"/>
        <w:tabs>
          <w:tab w:leader="none" w:pos="140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31" w:lineRule="exact"/>
        <w:rPr>
          <w:rFonts w:ascii="Courier New" w:cs="Courier New" w:eastAsia="Courier New" w:hAnsi="Courier New"/>
          <w:sz w:val="20"/>
          <w:szCs w:val="20"/>
          <w:color w:val="auto"/>
        </w:rPr>
      </w:pPr>
    </w:p>
    <w:p>
      <w:pPr>
        <w:ind w:left="1400" w:right="619" w:hanging="698"/>
        <w:spacing w:after="0" w:line="237" w:lineRule="auto"/>
        <w:tabs>
          <w:tab w:leader="none" w:pos="140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6" w:lineRule="exact"/>
        <w:rPr>
          <w:sz w:val="20"/>
          <w:szCs w:val="20"/>
          <w:color w:val="auto"/>
        </w:rPr>
      </w:pPr>
    </w:p>
    <w:p>
      <w:pPr>
        <w:ind w:right="739" w:firstLine="936"/>
        <w:spacing w:after="0" w:line="237"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37" w:lineRule="exact"/>
        <w:rPr>
          <w:sz w:val="20"/>
          <w:szCs w:val="20"/>
          <w:color w:val="auto"/>
        </w:rPr>
      </w:pPr>
    </w:p>
    <w:p>
      <w:pPr>
        <w:ind w:right="619" w:firstLine="936"/>
        <w:spacing w:after="0" w:line="237" w:lineRule="auto"/>
        <w:rPr>
          <w:sz w:val="20"/>
          <w:szCs w:val="20"/>
          <w:color w:val="auto"/>
        </w:rPr>
      </w:pPr>
      <w:r>
        <w:rPr>
          <w:rFonts w:ascii="Courier New" w:cs="Courier New" w:eastAsia="Courier New" w:hAnsi="Courier New"/>
          <w:sz w:val="20"/>
          <w:szCs w:val="20"/>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31" w:lineRule="exact"/>
        <w:rPr>
          <w:sz w:val="20"/>
          <w:szCs w:val="20"/>
          <w:color w:val="auto"/>
        </w:rPr>
      </w:pPr>
    </w:p>
    <w:p>
      <w:pPr>
        <w:ind w:right="619" w:firstLine="936"/>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GoHealth, Inc., unless earlier revoked by the undersigned in a signed writing delivered to the foregoing attorneys-in-fact.</w:t>
      </w:r>
    </w:p>
    <w:p>
      <w:pPr>
        <w:spacing w:after="0" w:line="200" w:lineRule="exact"/>
        <w:rPr>
          <w:sz w:val="20"/>
          <w:szCs w:val="20"/>
          <w:color w:val="auto"/>
        </w:rPr>
      </w:pPr>
    </w:p>
    <w:p>
      <w:pPr>
        <w:spacing w:after="0" w:line="257" w:lineRule="exact"/>
        <w:rPr>
          <w:sz w:val="20"/>
          <w:szCs w:val="20"/>
          <w:color w:val="auto"/>
        </w:rPr>
      </w:pPr>
    </w:p>
    <w:p>
      <w:pPr>
        <w:ind w:right="739" w:firstLine="936"/>
        <w:spacing w:after="0" w:line="236" w:lineRule="auto"/>
        <w:rPr>
          <w:sz w:val="20"/>
          <w:szCs w:val="20"/>
          <w:color w:val="auto"/>
        </w:rPr>
      </w:pPr>
      <w:r>
        <w:rPr>
          <w:rFonts w:ascii="Courier New" w:cs="Courier New" w:eastAsia="Courier New" w:hAnsi="Courier New"/>
          <w:sz w:val="20"/>
          <w:szCs w:val="20"/>
          <w:color w:val="auto"/>
        </w:rPr>
        <w:t>IN WITNESS WHEREOF, the undersigned has executed this Power of Attorney on this 18th day of June, 2020.</w:t>
      </w:r>
    </w:p>
    <w:p>
      <w:pPr>
        <w:spacing w:after="0" w:line="200" w:lineRule="exact"/>
        <w:rPr>
          <w:sz w:val="20"/>
          <w:szCs w:val="20"/>
          <w:color w:val="auto"/>
        </w:rPr>
      </w:pPr>
    </w:p>
    <w:p>
      <w:pPr>
        <w:spacing w:after="0" w:line="249"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20"/>
          <w:szCs w:val="20"/>
          <w:color w:val="auto"/>
        </w:rPr>
        <w:t>Signature:</w:t>
        <w:tab/>
        <w:t>/s/ James A. Sharman</w:t>
      </w:r>
    </w:p>
    <w:p>
      <w:pPr>
        <w:ind w:left="1520"/>
        <w:spacing w:after="0" w:line="238" w:lineRule="auto"/>
        <w:rPr>
          <w:sz w:val="20"/>
          <w:szCs w:val="20"/>
          <w:color w:val="auto"/>
        </w:rPr>
      </w:pPr>
      <w:r>
        <w:rPr>
          <w:rFonts w:ascii="Courier New" w:cs="Courier New" w:eastAsia="Courier New" w:hAnsi="Courier New"/>
          <w:sz w:val="20"/>
          <w:szCs w:val="20"/>
          <w:color w:val="auto"/>
        </w:rPr>
        <w:t>--------------------</w:t>
      </w:r>
    </w:p>
    <w:p>
      <w:pPr>
        <w:spacing w:after="0" w:line="224"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20"/>
          <w:szCs w:val="20"/>
          <w:color w:val="auto"/>
        </w:rPr>
        <w:t>Print Name:</w:t>
      </w:r>
      <w:r>
        <w:rPr>
          <w:sz w:val="20"/>
          <w:szCs w:val="20"/>
          <w:color w:val="auto"/>
        </w:rPr>
        <w:tab/>
      </w:r>
      <w:r>
        <w:rPr>
          <w:rFonts w:ascii="Courier New" w:cs="Courier New" w:eastAsia="Courier New" w:hAnsi="Courier New"/>
          <w:sz w:val="18"/>
          <w:szCs w:val="18"/>
          <w:color w:val="auto"/>
        </w:rPr>
        <w:t>JAMES A. SHARMAN</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100"/>
        <w:spacing w:after="0"/>
        <w:rPr>
          <w:sz w:val="20"/>
          <w:szCs w:val="20"/>
          <w:color w:val="auto"/>
        </w:rPr>
      </w:pPr>
      <w:r>
        <w:rPr>
          <w:rFonts w:ascii="Courier New" w:cs="Courier New" w:eastAsia="Courier New" w:hAnsi="Courier New"/>
          <w:sz w:val="20"/>
          <w:szCs w:val="20"/>
          <w:color w:val="auto"/>
        </w:rPr>
        <w:t>Schedule A</w:t>
      </w:r>
    </w:p>
    <w:p>
      <w:pPr>
        <w:spacing w:after="0" w:line="230" w:lineRule="exact"/>
        <w:rPr>
          <w:sz w:val="20"/>
          <w:szCs w:val="20"/>
          <w:color w:val="auto"/>
        </w:rPr>
      </w:pPr>
    </w:p>
    <w:p>
      <w:pPr>
        <w:ind w:right="2019" w:firstLine="936"/>
        <w:spacing w:after="0" w:line="236" w:lineRule="auto"/>
        <w:rPr>
          <w:sz w:val="20"/>
          <w:szCs w:val="20"/>
          <w:color w:val="auto"/>
        </w:rPr>
      </w:pPr>
      <w:r>
        <w:rPr>
          <w:rFonts w:ascii="Courier New" w:cs="Courier New" w:eastAsia="Courier New" w:hAnsi="Courier New"/>
          <w:sz w:val="20"/>
          <w:szCs w:val="20"/>
          <w:color w:val="auto"/>
        </w:rPr>
        <w:t>Individuals Appointed as Attorney-in-Fact with Full Power of Substitution and Resubstitution</w:t>
      </w:r>
    </w:p>
    <w:p>
      <w:pPr>
        <w:sectPr>
          <w:pgSz w:w="11900" w:h="16838" w:orient="portrait"/>
          <w:cols w:equalWidth="0" w:num="1">
            <w:col w:w="9979"/>
          </w:cols>
          <w:pgMar w:left="48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20"/>
          <w:szCs w:val="20"/>
          <w:color w:val="auto"/>
        </w:rPr>
        <w:t>Clinton P. Jones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Travis J. Matthiesen</w:t>
      </w:r>
    </w:p>
    <w:sectPr>
      <w:pgSz w:w="11900" w:h="16838" w:orient="portrait"/>
      <w:cols w:equalWidth="0" w:num="1">
        <w:col w:w="9979"/>
      </w:cols>
      <w:pgMar w:left="480" w:top="3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1665220" TargetMode="External"/><Relationship Id="rId11" Type="http://schemas.openxmlformats.org/officeDocument/2006/relationships/hyperlink" Target="http://www.sec.gov/cgi-bin/browse-edgar?action=getcompany&amp;CIK=00018082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2020-07-15T20:42:46Z</dcterms:created>
  <dcterms:modified xsi:type="dcterms:W3CDTF">2020-07-15T20:42:46Z</dcterms:modified>
</cp:coreProperties>
</file>