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150-3_4seq1.xml.htm"/>
      <w:bookmarkStart w:id="1" w:name="kstm2623150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CB Blizzard Holdings 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GoHealth, Inc.</w:t>
              </w:r>
            </w:hyperlink>
            <w:r>
              <w:rPr/>
              <w:t xml:space="preserve"> [ </w:t>
            </w:r>
            <w:r>
              <w:rPr>
                <w:rFonts w:ascii="Times;serif" w:hAnsi="Times;serif"/>
                <w:color w:val="0000FF"/>
                <w:sz w:val="24"/>
                <w:shd w:fill="FFFFFF" w:val="clear"/>
              </w:rPr>
              <w:t>GOCO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7"/>
        <w:gridCol w:w="904"/>
        <w:gridCol w:w="775"/>
        <w:gridCol w:w="600"/>
        <w:gridCol w:w="343"/>
        <w:gridCol w:w="1140"/>
        <w:gridCol w:w="437"/>
        <w:gridCol w:w="600"/>
        <w:gridCol w:w="1135"/>
        <w:gridCol w:w="97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4,179,850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285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Interests of GoHealth Holdings,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5,386,178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5,386,178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Plan, the holders of Class A common stock and other Allowed GoHealth Holding Interests (as defined in the Plan), including the reporting person, are entitled to receive their pro rata share of an approximately $10.3 million cash equity recovery pool.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2,712,197 shares of Class A Common Stock previously held of record by CB Blizzard Lower Holdings A, L.P. ("CB Blizzard A") and (ii) 1,467,653 shares of Class A Common Stock previously held of record by CB Blizzard Holdings C, L.P. ("CB Blizzard 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LLC Interests of GoHealth Holdings, LLC were redeemable for an equal number of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HOLDINGS C, L.P., By: CCP III CAYMAN GP LTD.,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976" TargetMode="External"/><Relationship Id="rId5" Type="http://schemas.openxmlformats.org/officeDocument/2006/relationships/hyperlink" Target="http://www.sec.gov/cgi-bin/browse-edgar?action=getcompany&amp;CIK=00018082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1201</Words>
  <Characters>6124</Characters>
  <CharactersWithSpaces>7238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