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13, 2025</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GoHealth,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96"/>
        </w:trPr>
        <w:tc>
          <w:tcPr>
            <w:tcW w:w="300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280" w:type="dxa"/>
            <w:vAlign w:val="bottom"/>
          </w:tcPr>
          <w:p>
            <w:pPr>
              <w:jc w:val="right"/>
              <w:ind w:right="1803"/>
              <w:spacing w:after="0"/>
              <w:rPr>
                <w:sz w:val="20"/>
                <w:szCs w:val="20"/>
                <w:color w:val="auto"/>
              </w:rPr>
            </w:pPr>
            <w:r>
              <w:rPr>
                <w:rFonts w:ascii="Arial" w:cs="Arial" w:eastAsia="Arial" w:hAnsi="Arial"/>
                <w:sz w:val="14"/>
                <w:szCs w:val="14"/>
                <w:b w:val="1"/>
                <w:bCs w:val="1"/>
                <w:color w:val="auto"/>
              </w:rPr>
              <w:t>001-39390</w:t>
            </w:r>
          </w:p>
        </w:tc>
        <w:tc>
          <w:tcPr>
            <w:tcW w:w="2540" w:type="dxa"/>
            <w:vAlign w:val="bottom"/>
          </w:tcPr>
          <w:p>
            <w:pPr>
              <w:jc w:val="right"/>
              <w:ind w:right="648"/>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23"/>
        </w:trPr>
        <w:tc>
          <w:tcPr>
            <w:tcW w:w="3000" w:type="dxa"/>
            <w:vAlign w:val="bottom"/>
          </w:tcPr>
          <w:p>
            <w:pPr>
              <w:jc w:val="center"/>
              <w:ind w:right="88"/>
              <w:spacing w:after="0"/>
              <w:rPr>
                <w:sz w:val="20"/>
                <w:szCs w:val="20"/>
                <w:color w:val="auto"/>
              </w:rPr>
            </w:pPr>
            <w:r>
              <w:rPr>
                <w:rFonts w:ascii="Arial" w:cs="Arial" w:eastAsia="Arial" w:hAnsi="Arial"/>
                <w:sz w:val="14"/>
                <w:szCs w:val="14"/>
                <w:color w:val="auto"/>
              </w:rPr>
              <w:t>(State or other jurisdiction of incorporation)</w:t>
            </w:r>
          </w:p>
        </w:tc>
        <w:tc>
          <w:tcPr>
            <w:tcW w:w="4280" w:type="dxa"/>
            <w:vAlign w:val="bottom"/>
          </w:tcPr>
          <w:p>
            <w:pPr>
              <w:jc w:val="center"/>
              <w:ind w:right="83"/>
              <w:spacing w:after="0"/>
              <w:rPr>
                <w:sz w:val="20"/>
                <w:szCs w:val="20"/>
                <w:color w:val="auto"/>
              </w:rPr>
            </w:pPr>
            <w:r>
              <w:rPr>
                <w:rFonts w:ascii="Arial" w:cs="Arial" w:eastAsia="Arial" w:hAnsi="Arial"/>
                <w:sz w:val="14"/>
                <w:szCs w:val="14"/>
                <w:color w:val="auto"/>
              </w:rPr>
              <w:t>(Commission File Number)</w:t>
            </w:r>
          </w:p>
        </w:tc>
        <w:tc>
          <w:tcPr>
            <w:tcW w:w="2540" w:type="dxa"/>
            <w:vAlign w:val="bottom"/>
          </w:tcPr>
          <w:p>
            <w:pPr>
              <w:jc w:val="center"/>
              <w:ind w:left="24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465"/>
        </w:trPr>
        <w:tc>
          <w:tcPr>
            <w:tcW w:w="3000" w:type="dxa"/>
            <w:vAlign w:val="bottom"/>
          </w:tcPr>
          <w:p>
            <w:pPr>
              <w:jc w:val="center"/>
              <w:ind w:right="88"/>
              <w:spacing w:after="0"/>
              <w:rPr>
                <w:sz w:val="20"/>
                <w:szCs w:val="20"/>
                <w:color w:val="auto"/>
              </w:rPr>
            </w:pPr>
            <w:r>
              <w:rPr>
                <w:rFonts w:ascii="Arial" w:cs="Arial" w:eastAsia="Arial" w:hAnsi="Arial"/>
                <w:sz w:val="14"/>
                <w:szCs w:val="14"/>
                <w:b w:val="1"/>
                <w:bCs w:val="1"/>
                <w:color w:val="auto"/>
              </w:rPr>
              <w:t>222 W Merchandise Mart Plaza Suite 1750</w:t>
            </w:r>
          </w:p>
        </w:tc>
        <w:tc>
          <w:tcPr>
            <w:tcW w:w="4280" w:type="dxa"/>
            <w:vAlign w:val="bottom"/>
          </w:tcPr>
          <w:p>
            <w:pPr>
              <w:spacing w:after="0"/>
              <w:rPr>
                <w:sz w:val="24"/>
                <w:szCs w:val="24"/>
                <w:color w:val="auto"/>
              </w:rPr>
            </w:pPr>
          </w:p>
        </w:tc>
        <w:tc>
          <w:tcPr>
            <w:tcW w:w="254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3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Chicago, Illinois</w:t>
            </w:r>
          </w:p>
        </w:tc>
        <w:tc>
          <w:tcPr>
            <w:tcW w:w="428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000" w:type="dxa"/>
            <w:vAlign w:val="bottom"/>
          </w:tcPr>
          <w:p>
            <w:pPr>
              <w:jc w:val="center"/>
              <w:ind w:right="108"/>
              <w:spacing w:after="0"/>
              <w:rPr>
                <w:sz w:val="20"/>
                <w:szCs w:val="20"/>
                <w:color w:val="auto"/>
              </w:rPr>
            </w:pPr>
            <w:r>
              <w:rPr>
                <w:rFonts w:ascii="Arial" w:cs="Arial" w:eastAsia="Arial" w:hAnsi="Arial"/>
                <w:sz w:val="14"/>
                <w:szCs w:val="14"/>
                <w:color w:val="auto"/>
              </w:rPr>
              <w:t>(Address of principal executive offices)</w:t>
            </w:r>
          </w:p>
        </w:tc>
        <w:tc>
          <w:tcPr>
            <w:tcW w:w="4280" w:type="dxa"/>
            <w:vAlign w:val="bottom"/>
          </w:tcPr>
          <w:p>
            <w:pPr>
              <w:spacing w:after="0"/>
              <w:rPr>
                <w:sz w:val="19"/>
                <w:szCs w:val="19"/>
                <w:color w:val="auto"/>
              </w:rPr>
            </w:pPr>
          </w:p>
        </w:tc>
        <w:tc>
          <w:tcPr>
            <w:tcW w:w="2540" w:type="dxa"/>
            <w:vAlign w:val="bottom"/>
          </w:tcPr>
          <w:p>
            <w:pPr>
              <w:jc w:val="center"/>
              <w:ind w:left="2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19"/>
        </w:trPr>
        <w:tc>
          <w:tcPr>
            <w:tcW w:w="3000" w:type="dxa"/>
            <w:vAlign w:val="bottom"/>
          </w:tcPr>
          <w:p>
            <w:pPr>
              <w:spacing w:after="0"/>
              <w:rPr>
                <w:sz w:val="24"/>
                <w:szCs w:val="24"/>
                <w:color w:val="auto"/>
              </w:rPr>
            </w:pPr>
          </w:p>
        </w:tc>
        <w:tc>
          <w:tcPr>
            <w:tcW w:w="4280" w:type="dxa"/>
            <w:vAlign w:val="bottom"/>
          </w:tcPr>
          <w:p>
            <w:pPr>
              <w:jc w:val="right"/>
              <w:ind w:right="1583"/>
              <w:spacing w:after="0"/>
              <w:rPr>
                <w:sz w:val="20"/>
                <w:szCs w:val="20"/>
                <w:color w:val="auto"/>
              </w:rPr>
            </w:pPr>
            <w:r>
              <w:rPr>
                <w:rFonts w:ascii="Arial" w:cs="Arial" w:eastAsia="Arial" w:hAnsi="Arial"/>
                <w:sz w:val="16"/>
                <w:szCs w:val="16"/>
                <w:b w:val="1"/>
                <w:bCs w:val="1"/>
                <w:color w:val="auto"/>
              </w:rPr>
              <w:t>(312) 386-8200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4"/>
                <w:szCs w:val="24"/>
                <w:color w:val="auto"/>
              </w:rPr>
            </w:pPr>
          </w:p>
        </w:tc>
        <w:tc>
          <w:tcPr>
            <w:tcW w:w="4280" w:type="dxa"/>
            <w:vAlign w:val="bottom"/>
          </w:tcPr>
          <w:p>
            <w:pPr>
              <w:jc w:val="center"/>
              <w:ind w:right="83"/>
              <w:spacing w:after="0"/>
              <w:rPr>
                <w:sz w:val="20"/>
                <w:szCs w:val="20"/>
                <w:color w:val="auto"/>
              </w:rPr>
            </w:pPr>
            <w:r>
              <w:rPr>
                <w:rFonts w:ascii="Arial" w:cs="Arial" w:eastAsia="Arial" w:hAnsi="Arial"/>
                <w:sz w:val="16"/>
                <w:szCs w:val="16"/>
                <w:color w:val="auto"/>
              </w:rPr>
              <w:t>(Registrant’s telephone number, including area code)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000" w:type="dxa"/>
            <w:vAlign w:val="bottom"/>
          </w:tcPr>
          <w:p>
            <w:pPr>
              <w:spacing w:after="0"/>
              <w:rPr>
                <w:sz w:val="24"/>
                <w:szCs w:val="24"/>
                <w:color w:val="auto"/>
              </w:rPr>
            </w:pPr>
          </w:p>
        </w:tc>
        <w:tc>
          <w:tcPr>
            <w:tcW w:w="4280" w:type="dxa"/>
            <w:vAlign w:val="bottom"/>
          </w:tcPr>
          <w:p>
            <w:pPr>
              <w:jc w:val="center"/>
              <w:ind w:right="83"/>
              <w:spacing w:after="0"/>
              <w:rPr>
                <w:sz w:val="20"/>
                <w:szCs w:val="20"/>
                <w:color w:val="auto"/>
              </w:rPr>
            </w:pPr>
            <w:r>
              <w:rPr>
                <w:rFonts w:ascii="Arial" w:cs="Arial" w:eastAsia="Arial" w:hAnsi="Arial"/>
                <w:sz w:val="16"/>
                <w:szCs w:val="16"/>
                <w:b w:val="1"/>
                <w:bCs w:val="1"/>
                <w:color w:val="auto"/>
              </w:rPr>
              <w:t>N/A</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1"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01"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On May 13, 2025, GoHealth, Inc. issued a press release announcing its financial results for the quarter ended March 31, 2025.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520" w:type="dxa"/>
            <w:vAlign w:val="bottom"/>
            <w:tcBorders>
              <w:top w:val="single" w:sz="8" w:color="auto"/>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May 13, 2025</w:t>
            </w:r>
          </w:p>
        </w:tc>
        <w:tc>
          <w:tcPr>
            <w:tcW w:w="7320" w:type="dxa"/>
            <w:vAlign w:val="bottom"/>
            <w:tcBorders>
              <w:top w:val="single" w:sz="8" w:color="auto"/>
            </w:tcBorders>
          </w:tcPr>
          <w:p>
            <w:pPr>
              <w:spacing w:after="0"/>
              <w:rPr>
                <w:sz w:val="14"/>
                <w:szCs w:val="14"/>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13, 2025</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30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19050</wp:posOffset>
            </wp:positionV>
            <wp:extent cx="139700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38608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151D8E"/>
        </w:rPr>
        <w:t>GoHealth Reports First 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CHICAGO, May 13, 2025 — GoHealth, Inc. (NASDAQ: GOCO) (“GoHealth” or the “Company”), a leading health insurance marketplace and Medicare-focused digital health company, today announced financial results for the three months ended March 31, 2025.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151D8E"/>
        </w:rPr>
        <w:t>First Quarter Highlights</w:t>
      </w:r>
    </w:p>
    <w:p>
      <w:pPr>
        <w:spacing w:after="0" w:line="11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2025 net revenues of $221.0 million, a 19.1% increase compared to $185.6 million in the prior year period.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2025 net loss of $9.8 million, a 54.2% improvement compared to a net loss of $21.3 million in the prior year period.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2025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$42.1 million, a 56.4% increase compared to $26.9 million in the prior year period.</w:t>
      </w:r>
    </w:p>
    <w:p>
      <w:pPr>
        <w:spacing w:after="0" w:line="55" w:lineRule="exact"/>
        <w:rPr>
          <w:rFonts w:ascii="Arial" w:cs="Arial" w:eastAsia="Arial" w:hAnsi="Arial"/>
          <w:sz w:val="16"/>
          <w:szCs w:val="16"/>
          <w:color w:val="auto"/>
        </w:rPr>
      </w:pPr>
    </w:p>
    <w:p>
      <w:pPr>
        <w:ind w:left="660" w:right="540" w:hanging="328"/>
        <w:spacing w:after="0" w:line="23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2025 Submissions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were 303,026, a 40.2% increase compared to 216,148 Submissions in the prior year period, primarily driven by strong contributions from GoHealth’s internal captive agents.</w:t>
      </w:r>
    </w:p>
    <w:p>
      <w:pPr>
        <w:spacing w:after="0" w:line="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2025 Direct Operating Cost per Submission</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was $522, an 18.4% improvement compared to $640 in the prior year period.</w:t>
      </w:r>
    </w:p>
    <w:p>
      <w:pPr>
        <w:spacing w:after="0" w:line="69" w:lineRule="exact"/>
        <w:rPr>
          <w:rFonts w:ascii="Arial" w:cs="Arial" w:eastAsia="Arial" w:hAnsi="Arial"/>
          <w:sz w:val="16"/>
          <w:szCs w:val="16"/>
          <w:color w:val="auto"/>
        </w:rPr>
      </w:pPr>
    </w:p>
    <w:p>
      <w:pPr>
        <w:ind w:left="660" w:right="6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Launched GoHealth Protect, a suite of products offered to cover unexpected life events, with the expansion into guaranteed acceptance life insurance as the inaugural product.</w:t>
      </w:r>
    </w:p>
    <w:p>
      <w:pPr>
        <w:spacing w:after="0" w:line="277"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"Our achievements in the first quarter demonstrate substantial progress in key financial metrics, including revenue, Adjusted EBITDA, margin enhancement, and capital efficiency," said Vijay Kotte, CEO of GoHealth. "We are continuously refining our platform, tools, product offerings and technology to provide consumers with a more personalized and higher-quality experience as they navigate complex coverage options. We believe these investments are not only elevating the consumer journey but also driving better outcomes across our business. With the recent launch of GoHealth Protect, we are diversifying our product offerings with a curated marketplace of coverage options. By expanding into guaranteed acceptance life insurance, we seek to extend the value of customer relationships, bolster unit economics, and further our mission of delivering peace of mind to consumers.”</w:t>
      </w:r>
    </w:p>
    <w:p>
      <w:pPr>
        <w:spacing w:after="0" w:line="23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delivered strong year-over-year growth, reduced customer acquisition costs, and improved operating leverage. At the same time, we continued to invest selectively in high-return initiatives, including the launch of our GoHealth Protect life insurance,” said Brendan Shanahan, CFO of GoHealth. “As this new offering scales, we expect it to enhance our ability to generate cash flow throughout the year while driving down acquisition costs across the business. A combination of disciplined execution and smart investment will position us well for continued momentum in the quarters ahead.”</w:t>
      </w:r>
    </w:p>
    <w:p>
      <w:pPr>
        <w:spacing w:after="0" w:line="19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4" w:lineRule="exact"/>
        <w:rPr>
          <w:rFonts w:ascii="Arial" w:cs="Arial" w:eastAsia="Arial" w:hAnsi="Arial"/>
          <w:sz w:val="13"/>
          <w:szCs w:val="13"/>
          <w:i w:val="1"/>
          <w:iCs w:val="1"/>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Number of Submissions is an operating metric. For a definition of Submissions, please see below.</w:t>
      </w:r>
    </w:p>
    <w:p>
      <w:pPr>
        <w:spacing w:after="0" w:line="7" w:lineRule="exact"/>
        <w:rPr>
          <w:rFonts w:ascii="Arial" w:cs="Arial" w:eastAsia="Arial" w:hAnsi="Arial"/>
          <w:sz w:val="13"/>
          <w:szCs w:val="13"/>
          <w:i w:val="1"/>
          <w:iCs w:val="1"/>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Direct Operating Cost per Submission is an operating metric. For a definition of Direct Operating Cost per Submission and an explanation of its calculation, please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151D8E"/>
        </w:rPr>
        <w:t>Conference Call Details</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will host a conference call today, Tuesday, May 13, 2025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About GoHealth, Inc.</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151D8E"/>
        </w:rPr>
        <w:t>Forward-Looking Statements</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regulatory changes, the impact on our business from the acquisition of e-TeleQuote Insurance, Inc. (“e-TeleQuote”) and our ability to successfully integrate e-TeleQuote’s operations, technologies and employees into our business, are forward-looking statements.</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0"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our forthcoming Quarterly Report on Form 10-Q for the first quarter ended March 31, 2025 (“Q1 2025 Quarterly Report on Form 10-Q”) and in our other filings with the Securities and Exchange Commission. The factors described in our 2024 Annual Report on Form 10-K and our forthcoming Q1 2025 Quarterly Report on Form 10-Q should not be construed as exhaustive and should be read together with the other cautionary statements included in this press release, as well as the cautionary statements and other risk factors set forth in our other filings with the Securities and Exchange Commission.</w:t>
      </w:r>
    </w:p>
    <w:p>
      <w:pPr>
        <w:spacing w:after="0" w:line="23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Non-GAAP Financial Measures</w:t>
      </w:r>
    </w:p>
    <w:p>
      <w:pPr>
        <w:spacing w:after="0" w:line="26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Throughout this press release,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212" w:lineRule="exact"/>
        <w:rPr>
          <w:sz w:val="20"/>
          <w:szCs w:val="20"/>
          <w:color w:val="auto"/>
        </w:rPr>
      </w:pPr>
    </w:p>
    <w:p>
      <w:pPr>
        <w:ind w:left="660" w:right="18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in the table furnished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press release.</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furnished below in this press release.</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81" w:right="339" w:bottom="1440" w:gutter="0" w:footer="0" w:header="0"/>
          <w:type w:val="continuous"/>
        </w:sectPr>
      </w:pPr>
    </w:p>
    <w:bookmarkStart w:id="6" w:name="page7"/>
    <w:bookmarkEnd w:id="6"/>
    <w:p>
      <w:pPr>
        <w:ind w:right="40"/>
        <w:spacing w:after="0" w:line="275" w:lineRule="auto"/>
        <w:rPr>
          <w:sz w:val="20"/>
          <w:szCs w:val="20"/>
          <w:color w:val="auto"/>
        </w:rPr>
      </w:pPr>
      <w:r>
        <w:rPr>
          <w:rFonts w:ascii="Arial" w:cs="Arial" w:eastAsia="Arial" w:hAnsi="Arial"/>
          <w:sz w:val="16"/>
          <w:szCs w:val="16"/>
          <w:color w:val="auto"/>
        </w:rPr>
        <w:t>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Key Business Performance and Operating Metrics</w:t>
      </w:r>
    </w:p>
    <w:p>
      <w:pPr>
        <w:spacing w:after="0" w:line="2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are as follows:</w:t>
      </w:r>
    </w:p>
    <w:p>
      <w:pPr>
        <w:spacing w:after="0" w:line="183" w:lineRule="exact"/>
        <w:rPr>
          <w:sz w:val="20"/>
          <w:szCs w:val="20"/>
          <w:color w:val="auto"/>
        </w:rPr>
      </w:pPr>
    </w:p>
    <w:p>
      <w:pPr>
        <w:ind w:left="660" w:right="40" w:hanging="328"/>
        <w:spacing w:after="0" w:line="27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particular period.</w:t>
      </w:r>
    </w:p>
    <w:p>
      <w:pPr>
        <w:spacing w:after="0" w:line="194" w:lineRule="exact"/>
        <w:rPr>
          <w:rFonts w:ascii="Arial" w:cs="Arial" w:eastAsia="Arial" w:hAnsi="Arial"/>
          <w:sz w:val="16"/>
          <w:szCs w:val="16"/>
          <w:color w:val="auto"/>
        </w:rPr>
      </w:pPr>
    </w:p>
    <w:p>
      <w:pPr>
        <w:ind w:left="660" w:right="22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period. Direct Operating Cost per Submission refers to (x) Direct Operating Cost of Submission for a particular period divided by (y) the number of Submissions generated for such period.</w:t>
      </w:r>
    </w:p>
    <w:p>
      <w:pPr>
        <w:spacing w:after="0" w:line="191" w:lineRule="exact"/>
        <w:rPr>
          <w:rFonts w:ascii="Arial" w:cs="Arial" w:eastAsia="Arial" w:hAnsi="Arial"/>
          <w:sz w:val="16"/>
          <w:szCs w:val="16"/>
          <w:color w:val="auto"/>
        </w:rPr>
      </w:pPr>
    </w:p>
    <w:p>
      <w:pPr>
        <w:ind w:left="660" w:right="70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w:t>
      </w:r>
    </w:p>
    <w:p>
      <w:pPr>
        <w:spacing w:after="0" w:line="196"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particular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non-agency revenues, comprised of the enrollment and engagement services for which cash is collected in advance or in close proximity to the point in time revenue is recognized, divided by (y) the number of Submissions generated for such period.</w:t>
      </w:r>
    </w:p>
    <w:p>
      <w:pPr>
        <w:spacing w:after="0" w:line="207" w:lineRule="exact"/>
        <w:rPr>
          <w:rFonts w:ascii="Arial" w:cs="Arial" w:eastAsia="Arial" w:hAnsi="Arial"/>
          <w:sz w:val="16"/>
          <w:szCs w:val="16"/>
          <w:color w:val="auto"/>
        </w:rPr>
      </w:pPr>
    </w:p>
    <w:p>
      <w:pPr>
        <w:ind w:left="660" w:right="3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or (ii) a transfer by our agent to the health plan partner through the Encompass operating model during the indicated period.</w:t>
      </w:r>
    </w:p>
    <w:p>
      <w:pPr>
        <w:spacing w:after="0" w:line="191"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Direct Operating Cost of Submission, Direct Operating Cost per Submission, Sales/Direct Operating Cost of Submission, Sales per Submission and Submissions are key operating metrics we use to understand our underlying financial performance 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6"/>
          </w:tcPr>
          <w:p>
            <w:pPr>
              <w:jc w:val="right"/>
              <w:ind w:right="340"/>
              <w:spacing w:after="0"/>
              <w:rPr>
                <w:sz w:val="20"/>
                <w:szCs w:val="20"/>
                <w:color w:val="auto"/>
              </w:rPr>
            </w:pPr>
            <w:r>
              <w:rPr>
                <w:rFonts w:ascii="Arial" w:cs="Arial" w:eastAsia="Arial" w:hAnsi="Arial"/>
                <w:sz w:val="14"/>
                <w:szCs w:val="14"/>
                <w:color w:val="auto"/>
              </w:rPr>
              <w:t>Three months ended Mar.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80" w:type="dxa"/>
            <w:vAlign w:val="bottom"/>
            <w:tcBorders>
              <w:bottom w:val="single" w:sz="8" w:color="B6B6B6"/>
            </w:tcBorders>
            <w:shd w:val="clear" w:color="auto" w:fill="B6B6B6"/>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gridSpan w:val="3"/>
          </w:tcPr>
          <w:p>
            <w:pPr>
              <w:jc w:val="right"/>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6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80" w:type="dxa"/>
            <w:vAlign w:val="bottom"/>
            <w:shd w:val="clear" w:color="auto" w:fill="B6B6B6"/>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vMerge w:val="restart"/>
          </w:tcPr>
          <w:p>
            <w:pPr>
              <w:jc w:val="right"/>
              <w:ind w:right="520"/>
              <w:spacing w:after="0"/>
              <w:rPr>
                <w:sz w:val="20"/>
                <w:szCs w:val="20"/>
                <w:color w:val="auto"/>
              </w:rPr>
            </w:pPr>
            <w:r>
              <w:rPr>
                <w:rFonts w:ascii="Arial" w:cs="Arial" w:eastAsia="Arial" w:hAnsi="Arial"/>
                <w:sz w:val="14"/>
                <w:szCs w:val="14"/>
                <w:color w:val="auto"/>
              </w:rPr>
              <w:t>Dollars</w:t>
            </w:r>
          </w:p>
        </w:tc>
        <w:tc>
          <w:tcPr>
            <w:tcW w:w="98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180" w:type="dxa"/>
            <w:vAlign w:val="bottom"/>
          </w:tcPr>
          <w:p>
            <w:pPr>
              <w:spacing w:after="0"/>
              <w:rPr>
                <w:sz w:val="13"/>
                <w:szCs w:val="13"/>
                <w:color w:val="auto"/>
              </w:rPr>
            </w:pPr>
          </w:p>
        </w:tc>
        <w:tc>
          <w:tcPr>
            <w:tcW w:w="106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Dollars</w:t>
            </w:r>
          </w:p>
        </w:tc>
        <w:tc>
          <w:tcPr>
            <w:tcW w:w="98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 of Net</w:t>
            </w: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 Change</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5"/>
        </w:trPr>
        <w:tc>
          <w:tcPr>
            <w:tcW w:w="4620" w:type="dxa"/>
            <w:vAlign w:val="bottom"/>
            <w:vMerge w:val="continue"/>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2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80" w:type="dxa"/>
            <w:vAlign w:val="bottom"/>
            <w:tcBorders>
              <w:top w:val="single" w:sz="8" w:color="B6B6B6"/>
            </w:tcBorders>
            <w:shd w:val="clear" w:color="auto" w:fill="B6B6B6"/>
          </w:tcPr>
          <w:p>
            <w:pPr>
              <w:spacing w:after="0"/>
              <w:rPr>
                <w:sz w:val="14"/>
                <w:szCs w:val="14"/>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220,972</w:t>
            </w:r>
          </w:p>
        </w:tc>
        <w:tc>
          <w:tcPr>
            <w:tcW w:w="80" w:type="dxa"/>
            <w:vAlign w:val="bottom"/>
          </w:tcPr>
          <w:p>
            <w:pPr>
              <w:spacing w:after="0"/>
              <w:rPr>
                <w:sz w:val="14"/>
                <w:szCs w:val="14"/>
                <w:color w:val="auto"/>
              </w:rPr>
            </w:pPr>
          </w:p>
        </w:tc>
        <w:tc>
          <w:tcPr>
            <w:tcW w:w="18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185,600</w:t>
            </w:r>
          </w:p>
        </w:tc>
        <w:tc>
          <w:tcPr>
            <w:tcW w:w="80" w:type="dxa"/>
            <w:vAlign w:val="bottom"/>
          </w:tcPr>
          <w:p>
            <w:pPr>
              <w:spacing w:after="0"/>
              <w:rPr>
                <w:sz w:val="14"/>
                <w:szCs w:val="14"/>
                <w:color w:val="auto"/>
              </w:rPr>
            </w:pPr>
          </w:p>
        </w:tc>
        <w:tc>
          <w:tcPr>
            <w:tcW w:w="200" w:type="dxa"/>
            <w:vAlign w:val="bottom"/>
            <w:tcBorders>
              <w:top w:val="single" w:sz="8" w:color="B6B6B6"/>
            </w:tcBorders>
          </w:tcPr>
          <w:p>
            <w:pPr>
              <w:spacing w:after="0"/>
              <w:rPr>
                <w:sz w:val="14"/>
                <w:szCs w:val="14"/>
                <w:color w:val="auto"/>
              </w:rPr>
            </w:pPr>
          </w:p>
        </w:tc>
        <w:tc>
          <w:tcPr>
            <w:tcW w:w="8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35,372</w:t>
            </w:r>
          </w:p>
        </w:tc>
        <w:tc>
          <w:tcPr>
            <w:tcW w:w="100" w:type="dxa"/>
            <w:vAlign w:val="bottom"/>
          </w:tcPr>
          <w:p>
            <w:pPr>
              <w:spacing w:after="0"/>
              <w:rPr>
                <w:sz w:val="14"/>
                <w:szCs w:val="14"/>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202"/>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39,272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38,013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67,415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52,775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14,640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51,698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47,861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10,550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22,656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5,737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33.9 %</w:t>
            </w: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62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B6B6B6"/>
              <w:bottom w:val="single" w:sz="8" w:color="B6B6B6"/>
            </w:tcBorders>
            <w:shd w:val="clear" w:color="auto" w:fill="B6B6B6"/>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780" w:type="dxa"/>
            <w:vAlign w:val="bottom"/>
            <w:tcBorders>
              <w:top w:val="single" w:sz="8" w:color="B6B6B6"/>
              <w:bottom w:val="single" w:sz="8" w:color="B6B6B6"/>
            </w:tcBorders>
          </w:tcPr>
          <w:p>
            <w:pPr>
              <w:jc w:val="right"/>
              <w:ind w:right="8"/>
              <w:spacing w:after="0"/>
              <w:rPr>
                <w:sz w:val="20"/>
                <w:szCs w:val="20"/>
                <w:color w:val="auto"/>
              </w:rPr>
            </w:pPr>
            <w:r>
              <w:rPr>
                <w:rFonts w:ascii="Arial" w:cs="Arial" w:eastAsia="Arial" w:hAnsi="Arial"/>
                <w:sz w:val="14"/>
                <w:szCs w:val="14"/>
                <w:color w:val="auto"/>
              </w:rPr>
              <w:t>214,303</w:t>
            </w:r>
          </w:p>
        </w:tc>
        <w:tc>
          <w:tcPr>
            <w:tcW w:w="8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97.0 %</w:t>
            </w:r>
          </w:p>
        </w:tc>
        <w:tc>
          <w:tcPr>
            <w:tcW w:w="8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780" w:type="dxa"/>
            <w:vAlign w:val="bottom"/>
            <w:tcBorders>
              <w:top w:val="single" w:sz="8" w:color="B6B6B6"/>
              <w:bottom w:val="single" w:sz="8" w:color="B6B6B6"/>
            </w:tcBorders>
          </w:tcPr>
          <w:p>
            <w:pPr>
              <w:jc w:val="right"/>
              <w:ind w:right="8"/>
              <w:spacing w:after="0"/>
              <w:rPr>
                <w:sz w:val="20"/>
                <w:szCs w:val="20"/>
                <w:color w:val="auto"/>
              </w:rPr>
            </w:pPr>
            <w:r>
              <w:rPr>
                <w:rFonts w:ascii="Arial" w:cs="Arial" w:eastAsia="Arial" w:hAnsi="Arial"/>
                <w:sz w:val="14"/>
                <w:szCs w:val="14"/>
                <w:color w:val="auto"/>
              </w:rPr>
              <w:t>189,632</w:t>
            </w:r>
          </w:p>
        </w:tc>
        <w:tc>
          <w:tcPr>
            <w:tcW w:w="8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102.2 %</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24,671</w:t>
            </w:r>
          </w:p>
        </w:tc>
        <w:tc>
          <w:tcPr>
            <w:tcW w:w="100" w:type="dxa"/>
            <w:vAlign w:val="bottom"/>
          </w:tcPr>
          <w:p>
            <w:pPr>
              <w:spacing w:after="0"/>
              <w:rPr>
                <w:sz w:val="17"/>
                <w:szCs w:val="17"/>
                <w:color w:val="auto"/>
              </w:rPr>
            </w:pPr>
          </w:p>
        </w:tc>
        <w:tc>
          <w:tcPr>
            <w:tcW w:w="10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4"/>
        </w:trPr>
        <w:tc>
          <w:tcPr>
            <w:tcW w:w="462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B6B6B6"/>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6,669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10,701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15,954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17,951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B6B6B6"/>
            </w:tcBorders>
            <w:shd w:val="clear" w:color="auto" w:fill="B6B6B6"/>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80" w:type="dxa"/>
            <w:vAlign w:val="bottom"/>
            <w:tcBorders>
              <w:bottom w:val="single" w:sz="8" w:color="B6B6B6"/>
            </w:tcBorders>
            <w:shd w:val="clear" w:color="auto" w:fill="B6B6B6"/>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(8,684)</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(21,417)</w:t>
            </w:r>
          </w:p>
        </w:tc>
        <w:tc>
          <w:tcPr>
            <w:tcW w:w="8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12,733</w:t>
            </w:r>
          </w:p>
        </w:tc>
        <w:tc>
          <w:tcPr>
            <w:tcW w:w="10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(1652.1)%</w:t>
            </w:r>
          </w:p>
        </w:tc>
        <w:tc>
          <w:tcPr>
            <w:tcW w:w="0" w:type="dxa"/>
            <w:vAlign w:val="bottom"/>
          </w:tcPr>
          <w:p>
            <w:pPr>
              <w:spacing w:after="0"/>
              <w:rPr>
                <w:sz w:val="1"/>
                <w:szCs w:val="1"/>
                <w:color w:val="auto"/>
              </w:rPr>
            </w:pPr>
          </w:p>
        </w:tc>
      </w:tr>
      <w:tr>
        <w:trPr>
          <w:trHeight w:val="194"/>
        </w:trPr>
        <w:tc>
          <w:tcPr>
            <w:tcW w:w="46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B6B6B6"/>
            </w:tcBorders>
            <w:shd w:val="clear" w:color="auto" w:fill="B6B6B6"/>
          </w:tcPr>
          <w:p>
            <w:pPr>
              <w:spacing w:after="0"/>
              <w:rPr>
                <w:sz w:val="16"/>
                <w:szCs w:val="16"/>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(9,786)</w:t>
            </w:r>
          </w:p>
        </w:tc>
        <w:tc>
          <w:tcPr>
            <w:tcW w:w="80" w:type="dxa"/>
            <w:vAlign w:val="bottom"/>
          </w:tcPr>
          <w:p>
            <w:pPr>
              <w:spacing w:after="0"/>
              <w:rPr>
                <w:sz w:val="16"/>
                <w:szCs w:val="16"/>
                <w:color w:val="auto"/>
              </w:rPr>
            </w:pPr>
          </w:p>
        </w:tc>
        <w:tc>
          <w:tcPr>
            <w:tcW w:w="18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(21,346)</w:t>
            </w:r>
          </w:p>
        </w:tc>
        <w:tc>
          <w:tcPr>
            <w:tcW w:w="80" w:type="dxa"/>
            <w:vAlign w:val="bottom"/>
          </w:tcPr>
          <w:p>
            <w:pPr>
              <w:spacing w:after="0"/>
              <w:rPr>
                <w:sz w:val="16"/>
                <w:szCs w:val="16"/>
                <w:color w:val="auto"/>
              </w:rPr>
            </w:pPr>
          </w:p>
        </w:tc>
        <w:tc>
          <w:tcPr>
            <w:tcW w:w="200" w:type="dxa"/>
            <w:vAlign w:val="bottom"/>
            <w:tcBorders>
              <w:top w:val="single" w:sz="8" w:color="B6B6B6"/>
            </w:tcBorders>
          </w:tcPr>
          <w:p>
            <w:pPr>
              <w:spacing w:after="0"/>
              <w:rPr>
                <w:sz w:val="16"/>
                <w:szCs w:val="16"/>
                <w:color w:val="auto"/>
              </w:rPr>
            </w:pPr>
          </w:p>
        </w:tc>
        <w:tc>
          <w:tcPr>
            <w:tcW w:w="8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11,560</w:t>
            </w:r>
          </w:p>
        </w:tc>
        <w:tc>
          <w:tcPr>
            <w:tcW w:w="100" w:type="dxa"/>
            <w:vAlign w:val="bottom"/>
          </w:tcPr>
          <w:p>
            <w:pPr>
              <w:spacing w:after="0"/>
              <w:rPr>
                <w:sz w:val="16"/>
                <w:szCs w:val="16"/>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207"/>
        </w:trPr>
        <w:tc>
          <w:tcPr>
            <w:tcW w:w="462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80" w:type="dxa"/>
            <w:vAlign w:val="bottom"/>
            <w:tcBorders>
              <w:bottom w:val="single" w:sz="8" w:color="B6B6B6"/>
            </w:tcBorders>
            <w:shd w:val="clear" w:color="auto" w:fill="B6B6B6"/>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(5,378)</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(12,130)</w:t>
            </w:r>
          </w:p>
        </w:tc>
        <w:tc>
          <w:tcPr>
            <w:tcW w:w="8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80" w:type="dxa"/>
            <w:vAlign w:val="bottom"/>
            <w:tcBorders>
              <w:bottom w:val="single" w:sz="8" w:color="B6B6B6"/>
            </w:tcBorders>
            <w:shd w:val="clear" w:color="auto" w:fill="B6B6B6"/>
          </w:tcPr>
          <w:p>
            <w:pPr>
              <w:spacing w:after="0"/>
              <w:rPr>
                <w:sz w:val="17"/>
                <w:szCs w:val="17"/>
                <w:color w:val="auto"/>
              </w:rPr>
            </w:pPr>
          </w:p>
        </w:tc>
        <w:tc>
          <w:tcPr>
            <w:tcW w:w="1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(4,408)</w:t>
            </w:r>
          </w:p>
        </w:tc>
        <w:tc>
          <w:tcPr>
            <w:tcW w:w="8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(9,216)</w:t>
            </w:r>
          </w:p>
        </w:tc>
        <w:tc>
          <w:tcPr>
            <w:tcW w:w="8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4,808</w:t>
            </w:r>
          </w:p>
        </w:tc>
        <w:tc>
          <w:tcPr>
            <w:tcW w:w="10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(52.2)%</w:t>
            </w:r>
          </w:p>
        </w:tc>
        <w:tc>
          <w:tcPr>
            <w:tcW w:w="0" w:type="dxa"/>
            <w:vAlign w:val="bottom"/>
          </w:tcPr>
          <w:p>
            <w:pPr>
              <w:spacing w:after="0"/>
              <w:rPr>
                <w:sz w:val="1"/>
                <w:szCs w:val="1"/>
                <w:color w:val="auto"/>
              </w:rPr>
            </w:pPr>
          </w:p>
        </w:tc>
      </w:tr>
      <w:tr>
        <w:trPr>
          <w:trHeight w:val="21"/>
        </w:trPr>
        <w:tc>
          <w:tcPr>
            <w:tcW w:w="4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620" w:type="dxa"/>
            <w:vAlign w:val="bottom"/>
            <w:vMerge w:val="continue"/>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2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80" w:type="dxa"/>
            <w:vAlign w:val="bottom"/>
            <w:shd w:val="clear" w:color="auto" w:fill="B6B6B6"/>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B6B6B6"/>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80" w:type="dxa"/>
            <w:vAlign w:val="bottom"/>
            <w:shd w:val="clear" w:color="auto" w:fill="B6B6B6"/>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10,373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9,715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80" w:type="dxa"/>
            <w:vAlign w:val="bottom"/>
            <w:shd w:val="clear" w:color="auto" w:fill="B6B6B6"/>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80" w:type="dxa"/>
            <w:vAlign w:val="bottom"/>
            <w:shd w:val="clear" w:color="auto" w:fill="B6B6B6"/>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B6B6B6"/>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33,747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22,780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80" w:type="dxa"/>
            <w:vAlign w:val="bottom"/>
            <w:shd w:val="clear" w:color="auto" w:fill="B6B6B6"/>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42,060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26,894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Net Income (Loss) Margin</w:t>
            </w:r>
          </w:p>
        </w:tc>
        <w:tc>
          <w:tcPr>
            <w:tcW w:w="80" w:type="dxa"/>
            <w:vAlign w:val="bottom"/>
            <w:shd w:val="clear" w:color="auto" w:fill="B6B6B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80" w:type="dxa"/>
            <w:vAlign w:val="bottom"/>
            <w:shd w:val="clear" w:color="auto" w:fill="B6B6B6"/>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44"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following tables set forth the reconciliations of GAAP net income (loss) to EBITDA, Adjusted EBITDA and Adjusted EBITDA Margin for the periods indicated (unaudited):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608"/>
              <w:spacing w:after="0"/>
              <w:rPr>
                <w:sz w:val="20"/>
                <w:szCs w:val="20"/>
                <w:color w:val="auto"/>
              </w:rPr>
            </w:pPr>
            <w:r>
              <w:rPr>
                <w:rFonts w:ascii="Arial" w:cs="Arial" w:eastAsia="Arial" w:hAnsi="Arial"/>
                <w:sz w:val="14"/>
                <w:szCs w:val="14"/>
                <w:color w:val="auto"/>
              </w:rPr>
              <w:t>Three months ended Mar. 31,</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B6B6B6"/>
            </w:tcBorders>
            <w:shd w:val="clear" w:color="auto" w:fill="B6B6B6"/>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8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220,972</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185,600</w:t>
            </w:r>
          </w:p>
        </w:tc>
        <w:tc>
          <w:tcPr>
            <w:tcW w:w="0" w:type="dxa"/>
            <w:vAlign w:val="bottom"/>
          </w:tcPr>
          <w:p>
            <w:pPr>
              <w:spacing w:after="0"/>
              <w:rPr>
                <w:sz w:val="1"/>
                <w:szCs w:val="1"/>
                <w:color w:val="auto"/>
              </w:rPr>
            </w:pP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B6B6B6"/>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(21,346)</w:t>
            </w:r>
          </w:p>
        </w:tc>
        <w:tc>
          <w:tcPr>
            <w:tcW w:w="0" w:type="dxa"/>
            <w:vAlign w:val="bottom"/>
          </w:tcPr>
          <w:p>
            <w:pPr>
              <w:spacing w:after="0"/>
              <w:rPr>
                <w:sz w:val="1"/>
                <w:szCs w:val="1"/>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17,951</w:t>
            </w:r>
          </w:p>
        </w:tc>
        <w:tc>
          <w:tcPr>
            <w:tcW w:w="0" w:type="dxa"/>
            <w:vAlign w:val="bottom"/>
          </w:tcPr>
          <w:p>
            <w:pPr>
              <w:spacing w:after="0"/>
              <w:rPr>
                <w:sz w:val="1"/>
                <w:szCs w:val="1"/>
                <w:color w:val="auto"/>
              </w:rPr>
            </w:pPr>
          </w:p>
        </w:tc>
      </w:tr>
      <w:tr>
        <w:trPr>
          <w:trHeight w:val="203"/>
        </w:trPr>
        <w:tc>
          <w:tcPr>
            <w:tcW w:w="786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4"/>
        </w:trPr>
        <w:tc>
          <w:tcPr>
            <w:tcW w:w="786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26,477</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26,246</w:t>
            </w: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EBITDA</w:t>
            </w:r>
          </w:p>
        </w:tc>
        <w:tc>
          <w:tcPr>
            <w:tcW w:w="8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33,747</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204"/>
        </w:trPr>
        <w:tc>
          <w:tcPr>
            <w:tcW w:w="7860" w:type="dxa"/>
            <w:vAlign w:val="bottom"/>
          </w:tcPr>
          <w:p>
            <w:pPr>
              <w:ind w:left="140"/>
              <w:spacing w:after="0" w:line="204"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(1)</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3"/>
        </w:trPr>
        <w:tc>
          <w:tcPr>
            <w:tcW w:w="7860" w:type="dxa"/>
            <w:vAlign w:val="bottom"/>
          </w:tcPr>
          <w:p>
            <w:pPr>
              <w:ind w:left="140"/>
              <w:spacing w:after="0" w:line="202" w:lineRule="exact"/>
              <w:rPr>
                <w:sz w:val="20"/>
                <w:szCs w:val="20"/>
                <w:color w:val="auto"/>
              </w:rPr>
            </w:pPr>
            <w:r>
              <w:rPr>
                <w:rFonts w:ascii="Arial" w:cs="Arial" w:eastAsia="Arial" w:hAnsi="Arial"/>
                <w:sz w:val="14"/>
                <w:szCs w:val="14"/>
                <w:color w:val="auto"/>
              </w:rPr>
              <w:t>Share-based compensation expense</w:t>
            </w:r>
            <w:r>
              <w:rPr>
                <w:rFonts w:ascii="Arial" w:cs="Arial" w:eastAsia="Arial" w:hAnsi="Arial"/>
                <w:sz w:val="18"/>
                <w:szCs w:val="18"/>
                <w:color w:val="auto"/>
                <w:vertAlign w:val="superscript"/>
              </w:rPr>
              <w:t>(2)</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2,803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203"/>
        </w:trPr>
        <w:tc>
          <w:tcPr>
            <w:tcW w:w="7860" w:type="dxa"/>
            <w:vAlign w:val="bottom"/>
          </w:tcPr>
          <w:p>
            <w:pPr>
              <w:ind w:left="14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(3)</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140"/>
              <w:spacing w:after="0" w:line="202" w:lineRule="exact"/>
              <w:rPr>
                <w:sz w:val="20"/>
                <w:szCs w:val="20"/>
                <w:color w:val="auto"/>
              </w:rPr>
            </w:pPr>
            <w:r>
              <w:rPr>
                <w:rFonts w:ascii="Arial" w:cs="Arial" w:eastAsia="Arial" w:hAnsi="Arial"/>
                <w:sz w:val="14"/>
                <w:szCs w:val="14"/>
                <w:color w:val="auto"/>
              </w:rPr>
              <w:t>Operating lease impairment and other charges</w:t>
            </w:r>
            <w:r>
              <w:rPr>
                <w:rFonts w:ascii="Arial" w:cs="Arial" w:eastAsia="Arial" w:hAnsi="Arial"/>
                <w:sz w:val="18"/>
                <w:szCs w:val="18"/>
                <w:color w:val="auto"/>
                <w:vertAlign w:val="superscript"/>
              </w:rPr>
              <w:t>(4)</w:t>
            </w:r>
          </w:p>
        </w:tc>
        <w:tc>
          <w:tcPr>
            <w:tcW w:w="80" w:type="dxa"/>
            <w:vAlign w:val="bottom"/>
            <w:shd w:val="clear" w:color="auto" w:fill="B6B6B6"/>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140"/>
              <w:spacing w:after="0" w:line="201"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(5)</w:t>
            </w:r>
          </w:p>
        </w:tc>
        <w:tc>
          <w:tcPr>
            <w:tcW w:w="8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42,060</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26,894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380" w:type="dxa"/>
            <w:vAlign w:val="bottom"/>
            <w:tcBorders>
              <w:bottom w:val="single" w:sz="8" w:color="B6B6B6"/>
            </w:tcBorders>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860" w:type="dxa"/>
            <w:vAlign w:val="bottom"/>
            <w:vMerge w:val="continue"/>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80" w:type="dxa"/>
            <w:vAlign w:val="bottom"/>
            <w:shd w:val="clear" w:color="auto" w:fill="B6B6B6"/>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as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non-routine consulting fees and other professional services.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73" w:right="339" w:bottom="1440" w:gutter="0" w:footer="0" w:header="0"/>
          <w:type w:val="continuous"/>
        </w:sectPr>
      </w:pPr>
    </w:p>
    <w:bookmarkStart w:id="8" w:name="page9"/>
    <w:bookmarkEnd w:id="8"/>
    <w:p>
      <w:pPr>
        <w:ind w:left="340" w:right="80" w:hanging="332"/>
        <w:spacing w:after="0" w:line="246" w:lineRule="auto"/>
        <w:tabs>
          <w:tab w:leader="none" w:pos="332"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their estimated fair values. For the three months ended March 31, 2025, the amount includes a one-time gain of $0.2 million from the remeasurement of the lease liability and adjustment of the ROU asset (which was previously impaired) related to the early termination of a lease.</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Credit Agreement amendments and other non-routine legal or regulatory matters.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528"/>
              <w:spacing w:after="0"/>
              <w:rPr>
                <w:sz w:val="20"/>
                <w:szCs w:val="20"/>
                <w:color w:val="auto"/>
              </w:rPr>
            </w:pPr>
            <w:r>
              <w:rPr>
                <w:rFonts w:ascii="Arial" w:cs="Arial" w:eastAsia="Arial" w:hAnsi="Arial"/>
                <w:sz w:val="14"/>
                <w:szCs w:val="14"/>
                <w:color w:val="auto"/>
              </w:rPr>
              <w:t>Three months ended Mar. 31,</w:t>
            </w:r>
          </w:p>
        </w:tc>
      </w:tr>
      <w:tr>
        <w:trPr>
          <w:trHeight w:val="194"/>
        </w:trPr>
        <w:tc>
          <w:tcPr>
            <w:tcW w:w="80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r>
      <w:tr>
        <w:trPr>
          <w:trHeight w:val="192"/>
        </w:trPr>
        <w:tc>
          <w:tcPr>
            <w:tcW w:w="804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B6B6B6"/>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040" w:type="dxa"/>
            <w:vAlign w:val="bottom"/>
          </w:tcPr>
          <w:p>
            <w:pPr>
              <w:ind w:left="1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100" w:type="dxa"/>
            <w:vAlign w:val="bottom"/>
            <w:shd w:val="clear" w:color="auto" w:fill="B6B6B6"/>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167,109</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79,733</w:t>
            </w:r>
          </w:p>
        </w:tc>
      </w:tr>
      <w:tr>
        <w:trPr>
          <w:trHeight w:val="192"/>
        </w:trPr>
        <w:tc>
          <w:tcPr>
            <w:tcW w:w="8040" w:type="dxa"/>
            <w:vAlign w:val="bottom"/>
          </w:tcPr>
          <w:p>
            <w:pPr>
              <w:ind w:left="24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20,524</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19,391</w:t>
            </w:r>
          </w:p>
        </w:tc>
      </w:tr>
      <w:tr>
        <w:trPr>
          <w:trHeight w:val="196"/>
        </w:trPr>
        <w:tc>
          <w:tcPr>
            <w:tcW w:w="8040" w:type="dxa"/>
            <w:vAlign w:val="bottom"/>
          </w:tcPr>
          <w:p>
            <w:pPr>
              <w:ind w:left="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187,633</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99,124</w:t>
            </w:r>
          </w:p>
        </w:tc>
      </w:tr>
      <w:tr>
        <w:trPr>
          <w:trHeight w:val="196"/>
        </w:trPr>
        <w:tc>
          <w:tcPr>
            <w:tcW w:w="804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31,771</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85,902</w:t>
            </w: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Total Medicare Revenue</w:t>
            </w:r>
          </w:p>
        </w:tc>
        <w:tc>
          <w:tcPr>
            <w:tcW w:w="10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219,404</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185,026</w:t>
            </w:r>
          </w:p>
        </w:tc>
      </w:tr>
      <w:tr>
        <w:trPr>
          <w:trHeight w:val="198"/>
        </w:trPr>
        <w:tc>
          <w:tcPr>
            <w:tcW w:w="80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574</w:t>
            </w:r>
          </w:p>
        </w:tc>
      </w:tr>
      <w:tr>
        <w:trPr>
          <w:trHeight w:val="220"/>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220,972</w:t>
            </w:r>
          </w:p>
        </w:tc>
        <w:tc>
          <w:tcPr>
            <w:tcW w:w="80" w:type="dxa"/>
            <w:vAlign w:val="bottom"/>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185,600</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Commission revenue excludes commissions generated from the sale of individual and family plan insurance products</w:t>
      </w:r>
      <w:r>
        <w:rPr>
          <w:rFonts w:ascii="Arial" w:cs="Arial" w:eastAsia="Arial" w:hAnsi="Arial"/>
          <w:sz w:val="21"/>
          <w:szCs w:val="21"/>
          <w:i w:val="1"/>
          <w:i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40" w:type="dxa"/>
            <w:vAlign w:val="bottom"/>
            <w:tcBorders>
              <w:top w:val="single" w:sz="8" w:color="B6B6B6"/>
              <w:left w:val="single" w:sz="8" w:color="B6B6B6"/>
            </w:tcBorders>
          </w:tcPr>
          <w:p>
            <w:pPr>
              <w:spacing w:after="0"/>
              <w:rPr>
                <w:sz w:val="17"/>
                <w:szCs w:val="17"/>
                <w:color w:val="auto"/>
              </w:rPr>
            </w:pPr>
          </w:p>
        </w:tc>
        <w:tc>
          <w:tcPr>
            <w:tcW w:w="80" w:type="dxa"/>
            <w:vAlign w:val="bottom"/>
            <w:tcBorders>
              <w:top w:val="single" w:sz="8" w:color="B6B6B6"/>
            </w:tcBorders>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color w:val="auto"/>
              </w:rPr>
              <w:t>Three months ended Mar. 31,</w:t>
            </w:r>
          </w:p>
        </w:tc>
        <w:tc>
          <w:tcPr>
            <w:tcW w:w="220" w:type="dxa"/>
            <w:vAlign w:val="bottom"/>
          </w:tcPr>
          <w:p>
            <w:pPr>
              <w:spacing w:after="0"/>
              <w:rPr>
                <w:sz w:val="17"/>
                <w:szCs w:val="17"/>
                <w:color w:val="auto"/>
              </w:rPr>
            </w:pPr>
          </w:p>
        </w:tc>
        <w:tc>
          <w:tcPr>
            <w:tcW w:w="2900" w:type="dxa"/>
            <w:vAlign w:val="bottom"/>
            <w:gridSpan w:val="4"/>
          </w:tcPr>
          <w:p>
            <w:pPr>
              <w:jc w:val="right"/>
              <w:ind w:right="248"/>
              <w:spacing w:after="0"/>
              <w:rPr>
                <w:sz w:val="20"/>
                <w:szCs w:val="20"/>
                <w:color w:val="auto"/>
              </w:rPr>
            </w:pPr>
            <w:r>
              <w:rPr>
                <w:rFonts w:ascii="Arial" w:cs="Arial" w:eastAsia="Arial" w:hAnsi="Arial"/>
                <w:sz w:val="14"/>
                <w:szCs w:val="14"/>
                <w:color w:val="auto"/>
              </w:rPr>
              <w:t>Trailing Twelve Months ended Mar. 31,</w:t>
            </w:r>
          </w:p>
        </w:tc>
      </w:tr>
      <w:tr>
        <w:trPr>
          <w:trHeight w:val="198"/>
        </w:trPr>
        <w:tc>
          <w:tcPr>
            <w:tcW w:w="4940" w:type="dxa"/>
            <w:vAlign w:val="bottom"/>
            <w:tcBorders>
              <w:left w:val="single" w:sz="8" w:color="B6B6B6"/>
            </w:tcBorders>
          </w:tcPr>
          <w:p>
            <w:pPr>
              <w:ind w:left="760"/>
              <w:spacing w:after="0"/>
              <w:rPr>
                <w:sz w:val="20"/>
                <w:szCs w:val="20"/>
                <w:color w:val="auto"/>
              </w:rPr>
            </w:pPr>
            <w:r>
              <w:rPr>
                <w:rFonts w:ascii="Arial" w:cs="Arial" w:eastAsia="Arial" w:hAnsi="Arial"/>
                <w:sz w:val="14"/>
                <w:szCs w:val="14"/>
                <w:b w:val="1"/>
                <w:bCs w:val="1"/>
                <w:color w:val="151D8E"/>
              </w:rPr>
              <w:t>Net cash provided by (used in) operating activities</w:t>
            </w:r>
          </w:p>
        </w:tc>
        <w:tc>
          <w:tcPr>
            <w:tcW w:w="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r>
      <w:tr>
        <w:trPr>
          <w:trHeight w:val="192"/>
        </w:trPr>
        <w:tc>
          <w:tcPr>
            <w:tcW w:w="4940" w:type="dxa"/>
            <w:vAlign w:val="bottom"/>
            <w:tcBorders>
              <w:left w:val="single" w:sz="8" w:color="B6B6B6"/>
              <w:bottom w:val="single" w:sz="8" w:color="B6B6B6"/>
            </w:tcBorders>
          </w:tcPr>
          <w:p>
            <w:pPr>
              <w:spacing w:after="0"/>
              <w:rPr>
                <w:sz w:val="16"/>
                <w:szCs w:val="16"/>
                <w:color w:val="auto"/>
              </w:rPr>
            </w:pPr>
          </w:p>
        </w:tc>
        <w:tc>
          <w:tcPr>
            <w:tcW w:w="80" w:type="dxa"/>
            <w:vAlign w:val="bottom"/>
            <w:tcBorders>
              <w:bottom w:val="single" w:sz="8" w:color="B6B6B6"/>
            </w:tcBorders>
            <w:shd w:val="clear" w:color="auto" w:fill="B6B6B6"/>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(12,405)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12,512</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(46,525)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101,174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ending commissions receivable balances for the periods presented (unaudited):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color w:val="auto"/>
              </w:rPr>
              <w:t>Mar. 31, 2025</w:t>
            </w:r>
          </w:p>
        </w:tc>
        <w:tc>
          <w:tcPr>
            <w:tcW w:w="2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Dec. 31, 2024</w:t>
            </w:r>
          </w:p>
        </w:tc>
      </w:tr>
      <w:tr>
        <w:trPr>
          <w:trHeight w:val="188"/>
        </w:trPr>
        <w:tc>
          <w:tcPr>
            <w:tcW w:w="8020" w:type="dxa"/>
            <w:vAlign w:val="bottom"/>
          </w:tcPr>
          <w:p>
            <w:pPr>
              <w:spacing w:after="0"/>
              <w:rPr>
                <w:sz w:val="20"/>
                <w:szCs w:val="20"/>
                <w:color w:val="auto"/>
              </w:rPr>
            </w:pPr>
            <w:r>
              <w:rPr>
                <w:rFonts w:ascii="Arial" w:cs="Arial" w:eastAsia="Arial" w:hAnsi="Arial"/>
                <w:sz w:val="14"/>
                <w:szCs w:val="14"/>
                <w:color w:val="auto"/>
              </w:rPr>
              <w:t>Commissions receivable - current</w:t>
            </w:r>
          </w:p>
        </w:tc>
        <w:tc>
          <w:tcPr>
            <w:tcW w:w="100" w:type="dxa"/>
            <w:vAlign w:val="bottom"/>
            <w:tcBorders>
              <w:top w:val="single" w:sz="8" w:color="B6B6B6"/>
            </w:tcBorders>
            <w:shd w:val="clear" w:color="auto" w:fill="B6B6B6"/>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207,443</w:t>
            </w:r>
          </w:p>
        </w:tc>
        <w:tc>
          <w:tcPr>
            <w:tcW w:w="8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320,399</w:t>
            </w:r>
          </w:p>
        </w:tc>
      </w:tr>
      <w:tr>
        <w:trPr>
          <w:trHeight w:val="210"/>
        </w:trPr>
        <w:tc>
          <w:tcPr>
            <w:tcW w:w="8020" w:type="dxa"/>
            <w:vAlign w:val="bottom"/>
          </w:tcPr>
          <w:p>
            <w:pPr>
              <w:spacing w:after="0"/>
              <w:rPr>
                <w:sz w:val="20"/>
                <w:szCs w:val="20"/>
                <w:color w:val="auto"/>
              </w:rPr>
            </w:pPr>
            <w:r>
              <w:rPr>
                <w:rFonts w:ascii="Arial" w:cs="Arial" w:eastAsia="Arial" w:hAnsi="Arial"/>
                <w:sz w:val="14"/>
                <w:szCs w:val="14"/>
                <w:color w:val="auto"/>
              </w:rPr>
              <w:t>Commissions receivable - non-current</w:t>
            </w:r>
          </w:p>
        </w:tc>
        <w:tc>
          <w:tcPr>
            <w:tcW w:w="100" w:type="dxa"/>
            <w:vAlign w:val="bottom"/>
            <w:shd w:val="clear" w:color="auto" w:fill="B6B6B6"/>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793,174</w:t>
            </w:r>
          </w:p>
        </w:tc>
        <w:tc>
          <w:tcPr>
            <w:tcW w:w="8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733,161</w:t>
            </w:r>
          </w:p>
        </w:tc>
      </w:tr>
    </w:tbl>
    <w:p>
      <w:pPr>
        <w:spacing w:after="0" w:line="31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tcBorders>
              <w:top w:val="single" w:sz="8" w:color="B6B6B6"/>
              <w:left w:val="single" w:sz="8" w:color="B6B6B6"/>
            </w:tcBorders>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120" w:type="dxa"/>
            <w:vAlign w:val="bottom"/>
            <w:gridSpan w:val="4"/>
          </w:tcPr>
          <w:p>
            <w:pPr>
              <w:ind w:left="580"/>
              <w:spacing w:after="0"/>
              <w:rPr>
                <w:sz w:val="20"/>
                <w:szCs w:val="20"/>
                <w:color w:val="auto"/>
              </w:rPr>
            </w:pPr>
            <w:r>
              <w:rPr>
                <w:rFonts w:ascii="Arial" w:cs="Arial" w:eastAsia="Arial" w:hAnsi="Arial"/>
                <w:sz w:val="14"/>
                <w:szCs w:val="14"/>
                <w:color w:val="auto"/>
              </w:rPr>
              <w:t>Three months ended Mar. 31,</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4840" w:type="dxa"/>
            <w:vAlign w:val="bottom"/>
            <w:tcBorders>
              <w:left w:val="single" w:sz="8" w:color="B6B6B6"/>
            </w:tcBorders>
          </w:tcPr>
          <w:p>
            <w:pPr>
              <w:ind w:left="1980"/>
              <w:spacing w:after="0"/>
              <w:rPr>
                <w:sz w:val="20"/>
                <w:szCs w:val="20"/>
                <w:color w:val="auto"/>
              </w:rPr>
            </w:pPr>
            <w:r>
              <w:rPr>
                <w:rFonts w:ascii="Arial" w:cs="Arial" w:eastAsia="Arial" w:hAnsi="Arial"/>
                <w:sz w:val="14"/>
                <w:szCs w:val="14"/>
                <w:b w:val="1"/>
                <w:bCs w:val="1"/>
                <w:color w:val="151D8E"/>
              </w:rPr>
              <w:t>Submissions</w:t>
            </w:r>
          </w:p>
        </w:tc>
        <w:tc>
          <w:tcPr>
            <w:tcW w:w="100" w:type="dxa"/>
            <w:vAlign w:val="bottom"/>
            <w:shd w:val="clear" w:color="auto" w:fill="B6B6B6"/>
          </w:tcPr>
          <w:p>
            <w:pPr>
              <w:spacing w:after="0"/>
              <w:rPr>
                <w:sz w:val="17"/>
                <w:szCs w:val="17"/>
                <w:color w:val="auto"/>
              </w:rPr>
            </w:pPr>
          </w:p>
        </w:tc>
        <w:tc>
          <w:tcPr>
            <w:tcW w:w="1460" w:type="dxa"/>
            <w:vAlign w:val="bottom"/>
          </w:tcPr>
          <w:p>
            <w:pPr>
              <w:ind w:left="58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580" w:type="dxa"/>
            <w:vAlign w:val="bottom"/>
            <w:gridSpan w:val="2"/>
          </w:tcPr>
          <w:p>
            <w:pPr>
              <w:ind w:left="50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r>
      <w:tr>
        <w:trPr>
          <w:trHeight w:val="192"/>
        </w:trPr>
        <w:tc>
          <w:tcPr>
            <w:tcW w:w="4840" w:type="dxa"/>
            <w:vAlign w:val="bottom"/>
            <w:tcBorders>
              <w:left w:val="single" w:sz="8" w:color="B6B6B6"/>
              <w:bottom w:val="single" w:sz="8" w:color="B6B6B6"/>
            </w:tcBorders>
          </w:tcPr>
          <w:p>
            <w:pPr>
              <w:spacing w:after="0"/>
              <w:rPr>
                <w:sz w:val="16"/>
                <w:szCs w:val="16"/>
                <w:color w:val="auto"/>
              </w:rPr>
            </w:pPr>
          </w:p>
        </w:tc>
        <w:tc>
          <w:tcPr>
            <w:tcW w:w="100" w:type="dxa"/>
            <w:vAlign w:val="bottom"/>
            <w:tcBorders>
              <w:top w:val="single" w:sz="8" w:color="B6B6B6"/>
              <w:bottom w:val="single" w:sz="8" w:color="B6B6B6"/>
            </w:tcBorders>
            <w:shd w:val="clear" w:color="auto" w:fill="B6B6B6"/>
          </w:tcPr>
          <w:p>
            <w:pPr>
              <w:spacing w:after="0"/>
              <w:rPr>
                <w:sz w:val="16"/>
                <w:szCs w:val="16"/>
                <w:color w:val="auto"/>
              </w:rPr>
            </w:pPr>
          </w:p>
        </w:tc>
        <w:tc>
          <w:tcPr>
            <w:tcW w:w="14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303,026</w:t>
            </w:r>
          </w:p>
        </w:tc>
        <w:tc>
          <w:tcPr>
            <w:tcW w:w="100" w:type="dxa"/>
            <w:vAlign w:val="bottom"/>
          </w:tcPr>
          <w:p>
            <w:pPr>
              <w:spacing w:after="0"/>
              <w:rPr>
                <w:sz w:val="16"/>
                <w:szCs w:val="16"/>
                <w:color w:val="auto"/>
              </w:rPr>
            </w:pPr>
          </w:p>
        </w:tc>
        <w:tc>
          <w:tcPr>
            <w:tcW w:w="14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216,148</w:t>
            </w:r>
          </w:p>
        </w:tc>
        <w:tc>
          <w:tcPr>
            <w:tcW w:w="80" w:type="dxa"/>
            <w:vAlign w:val="bottom"/>
          </w:tcPr>
          <w:p>
            <w:pPr>
              <w:spacing w:after="0"/>
              <w:rPr>
                <w:sz w:val="16"/>
                <w:szCs w:val="16"/>
                <w:color w:val="auto"/>
              </w:rPr>
            </w:pPr>
          </w:p>
        </w:tc>
        <w:tc>
          <w:tcPr>
            <w:tcW w:w="14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86,878</w:t>
            </w:r>
          </w:p>
        </w:tc>
        <w:tc>
          <w:tcPr>
            <w:tcW w:w="100" w:type="dxa"/>
            <w:vAlign w:val="bottom"/>
          </w:tcPr>
          <w:p>
            <w:pPr>
              <w:spacing w:after="0"/>
              <w:rPr>
                <w:sz w:val="16"/>
                <w:szCs w:val="16"/>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40.2 %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60" w:type="dxa"/>
            <w:vAlign w:val="bottom"/>
            <w:tcBorders>
              <w:top w:val="single" w:sz="8" w:color="B6B6B6"/>
              <w:left w:val="single" w:sz="8" w:color="B6B6B6"/>
            </w:tcBorders>
          </w:tcPr>
          <w:p>
            <w:pPr>
              <w:spacing w:after="0"/>
              <w:rPr>
                <w:sz w:val="17"/>
                <w:szCs w:val="17"/>
                <w:color w:val="auto"/>
              </w:rPr>
            </w:pPr>
          </w:p>
        </w:tc>
        <w:tc>
          <w:tcPr>
            <w:tcW w:w="80" w:type="dxa"/>
            <w:vAlign w:val="bottom"/>
            <w:tcBorders>
              <w:top w:val="single" w:sz="8" w:color="B6B6B6"/>
            </w:tcBorders>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3"/>
          </w:tcPr>
          <w:p>
            <w:pPr>
              <w:ind w:left="240"/>
              <w:spacing w:after="0"/>
              <w:rPr>
                <w:sz w:val="20"/>
                <w:szCs w:val="20"/>
                <w:color w:val="auto"/>
              </w:rPr>
            </w:pPr>
            <w:r>
              <w:rPr>
                <w:rFonts w:ascii="Arial" w:cs="Arial" w:eastAsia="Arial" w:hAnsi="Arial"/>
                <w:sz w:val="14"/>
                <w:szCs w:val="14"/>
                <w:color w:val="auto"/>
              </w:rPr>
              <w:t>Three months ended Mar. 31,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4860" w:type="dxa"/>
            <w:vAlign w:val="bottom"/>
            <w:tcBorders>
              <w:left w:val="single" w:sz="8" w:color="B6B6B6"/>
            </w:tcBorders>
          </w:tcPr>
          <w:p>
            <w:pPr>
              <w:ind w:left="1700"/>
              <w:spacing w:after="0"/>
              <w:rPr>
                <w:sz w:val="20"/>
                <w:szCs w:val="20"/>
                <w:color w:val="auto"/>
              </w:rPr>
            </w:pPr>
            <w:r>
              <w:rPr>
                <w:rFonts w:ascii="Arial" w:cs="Arial" w:eastAsia="Arial" w:hAnsi="Arial"/>
                <w:sz w:val="14"/>
                <w:szCs w:val="14"/>
                <w:b w:val="1"/>
                <w:bCs w:val="1"/>
                <w:color w:val="151D8E"/>
              </w:rPr>
              <w:t>Sales per Submission</w:t>
            </w:r>
          </w:p>
        </w:tc>
        <w:tc>
          <w:tcPr>
            <w:tcW w:w="80" w:type="dxa"/>
            <w:vAlign w:val="bottom"/>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r>
      <w:tr>
        <w:trPr>
          <w:trHeight w:val="192"/>
        </w:trPr>
        <w:tc>
          <w:tcPr>
            <w:tcW w:w="4860" w:type="dxa"/>
            <w:vAlign w:val="bottom"/>
            <w:tcBorders>
              <w:left w:val="single" w:sz="8" w:color="B6B6B6"/>
              <w:bottom w:val="single" w:sz="8" w:color="B6B6B6"/>
            </w:tcBorders>
          </w:tcPr>
          <w:p>
            <w:pPr>
              <w:spacing w:after="0"/>
              <w:rPr>
                <w:sz w:val="16"/>
                <w:szCs w:val="16"/>
                <w:color w:val="auto"/>
              </w:rPr>
            </w:pPr>
          </w:p>
        </w:tc>
        <w:tc>
          <w:tcPr>
            <w:tcW w:w="80" w:type="dxa"/>
            <w:vAlign w:val="bottom"/>
            <w:tcBorders>
              <w:top w:val="single" w:sz="8" w:color="B6B6B6"/>
              <w:bottom w:val="single" w:sz="8" w:color="B6B6B6"/>
            </w:tcBorders>
            <w:shd w:val="clear" w:color="auto" w:fill="B6B6B6"/>
          </w:tcPr>
          <w:p>
            <w:pPr>
              <w:spacing w:after="0"/>
              <w:rPr>
                <w:sz w:val="16"/>
                <w:szCs w:val="16"/>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1040" w:type="dxa"/>
            <w:vAlign w:val="bottom"/>
            <w:tcBorders>
              <w:top w:val="single" w:sz="8" w:color="B6B6B6"/>
            </w:tcBorders>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6"/>
                <w:szCs w:val="16"/>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(15.4)%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269"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4840" w:type="dxa"/>
            <w:vAlign w:val="bottom"/>
            <w:tcBorders>
              <w:top w:val="single" w:sz="8" w:color="B6B6B6"/>
              <w:left w:val="single" w:sz="8" w:color="B6B6B6"/>
            </w:tcBorders>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color w:val="auto"/>
              </w:rPr>
              <w:t>Three months ended Mar. 31,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8"/>
        </w:trPr>
        <w:tc>
          <w:tcPr>
            <w:tcW w:w="4840" w:type="dxa"/>
            <w:vAlign w:val="bottom"/>
            <w:tcBorders>
              <w:left w:val="single" w:sz="8" w:color="B6B6B6"/>
            </w:tcBorders>
          </w:tcPr>
          <w:p>
            <w:pPr>
              <w:ind w:left="1120"/>
              <w:spacing w:after="0"/>
              <w:rPr>
                <w:sz w:val="20"/>
                <w:szCs w:val="20"/>
                <w:color w:val="auto"/>
              </w:rPr>
            </w:pPr>
            <w:r>
              <w:rPr>
                <w:rFonts w:ascii="Arial" w:cs="Arial" w:eastAsia="Arial" w:hAnsi="Arial"/>
                <w:sz w:val="14"/>
                <w:szCs w:val="14"/>
                <w:b w:val="1"/>
                <w:bCs w:val="1"/>
                <w:color w:val="151D8E"/>
              </w:rPr>
              <w:t>Direct Operating Cost per Submission</w:t>
            </w:r>
          </w:p>
        </w:tc>
        <w:tc>
          <w:tcPr>
            <w:tcW w:w="100" w:type="dxa"/>
            <w:vAlign w:val="bottom"/>
            <w:shd w:val="clear" w:color="auto" w:fill="B6B6B6"/>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192"/>
        </w:trPr>
        <w:tc>
          <w:tcPr>
            <w:tcW w:w="4840" w:type="dxa"/>
            <w:vAlign w:val="bottom"/>
            <w:tcBorders>
              <w:left w:val="single" w:sz="8" w:color="B6B6B6"/>
              <w:bottom w:val="single" w:sz="8" w:color="B6B6B6"/>
            </w:tcBorders>
          </w:tcPr>
          <w:p>
            <w:pPr>
              <w:spacing w:after="0"/>
              <w:rPr>
                <w:sz w:val="16"/>
                <w:szCs w:val="16"/>
                <w:color w:val="auto"/>
              </w:rPr>
            </w:pPr>
          </w:p>
        </w:tc>
        <w:tc>
          <w:tcPr>
            <w:tcW w:w="100" w:type="dxa"/>
            <w:vAlign w:val="bottom"/>
            <w:tcBorders>
              <w:top w:val="single" w:sz="8" w:color="B6B6B6"/>
              <w:bottom w:val="single" w:sz="8" w:color="B6B6B6"/>
            </w:tcBorders>
            <w:shd w:val="clear" w:color="auto" w:fill="B6B6B6"/>
          </w:tcPr>
          <w:p>
            <w:pPr>
              <w:spacing w:after="0"/>
              <w:rPr>
                <w:sz w:val="16"/>
                <w:szCs w:val="16"/>
                <w:color w:val="auto"/>
              </w:rPr>
            </w:pPr>
          </w:p>
        </w:tc>
        <w:tc>
          <w:tcPr>
            <w:tcW w:w="320" w:type="dxa"/>
            <w:vAlign w:val="bottom"/>
            <w:tcBorders>
              <w:top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6"/>
                <w:szCs w:val="16"/>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6"/>
                <w:szCs w:val="16"/>
                <w:color w:val="auto"/>
              </w:rPr>
            </w:pPr>
          </w:p>
        </w:tc>
        <w:tc>
          <w:tcPr>
            <w:tcW w:w="15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ectPr>
          <w:pgSz w:w="11900" w:h="16838" w:orient="portrait"/>
          <w:cols w:equalWidth="0" w:num="1">
            <w:col w:w="11240"/>
          </w:cols>
          <w:pgMar w:left="320" w:top="772"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72"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500" w:type="dxa"/>
            <w:vAlign w:val="bottom"/>
            <w:gridSpan w:val="4"/>
          </w:tcPr>
          <w:p>
            <w:pPr>
              <w:ind w:left="600"/>
              <w:spacing w:after="0"/>
              <w:rPr>
                <w:sz w:val="20"/>
                <w:szCs w:val="20"/>
                <w:color w:val="auto"/>
              </w:rPr>
            </w:pPr>
            <w:r>
              <w:rPr>
                <w:rFonts w:ascii="Arial" w:cs="Arial" w:eastAsia="Arial" w:hAnsi="Arial"/>
                <w:sz w:val="14"/>
                <w:szCs w:val="14"/>
                <w:color w:val="auto"/>
              </w:rPr>
              <w:t>Three months ended Mar. 31,</w:t>
            </w:r>
          </w:p>
        </w:tc>
        <w:tc>
          <w:tcPr>
            <w:tcW w:w="580" w:type="dxa"/>
            <w:vAlign w:val="bottom"/>
          </w:tcPr>
          <w:p>
            <w:pPr>
              <w:spacing w:after="0"/>
              <w:rPr>
                <w:sz w:val="17"/>
                <w:szCs w:val="17"/>
                <w:color w:val="auto"/>
              </w:rPr>
            </w:pPr>
          </w:p>
        </w:tc>
      </w:tr>
      <w:tr>
        <w:trPr>
          <w:trHeight w:val="192"/>
        </w:trPr>
        <w:tc>
          <w:tcPr>
            <w:tcW w:w="8020" w:type="dxa"/>
            <w:vAlign w:val="bottom"/>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w w:val="96"/>
              </w:rPr>
              <w:t>2025</w:t>
            </w:r>
          </w:p>
        </w:tc>
        <w:tc>
          <w:tcPr>
            <w:tcW w:w="60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580" w:type="dxa"/>
            <w:vAlign w:val="bottom"/>
            <w:tcBorders>
              <w:bottom w:val="single" w:sz="8" w:color="B6B6B6"/>
            </w:tcBorders>
          </w:tcPr>
          <w:p>
            <w:pPr>
              <w:spacing w:after="0"/>
              <w:rPr>
                <w:sz w:val="16"/>
                <w:szCs w:val="16"/>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4"/>
                <w:szCs w:val="14"/>
                <w:color w:val="auto"/>
              </w:rPr>
              <w:t>Direct Operating Cost of Submission</w:t>
            </w:r>
          </w:p>
        </w:tc>
        <w:tc>
          <w:tcPr>
            <w:tcW w:w="100" w:type="dxa"/>
            <w:vAlign w:val="bottom"/>
            <w:shd w:val="clear" w:color="auto" w:fill="B6B6B6"/>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158,042</w:t>
            </w:r>
          </w:p>
        </w:tc>
        <w:tc>
          <w:tcPr>
            <w:tcW w:w="8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138,250</w:t>
            </w:r>
          </w:p>
        </w:tc>
      </w:tr>
      <w:tr>
        <w:trPr>
          <w:trHeight w:val="211"/>
        </w:trPr>
        <w:tc>
          <w:tcPr>
            <w:tcW w:w="8020" w:type="dxa"/>
            <w:vAlign w:val="bottom"/>
          </w:tcPr>
          <w:p>
            <w:pPr>
              <w:spacing w:after="0"/>
              <w:rPr>
                <w:sz w:val="20"/>
                <w:szCs w:val="20"/>
                <w:color w:val="auto"/>
              </w:rPr>
            </w:pPr>
            <w:r>
              <w:rPr>
                <w:rFonts w:ascii="Arial" w:cs="Arial" w:eastAsia="Arial" w:hAnsi="Arial"/>
                <w:sz w:val="14"/>
                <w:szCs w:val="14"/>
                <w:color w:val="auto"/>
              </w:rPr>
              <w:t>Sales/Direct Operating Cost of Submission</w:t>
            </w:r>
          </w:p>
        </w:tc>
        <w:tc>
          <w:tcPr>
            <w:tcW w:w="100" w:type="dxa"/>
            <w:vAlign w:val="bottom"/>
            <w:shd w:val="clear" w:color="auto" w:fill="B6B6B6"/>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sectPr>
      <w:pgSz w:w="11900" w:h="16838" w:orient="portrait"/>
      <w:cols w:equalWidth="0" w:num="1">
        <w:col w:w="11220"/>
      </w:cols>
      <w:pgMar w:left="34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2025-05-13T06:11:39Z</dcterms:created>
  <dcterms:modified xsi:type="dcterms:W3CDTF">2025-05-13T06:11:39Z</dcterms:modified>
</cp:coreProperties>
</file>