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August 8, 2024</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GoHealth,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9"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_________________________</w:t>
      </w:r>
    </w:p>
    <w:p>
      <w:pPr>
        <w:spacing w:after="0" w:line="163" w:lineRule="exact"/>
        <w:rPr>
          <w:sz w:val="24"/>
          <w:szCs w:val="24"/>
          <w:color w:val="auto"/>
        </w:rPr>
      </w:pPr>
    </w:p>
    <w:tbl>
      <w:tblPr>
        <w:tblLayout w:type="fixed"/>
        <w:tblInd w:w="560" w:type="dxa"/>
        <w:tblCellMar>
          <w:top w:w="0" w:type="dxa"/>
          <w:left w:w="0" w:type="dxa"/>
          <w:bottom w:w="0" w:type="dxa"/>
          <w:right w:w="0" w:type="dxa"/>
        </w:tblCellMar>
      </w:tblPr>
      <w:tr>
        <w:trPr>
          <w:trHeight w:val="196"/>
        </w:trPr>
        <w:tc>
          <w:tcPr>
            <w:tcW w:w="3520" w:type="dxa"/>
            <w:vAlign w:val="bottom"/>
          </w:tcPr>
          <w:p>
            <w:pPr>
              <w:jc w:val="center"/>
              <w:ind w:right="608"/>
              <w:spacing w:after="0"/>
              <w:rPr>
                <w:sz w:val="20"/>
                <w:szCs w:val="20"/>
                <w:color w:val="auto"/>
              </w:rPr>
            </w:pPr>
            <w:r>
              <w:rPr>
                <w:rFonts w:ascii="Arial" w:cs="Arial" w:eastAsia="Arial" w:hAnsi="Arial"/>
                <w:sz w:val="14"/>
                <w:szCs w:val="14"/>
                <w:b w:val="1"/>
                <w:bCs w:val="1"/>
                <w:color w:val="auto"/>
              </w:rPr>
              <w:t>Delaware</w:t>
            </w:r>
          </w:p>
        </w:tc>
        <w:tc>
          <w:tcPr>
            <w:tcW w:w="3240" w:type="dxa"/>
            <w:vAlign w:val="bottom"/>
          </w:tcPr>
          <w:p>
            <w:pPr>
              <w:jc w:val="right"/>
              <w:ind w:right="1285"/>
              <w:spacing w:after="0"/>
              <w:rPr>
                <w:sz w:val="20"/>
                <w:szCs w:val="20"/>
                <w:color w:val="auto"/>
              </w:rPr>
            </w:pPr>
            <w:r>
              <w:rPr>
                <w:rFonts w:ascii="Arial" w:cs="Arial" w:eastAsia="Arial" w:hAnsi="Arial"/>
                <w:sz w:val="14"/>
                <w:szCs w:val="14"/>
                <w:b w:val="1"/>
                <w:bCs w:val="1"/>
                <w:color w:val="auto"/>
              </w:rPr>
              <w:t>001-39390</w:t>
            </w:r>
          </w:p>
        </w:tc>
        <w:tc>
          <w:tcPr>
            <w:tcW w:w="3060" w:type="dxa"/>
            <w:vAlign w:val="bottom"/>
          </w:tcPr>
          <w:p>
            <w:pPr>
              <w:jc w:val="right"/>
              <w:ind w:right="648"/>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223"/>
        </w:trPr>
        <w:tc>
          <w:tcPr>
            <w:tcW w:w="3520" w:type="dxa"/>
            <w:vAlign w:val="bottom"/>
          </w:tcPr>
          <w:p>
            <w:pPr>
              <w:jc w:val="center"/>
              <w:ind w:right="608"/>
              <w:spacing w:after="0"/>
              <w:rPr>
                <w:sz w:val="20"/>
                <w:szCs w:val="20"/>
                <w:color w:val="auto"/>
              </w:rPr>
            </w:pPr>
            <w:r>
              <w:rPr>
                <w:rFonts w:ascii="Arial" w:cs="Arial" w:eastAsia="Arial" w:hAnsi="Arial"/>
                <w:sz w:val="14"/>
                <w:szCs w:val="14"/>
                <w:color w:val="auto"/>
              </w:rPr>
              <w:t>(State or other jurisdiction of incorporation)</w:t>
            </w:r>
          </w:p>
        </w:tc>
        <w:tc>
          <w:tcPr>
            <w:tcW w:w="3240" w:type="dxa"/>
            <w:vAlign w:val="bottom"/>
          </w:tcPr>
          <w:p>
            <w:pPr>
              <w:ind w:left="680"/>
              <w:spacing w:after="0"/>
              <w:rPr>
                <w:sz w:val="20"/>
                <w:szCs w:val="20"/>
                <w:color w:val="auto"/>
              </w:rPr>
            </w:pPr>
            <w:r>
              <w:rPr>
                <w:rFonts w:ascii="Arial" w:cs="Arial" w:eastAsia="Arial" w:hAnsi="Arial"/>
                <w:sz w:val="14"/>
                <w:szCs w:val="14"/>
                <w:color w:val="auto"/>
              </w:rPr>
              <w:t>(Commission File Number)</w:t>
            </w:r>
          </w:p>
        </w:tc>
        <w:tc>
          <w:tcPr>
            <w:tcW w:w="3060" w:type="dxa"/>
            <w:vAlign w:val="bottom"/>
          </w:tcPr>
          <w:p>
            <w:pPr>
              <w:jc w:val="center"/>
              <w:ind w:left="768"/>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465"/>
        </w:trPr>
        <w:tc>
          <w:tcPr>
            <w:tcW w:w="3520" w:type="dxa"/>
            <w:vAlign w:val="bottom"/>
          </w:tcPr>
          <w:p>
            <w:pPr>
              <w:jc w:val="center"/>
              <w:ind w:right="608"/>
              <w:spacing w:after="0"/>
              <w:rPr>
                <w:sz w:val="20"/>
                <w:szCs w:val="20"/>
                <w:color w:val="auto"/>
              </w:rPr>
            </w:pPr>
            <w:r>
              <w:rPr>
                <w:rFonts w:ascii="Arial" w:cs="Arial" w:eastAsia="Arial" w:hAnsi="Arial"/>
                <w:sz w:val="14"/>
                <w:szCs w:val="14"/>
                <w:b w:val="1"/>
                <w:bCs w:val="1"/>
                <w:color w:val="auto"/>
              </w:rPr>
              <w:t>222 W Merchandise Mart Plaza Suite 1750</w:t>
            </w:r>
          </w:p>
        </w:tc>
        <w:tc>
          <w:tcPr>
            <w:tcW w:w="3240" w:type="dxa"/>
            <w:vAlign w:val="bottom"/>
          </w:tcPr>
          <w:p>
            <w:pPr>
              <w:spacing w:after="0"/>
              <w:rPr>
                <w:sz w:val="24"/>
                <w:szCs w:val="24"/>
                <w:color w:val="auto"/>
              </w:rPr>
            </w:pPr>
          </w:p>
        </w:tc>
        <w:tc>
          <w:tcPr>
            <w:tcW w:w="3060" w:type="dxa"/>
            <w:vAlign w:val="bottom"/>
            <w:vMerge w:val="restart"/>
          </w:tcPr>
          <w:p>
            <w:pPr>
              <w:jc w:val="right"/>
              <w:ind w:right="848"/>
              <w:spacing w:after="0"/>
              <w:rPr>
                <w:sz w:val="20"/>
                <w:szCs w:val="20"/>
                <w:color w:val="auto"/>
              </w:rPr>
            </w:pPr>
            <w:r>
              <w:rPr>
                <w:rFonts w:ascii="Arial" w:cs="Arial" w:eastAsia="Arial" w:hAnsi="Arial"/>
                <w:sz w:val="14"/>
                <w:szCs w:val="14"/>
                <w:b w:val="1"/>
                <w:bCs w:val="1"/>
                <w:color w:val="auto"/>
              </w:rPr>
              <w:t>60654</w:t>
            </w:r>
          </w:p>
        </w:tc>
        <w:tc>
          <w:tcPr>
            <w:tcW w:w="0" w:type="dxa"/>
            <w:vAlign w:val="bottom"/>
          </w:tcPr>
          <w:p>
            <w:pPr>
              <w:spacing w:after="0"/>
              <w:rPr>
                <w:sz w:val="1"/>
                <w:szCs w:val="1"/>
                <w:color w:val="auto"/>
              </w:rPr>
            </w:pPr>
          </w:p>
        </w:tc>
      </w:tr>
      <w:tr>
        <w:trPr>
          <w:trHeight w:val="108"/>
        </w:trPr>
        <w:tc>
          <w:tcPr>
            <w:tcW w:w="35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Chicago, Illinois</w:t>
            </w:r>
          </w:p>
        </w:tc>
        <w:tc>
          <w:tcPr>
            <w:tcW w:w="324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520" w:type="dxa"/>
            <w:vAlign w:val="bottom"/>
            <w:vMerge w:val="continue"/>
          </w:tcPr>
          <w:p>
            <w:pPr>
              <w:spacing w:after="0"/>
              <w:rPr>
                <w:sz w:val="10"/>
                <w:szCs w:val="10"/>
                <w:color w:val="auto"/>
              </w:rPr>
            </w:pPr>
          </w:p>
        </w:tc>
        <w:tc>
          <w:tcPr>
            <w:tcW w:w="32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20" w:type="dxa"/>
            <w:vAlign w:val="bottom"/>
          </w:tcPr>
          <w:p>
            <w:pPr>
              <w:jc w:val="center"/>
              <w:ind w:right="628"/>
              <w:spacing w:after="0"/>
              <w:rPr>
                <w:sz w:val="20"/>
                <w:szCs w:val="20"/>
                <w:color w:val="auto"/>
              </w:rPr>
            </w:pPr>
            <w:r>
              <w:rPr>
                <w:rFonts w:ascii="Arial" w:cs="Arial" w:eastAsia="Arial" w:hAnsi="Arial"/>
                <w:sz w:val="14"/>
                <w:szCs w:val="14"/>
                <w:color w:val="auto"/>
              </w:rPr>
              <w:t>(Address of principal executive offices)</w:t>
            </w:r>
          </w:p>
        </w:tc>
        <w:tc>
          <w:tcPr>
            <w:tcW w:w="3240" w:type="dxa"/>
            <w:vAlign w:val="bottom"/>
          </w:tcPr>
          <w:p>
            <w:pPr>
              <w:spacing w:after="0"/>
              <w:rPr>
                <w:sz w:val="19"/>
                <w:szCs w:val="19"/>
                <w:color w:val="auto"/>
              </w:rPr>
            </w:pPr>
          </w:p>
        </w:tc>
        <w:tc>
          <w:tcPr>
            <w:tcW w:w="3060" w:type="dxa"/>
            <w:vAlign w:val="bottom"/>
          </w:tcPr>
          <w:p>
            <w:pPr>
              <w:jc w:val="center"/>
              <w:ind w:left="74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19"/>
        </w:trPr>
        <w:tc>
          <w:tcPr>
            <w:tcW w:w="3520" w:type="dxa"/>
            <w:vAlign w:val="bottom"/>
          </w:tcPr>
          <w:p>
            <w:pPr>
              <w:spacing w:after="0"/>
              <w:rPr>
                <w:sz w:val="24"/>
                <w:szCs w:val="24"/>
                <w:color w:val="auto"/>
              </w:rPr>
            </w:pPr>
          </w:p>
        </w:tc>
        <w:tc>
          <w:tcPr>
            <w:tcW w:w="3240" w:type="dxa"/>
            <w:vAlign w:val="bottom"/>
          </w:tcPr>
          <w:p>
            <w:pPr>
              <w:jc w:val="right"/>
              <w:ind w:right="1065"/>
              <w:spacing w:after="0"/>
              <w:rPr>
                <w:sz w:val="20"/>
                <w:szCs w:val="20"/>
                <w:color w:val="auto"/>
              </w:rPr>
            </w:pPr>
            <w:r>
              <w:rPr>
                <w:rFonts w:ascii="Arial" w:cs="Arial" w:eastAsia="Arial" w:hAnsi="Arial"/>
                <w:sz w:val="16"/>
                <w:szCs w:val="16"/>
                <w:b w:val="1"/>
                <w:bCs w:val="1"/>
                <w:color w:val="auto"/>
              </w:rPr>
              <w:t>(312) 386-8200</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1"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01"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On August 8, 2024, GoHealth, Inc. issued a press release announcing its financial results for the quarter ended June 30, 2024. A copy of the press release is furnished as Exhibit 99.1 to this Current Report on Form 8-K.</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dated August 8, 2024</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4"/>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August 8, 2024</w:t>
      </w:r>
      <w:r>
        <w:rPr>
          <w:sz w:val="20"/>
          <w:szCs w:val="20"/>
          <w:color w:val="auto"/>
        </w:rPr>
        <w:tab/>
      </w:r>
      <w:r>
        <w:rPr>
          <w:rFonts w:ascii="Arial" w:cs="Arial" w:eastAsia="Arial" w:hAnsi="Arial"/>
          <w:sz w:val="16"/>
          <w:szCs w:val="16"/>
          <w:color w:val="auto"/>
        </w:rPr>
        <w:t>By: /s/ Katherine M. O’Halloran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Katherine M. O’Halloran</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Interim Chief Financial Officer and Chief Accounting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30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19050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0A2299"/>
        </w:rPr>
        <w:t>GoHealth Reports Second Quarter 2024 Results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CHICAGO, August 8, 2024 — GoHealth, Inc. (NASDAQ: GOCO) (“GoHealth” or the “Company”), a leading health insurance marketplace and Medicare-focused digital health company, today announced financial results for the three and six months ended June 30, 2024.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A2299"/>
        </w:rPr>
        <w:t>Second Quarter Highlights</w:t>
      </w:r>
    </w:p>
    <w:p>
      <w:pPr>
        <w:spacing w:after="0" w:line="11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Second quarter 2024 net revenues of $105.9 million, a $36.9 million decrease compared to $142.8 million in the prior year period.</w:t>
      </w:r>
    </w:p>
    <w:p>
      <w:pPr>
        <w:spacing w:after="0" w:line="126" w:lineRule="exact"/>
        <w:rPr>
          <w:rFonts w:ascii="Arial" w:cs="Arial" w:eastAsia="Arial" w:hAnsi="Arial"/>
          <w:sz w:val="16"/>
          <w:szCs w:val="16"/>
          <w:color w:val="auto"/>
        </w:rPr>
      </w:pPr>
    </w:p>
    <w:p>
      <w:pPr>
        <w:ind w:left="660" w:right="820" w:hanging="328"/>
        <w:spacing w:after="0" w:line="26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Second quarter 2024 Submissions of 152,394, a 6% decrease compared to 162,837 Submissions in the prior year period, driven by an increase in Submissions generated by GoHealth’s internal captive agents offset by a decrease in Submissions generated by our external GoPartner Solutions agents.</w:t>
      </w:r>
    </w:p>
    <w:p>
      <w:pPr>
        <w:spacing w:after="0" w:line="7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Second quarter 2024 net loss of $59.3 million, an improvement of $10.9 million compared to a net loss of $70.2 million in the prior year period.</w:t>
      </w:r>
    </w:p>
    <w:p>
      <w:pPr>
        <w:spacing w:after="0" w:line="113" w:lineRule="exact"/>
        <w:rPr>
          <w:rFonts w:ascii="Arial" w:cs="Arial" w:eastAsia="Arial" w:hAnsi="Arial"/>
          <w:sz w:val="16"/>
          <w:szCs w:val="16"/>
          <w:color w:val="auto"/>
        </w:rPr>
      </w:pPr>
    </w:p>
    <w:p>
      <w:pPr>
        <w:ind w:left="660" w:right="620" w:hanging="328"/>
        <w:spacing w:after="0" w:line="23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Second quarter 2024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negative $12.3 million, a decrease of $13.1 million compared to positive $0.8 million in the prior year period.</w:t>
      </w:r>
    </w:p>
    <w:p>
      <w:pPr>
        <w:spacing w:after="0" w:line="82" w:lineRule="exact"/>
        <w:rPr>
          <w:rFonts w:ascii="Arial" w:cs="Arial" w:eastAsia="Arial" w:hAnsi="Arial"/>
          <w:sz w:val="16"/>
          <w:szCs w:val="16"/>
          <w:color w:val="auto"/>
        </w:rPr>
      </w:pPr>
    </w:p>
    <w:p>
      <w:pPr>
        <w:ind w:left="660" w:right="10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Second quarter 2024 trailing twelve months (“TTM”) positive cash flow from operations was $53.8 million, a decrease of $32.1 million compared to TTM positive cash flow from operations of $85.9 million in the prior year period.</w:t>
      </w:r>
    </w:p>
    <w:p>
      <w:pPr>
        <w:spacing w:after="0" w:line="3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experienced a decline in net revenues to $105.9 million due to a 6% decrease in total Submissions. Submissions generated by our internal captive agents increased year-over-year, offset by a decline in Submissions generated by our external GoPartner Solutions, or GPS, agents,” said Vijay Kotte, CEO of GoHealth. “We are particularly pleased with the performance of our internal captive agents despite unchanged shopping and switching dynamics since last year's annual enrollment period (“AEP”). We anticipated year-over-year declines from Q1 through Q3, but our team has managed these expected dynamics by driving efficiencies. These results highlight the benefits of our proprietary Encompass workflow and PlanFit CheckUp process. GoHealth plays a critical role in helping Medicare eligible consumers navigate plan options every year. As we gear up for AEP in just 67 days, GoHealth is intensifying targeted marketing efforts to better identify and reach consumers in need of PlanFit CheckUp’s.”</w:t>
      </w:r>
    </w:p>
    <w:p>
      <w:pPr>
        <w:spacing w:after="0" w:line="190"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“We also remain committed to leveraging our strengths and strategic initiatives to drive future growth,” continued Kotte. “GoHealth continues to advance our technology to ensure a seamless experience for agents and consumers. We believe that our advancements in artificial intelligence (“AI”) and automation are setting a new industry standard. Our proprietary technology leverages machine and deep learning models atop our sophisticated data platforms, enabling us to deliver more precise, data-driven insights and significantly enhance agent efficiency. We expect these innovations to streamline processes, provide dynamic personalization in our workflows, and improve our overall operational efficiency. By integrating AI and automation into our operations, we intend to not only enhance the consumer experience but also solidify our position as an industry leader in customer acquisition costs, represented by our Direct Cost of Submission.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With our consumer orientation and technology enablement, we are looking forward to continuing to support consumers during what we currently believe will be a dynamic AEP,” continued Kotte.</w:t>
      </w:r>
    </w:p>
    <w:p>
      <w:pPr>
        <w:spacing w:after="0" w:line="23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expect various factors to influence the second half of the year and we remain confident in our performance expectations for 2024. We anticipate growth in Submission volume, revenue, and Adjusted EBITDA," said Katie O’Halloran, Interim CFO of GoHealth. "We believe our mix of agency versus non-agency agreements will be a key driver of our cash flow from operations performance. With our continued strategic focus and disciplined execution, we are committed to achieving our goals and delivering long-term value."</w:t>
      </w:r>
    </w:p>
    <w:p>
      <w:pPr>
        <w:spacing w:after="0" w:line="30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120" w:lineRule="exact"/>
        <w:rPr>
          <w:rFonts w:ascii="Arial" w:cs="Arial" w:eastAsia="Arial" w:hAnsi="Arial"/>
          <w:sz w:val="13"/>
          <w:szCs w:val="13"/>
          <w:i w:val="1"/>
          <w:iCs w:val="1"/>
          <w:color w:val="auto"/>
        </w:rPr>
      </w:pP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Direct Cost of Submission is a key operating metric. For a definition of Direct Cost of Submission and a description of how it is calculated, please see below.</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4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Company will host a conference call today, Thursday, August 8, 2024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4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and adoption and use of artificial intelligence technologies are forward-looking statements.</w:t>
      </w:r>
    </w:p>
    <w:p>
      <w:pPr>
        <w:spacing w:after="0" w:line="21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2023 (“2023 Annual Report on Form 10-K”) and in our other filings with the Securities and Exchange Commission. The factors described in our 2023 Annual Report on Form 10-K should not be construed as exhaustive and should be read together with the other cautionary statements included in this press release, as well as the cautionary statements and other risk factors set forth in the Quarterly Report on Form 10-Q for the first fiscal quarter ended March 31, 2024, the forthcoming Quarterly Report on Form 10-Q for the second quarter ended June 30, 2024 and in our other filings with the Securities and Exchange Commission.</w:t>
      </w:r>
    </w:p>
    <w:p>
      <w:pPr>
        <w:spacing w:after="0" w:line="22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You should read this press release and the documents that we reference in this press release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w:t>
      </w:r>
    </w:p>
    <w:p>
      <w:pPr>
        <w:spacing w:after="0" w:line="26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the business and monitor the results of operations. Adjusted EBITDA represents, as applicable for the period, EBITDA as further adjusted for certain items summarized in the table furnished below. Adjusted EBITDA Margin represents Adjusted EBITDA divided by net revenues.</w:t>
      </w:r>
    </w:p>
    <w:p>
      <w:pPr>
        <w:spacing w:after="0" w:line="203"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EBITDA, Adjusted EBITDA and Adjusted EBITDA Margin to their most directly comparable GAAP financial measures are presented in the tables furnished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81" w:right="339" w:bottom="1440" w:gutter="0" w:footer="0" w:header="0"/>
        </w:sectPr>
      </w:pPr>
    </w:p>
    <w:bookmarkStart w:id="6" w:name="page7"/>
    <w:bookmarkEnd w:id="6"/>
    <w:p>
      <w:pPr>
        <w:ind w:right="100"/>
        <w:spacing w:after="0" w:line="242"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Sales per Submission, Direct Cost of Submission, Direct Cost per Submission and Adjusted Direct Operating Margin per Submission, as well as Submissions, are key operating metrics used by management to understand the Company’s underlying financial performance and trends. Sales per Submission represents Medicare Revenue per Submission as further adjusted for certain items summarized in the table furnished below in this press release. Direct Cost per Submission represents Operating Expense per Submission as further adjusted for certain items summarized in the table furnished below in this press release. Adjusted Direct Operating Margin per Submission represents Sales per Submission less Direct Cost per Submission. Management uses these metrics to measure the performance of the Submissions generated in a reporting period by reviewing and presenting average performance on a per Submission basis over time. Submissions represent completed applications with our licensed agents and transfers by our agents to the health plan partners as further described below.</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Certain Definitions and Key Terms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press release, unless the context otherwise requires:</w:t>
      </w:r>
    </w:p>
    <w:p>
      <w:pPr>
        <w:spacing w:after="0" w:line="262" w:lineRule="exact"/>
        <w:rPr>
          <w:sz w:val="20"/>
          <w:szCs w:val="20"/>
          <w:color w:val="auto"/>
        </w:rPr>
      </w:pPr>
    </w:p>
    <w:p>
      <w:pPr>
        <w:jc w:val="both"/>
        <w:ind w:left="660" w:right="140" w:hanging="328"/>
        <w:spacing w:after="0" w:line="275" w:lineRule="auto"/>
        <w:tabs>
          <w:tab w:leader="none" w:pos="64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refers to the Lifetime Value of Commissions, which we define as aggregate commissions estimated to be collected over the estimated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commissionable Submissions for the relevant period based on multiple factors, including but not limited to, contracted commission rates, health plan partner mix and expected policy persistency with applied constraints.</w:t>
      </w:r>
    </w:p>
    <w:p>
      <w:pPr>
        <w:spacing w:after="0" w:line="191" w:lineRule="exact"/>
        <w:rPr>
          <w:rFonts w:ascii="Arial" w:cs="Arial" w:eastAsia="Arial" w:hAnsi="Arial"/>
          <w:sz w:val="16"/>
          <w:szCs w:val="16"/>
          <w:i w:val="1"/>
          <w:iCs w:val="1"/>
          <w:color w:val="auto"/>
        </w:rPr>
      </w:pPr>
    </w:p>
    <w:p>
      <w:pPr>
        <w:ind w:left="660" w:right="380" w:hanging="328"/>
        <w:spacing w:after="0" w:line="286" w:lineRule="auto"/>
        <w:tabs>
          <w:tab w:leader="none" w:pos="64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“Non-Encompass BPO Services” </w:t>
      </w:r>
      <w:r>
        <w:rPr>
          <w:rFonts w:ascii="Arial" w:cs="Arial" w:eastAsia="Arial" w:hAnsi="Arial"/>
          <w:sz w:val="16"/>
          <w:szCs w:val="16"/>
          <w:color w:val="auto"/>
        </w:rPr>
        <w:t>refer to programs in which GoHealth-employed agents are dedicated to certain health plans and agencies we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with outside of the Encompass operating model.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Non-GAAP Financial Measures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Throughout this press release, we use a number of non-GAAP financial measures. We define these non-GAAP financial measures as follows:</w:t>
      </w:r>
    </w:p>
    <w:p>
      <w:pPr>
        <w:spacing w:after="0" w:line="24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w:t>
      </w:r>
      <w:r>
        <w:rPr>
          <w:rFonts w:ascii="Arial" w:cs="Arial" w:eastAsia="Arial" w:hAnsi="Arial"/>
          <w:sz w:val="16"/>
          <w:szCs w:val="16"/>
          <w:color w:val="auto"/>
        </w:rPr>
        <w:t>” represents, as applicable for the period, EBITDA as further adjusted for certain items summarized below in this press release.</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Adjusted EBITDA Margin</w:t>
      </w:r>
      <w:r>
        <w:rPr>
          <w:rFonts w:ascii="Arial" w:cs="Arial" w:eastAsia="Arial" w:hAnsi="Arial"/>
          <w:sz w:val="16"/>
          <w:szCs w:val="16"/>
          <w:color w:val="auto"/>
        </w:rPr>
        <w:t>” refers to Adjusted EBITDA divided by net revenues.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Key Performance Indicators</w:t>
      </w: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Throughout this press release, we provide a number of key performance indicators used by management. We define these key performance indicators as follows:</w:t>
      </w:r>
    </w:p>
    <w:p>
      <w:pPr>
        <w:spacing w:after="0" w:line="196" w:lineRule="exact"/>
        <w:rPr>
          <w:sz w:val="20"/>
          <w:szCs w:val="20"/>
          <w:color w:val="auto"/>
        </w:rPr>
      </w:pPr>
    </w:p>
    <w:p>
      <w:pPr>
        <w:ind w:left="660" w:right="18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“Adjusted Direct Operating Margin per Submission” </w:t>
      </w:r>
      <w:r>
        <w:rPr>
          <w:rFonts w:ascii="Arial" w:cs="Arial" w:eastAsia="Arial" w:hAnsi="Arial"/>
          <w:sz w:val="16"/>
          <w:szCs w:val="16"/>
          <w:color w:val="auto"/>
        </w:rPr>
        <w:t>refers to Sales per Submission less Direct Cost per Submission. Adjusted Direct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Margin per Submission, previously referred to as “Adjusted Gross Margin per Submission,” reflects a name change only and does not require any financial information to be reclassified from previous periods.</w:t>
      </w:r>
    </w:p>
    <w:p>
      <w:pPr>
        <w:spacing w:after="0" w:line="191" w:lineRule="exact"/>
        <w:rPr>
          <w:rFonts w:ascii="Arial" w:cs="Arial" w:eastAsia="Arial" w:hAnsi="Arial"/>
          <w:sz w:val="16"/>
          <w:szCs w:val="16"/>
          <w:color w:val="auto"/>
        </w:rPr>
      </w:pPr>
    </w:p>
    <w:p>
      <w:pPr>
        <w:ind w:left="660" w:right="220" w:hanging="328"/>
        <w:spacing w:after="0" w:line="265" w:lineRule="auto"/>
        <w:tabs>
          <w:tab w:leader="none" w:pos="649"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“Direct Cost of Submission” </w:t>
      </w:r>
      <w:r>
        <w:rPr>
          <w:rFonts w:ascii="Arial" w:cs="Arial" w:eastAsia="Arial" w:hAnsi="Arial"/>
          <w:sz w:val="16"/>
          <w:szCs w:val="16"/>
          <w:color w:val="auto"/>
        </w:rPr>
        <w:t>refers to the aggregate direct cost to convert prospects into Submissions during a particular period. Direct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Submission is comprised of revenue share, marketing and advertising expenses and consumer care and enrollment expenses, excluding share-based compensation expense, the impact of revenue adjustments recorded in the period, but relating to performance obligations satisfied in prior periods and such expenses related to Non-Encompass BPO Services. Direct Cost of Submission, previously referred to as “Cost of Submission,” reflects a name change only and does not require any financial information to be reclassified from previous periods.</w:t>
      </w:r>
    </w:p>
    <w:p>
      <w:pPr>
        <w:spacing w:after="0" w:line="199" w:lineRule="exact"/>
        <w:rPr>
          <w:rFonts w:ascii="Arial" w:cs="Arial" w:eastAsia="Arial" w:hAnsi="Arial"/>
          <w:sz w:val="16"/>
          <w:szCs w:val="16"/>
          <w:i w:val="1"/>
          <w:iCs w:val="1"/>
          <w:color w:val="auto"/>
        </w:rPr>
      </w:pPr>
    </w:p>
    <w:p>
      <w:pPr>
        <w:ind w:left="660" w:right="100" w:hanging="328"/>
        <w:spacing w:after="0" w:line="261" w:lineRule="auto"/>
        <w:tabs>
          <w:tab w:leader="none" w:pos="649"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“Direct Cost per Submission” </w:t>
      </w:r>
      <w:r>
        <w:rPr>
          <w:rFonts w:ascii="Arial" w:cs="Arial" w:eastAsia="Arial" w:hAnsi="Arial"/>
          <w:sz w:val="16"/>
          <w:szCs w:val="16"/>
          <w:color w:val="auto"/>
        </w:rPr>
        <w:t>refers to (x) the aggregate direct cost to convert prospects into Submissions for a particular period (comprised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share, marketing and advertising expenses and consumer care and enrollment expenses, excluding share-based compensation expense, the impact of revenue adjustments recorded in the period, but relating to performance obligations satisfied in prior periods and such expenses related to Non-Encompass BPO Services) divided by (y) the number of Submissions for such period. Direct Cost per Submission, previously referred to as “Cost per Submission,” reflects a name change only and does not require any financial information to be reclassified from previous periods.</w:t>
      </w:r>
    </w:p>
    <w:p>
      <w:pPr>
        <w:spacing w:after="0" w:line="203" w:lineRule="exact"/>
        <w:rPr>
          <w:rFonts w:ascii="Arial" w:cs="Arial" w:eastAsia="Arial" w:hAnsi="Arial"/>
          <w:sz w:val="16"/>
          <w:szCs w:val="16"/>
          <w:i w:val="1"/>
          <w:iCs w:val="1"/>
          <w:color w:val="auto"/>
        </w:rPr>
      </w:pPr>
    </w:p>
    <w:p>
      <w:pPr>
        <w:ind w:left="660" w:right="340" w:hanging="328"/>
        <w:spacing w:after="0" w:line="265" w:lineRule="auto"/>
        <w:tabs>
          <w:tab w:leader="none" w:pos="649"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“Sales/Direct Cost of Submission” </w:t>
      </w:r>
      <w:r>
        <w:rPr>
          <w:rFonts w:ascii="Arial" w:cs="Arial" w:eastAsia="Arial" w:hAnsi="Arial"/>
          <w:sz w:val="16"/>
          <w:szCs w:val="16"/>
          <w:color w:val="auto"/>
        </w:rPr>
        <w:t>refers to (x) the sum of (i) aggregate commissions estimated to be collected over the estimated life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60" w:right="339" w:bottom="1440" w:gutter="0" w:footer="0" w:header="0"/>
          <w:type w:val="continuous"/>
        </w:sectPr>
      </w:pPr>
    </w:p>
    <w:bookmarkStart w:id="7" w:name="page8"/>
    <w:bookmarkEnd w:id="7"/>
    <w:p>
      <w:pPr>
        <w:ind w:left="328" w:right="20"/>
        <w:spacing w:after="0" w:line="265" w:lineRule="auto"/>
        <w:rPr>
          <w:sz w:val="20"/>
          <w:szCs w:val="20"/>
          <w:color w:val="auto"/>
        </w:rPr>
      </w:pPr>
      <w:r>
        <w:rPr>
          <w:rFonts w:ascii="Arial" w:cs="Arial" w:eastAsia="Arial" w:hAnsi="Arial"/>
          <w:sz w:val="16"/>
          <w:szCs w:val="16"/>
          <w:color w:val="auto"/>
        </w:rPr>
        <w:t>non-agency revenue and (iii) partner marketing and other revenue, divided by (y) the aggregate direct cost to convert prospects into Submissions (comprised of revenue share, marketing and advertising expenses and consumer care and enrollment expenses, excluding share-based compensation expense) for such period. Sales/Direct Cost of Submission excludes amounts related to Non-Encompass BPO Services. Sales/Direct Cost of Submission, previously referred to as “Sales/Cost of Submission,” reflects a name change only and does not require any financial information to be reclassified from previous periods.</w:t>
      </w:r>
    </w:p>
    <w:p>
      <w:pPr>
        <w:spacing w:after="0" w:line="199" w:lineRule="exact"/>
        <w:rPr>
          <w:sz w:val="20"/>
          <w:szCs w:val="20"/>
          <w:color w:val="auto"/>
        </w:rPr>
      </w:pPr>
    </w:p>
    <w:p>
      <w:pPr>
        <w:ind w:left="328" w:right="40" w:hanging="328"/>
        <w:spacing w:after="0" w:line="265" w:lineRule="auto"/>
        <w:tabs>
          <w:tab w:leader="none" w:pos="317"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refers to (x) the sum of (i) aggregate commissions estimated to be collected over the estimated life of all commissionable</w:t>
      </w:r>
      <w:r>
        <w:rPr>
          <w:rFonts w:ascii="Arial" w:cs="Arial" w:eastAsia="Arial" w:hAnsi="Arial"/>
          <w:sz w:val="16"/>
          <w:szCs w:val="16"/>
          <w:i w:val="1"/>
          <w:iCs w:val="1"/>
          <w:color w:val="auto"/>
        </w:rPr>
        <w:t xml:space="preserve"> </w:t>
      </w:r>
      <w:r>
        <w:rPr>
          <w:rFonts w:ascii="Arial" w:cs="Arial" w:eastAsia="Arial" w:hAnsi="Arial"/>
          <w:sz w:val="16"/>
          <w:szCs w:val="16"/>
          <w:color w:val="auto"/>
        </w:rPr>
        <w:t>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w:t>
      </w:r>
    </w:p>
    <w:p>
      <w:pPr>
        <w:spacing w:after="0" w:line="199" w:lineRule="exact"/>
        <w:rPr>
          <w:rFonts w:ascii="Arial" w:cs="Arial" w:eastAsia="Arial" w:hAnsi="Arial"/>
          <w:sz w:val="16"/>
          <w:szCs w:val="16"/>
          <w:i w:val="1"/>
          <w:iCs w:val="1"/>
          <w:color w:val="auto"/>
        </w:rPr>
      </w:pPr>
    </w:p>
    <w:p>
      <w:pPr>
        <w:ind w:left="328" w:right="80" w:hanging="328"/>
        <w:spacing w:after="0" w:line="275" w:lineRule="auto"/>
        <w:tabs>
          <w:tab w:leader="none" w:pos="317"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application with our licensed agent that is submitted to the health plan partner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health plan partner during the indicated period, excluding applications through our Non-Encompass BPO Services or (ii) a transfer by our agent to the health plan partner through the Encompass operating model during the indicated period.</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08"/>
          </w:cols>
          <w:pgMar w:left="652" w:top="77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4"/>
                <w:szCs w:val="14"/>
                <w:color w:val="auto"/>
              </w:rPr>
              <w:t>Three months ended Jun.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4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gridSpan w:val="3"/>
          </w:tcPr>
          <w:p>
            <w:pPr>
              <w:jc w:val="right"/>
              <w:ind w:right="2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gridSpan w:val="3"/>
          </w:tcPr>
          <w:p>
            <w:pPr>
              <w:jc w:val="right"/>
              <w:ind w:right="40"/>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Dollars</w:t>
            </w:r>
          </w:p>
        </w:tc>
        <w:tc>
          <w:tcPr>
            <w:tcW w:w="102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 of Net</w:t>
            </w:r>
          </w:p>
        </w:tc>
        <w:tc>
          <w:tcPr>
            <w:tcW w:w="200" w:type="dxa"/>
            <w:vAlign w:val="bottom"/>
          </w:tcPr>
          <w:p>
            <w:pPr>
              <w:spacing w:after="0"/>
              <w:rPr>
                <w:sz w:val="13"/>
                <w:szCs w:val="13"/>
                <w:color w:val="auto"/>
              </w:rPr>
            </w:pPr>
          </w:p>
        </w:tc>
        <w:tc>
          <w:tcPr>
            <w:tcW w:w="110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Dollars</w:t>
            </w:r>
          </w:p>
        </w:tc>
        <w:tc>
          <w:tcPr>
            <w:tcW w:w="100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 of Net</w:t>
            </w:r>
          </w:p>
        </w:tc>
        <w:tc>
          <w:tcPr>
            <w:tcW w:w="12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color w:val="auto"/>
              </w:rPr>
              <w:t>$ Change</w:t>
            </w: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5"/>
        </w:trPr>
        <w:tc>
          <w:tcPr>
            <w:tcW w:w="444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tcBorders>
              <w:top w:val="single" w:sz="8" w:color="B6B6B6"/>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top w:val="single" w:sz="8" w:color="B6B6B6"/>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105,870</w:t>
            </w:r>
          </w:p>
        </w:tc>
        <w:tc>
          <w:tcPr>
            <w:tcW w:w="100" w:type="dxa"/>
            <w:vAlign w:val="bottom"/>
          </w:tcPr>
          <w:p>
            <w:pPr>
              <w:spacing w:after="0"/>
              <w:rPr>
                <w:sz w:val="16"/>
                <w:szCs w:val="16"/>
                <w:color w:val="auto"/>
              </w:rPr>
            </w:pPr>
          </w:p>
        </w:tc>
        <w:tc>
          <w:tcPr>
            <w:tcW w:w="14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B6B6B6"/>
            </w:tcBorders>
          </w:tcPr>
          <w:p>
            <w:pPr>
              <w:jc w:val="right"/>
              <w:ind w:right="108"/>
              <w:spacing w:after="0"/>
              <w:rPr>
                <w:sz w:val="20"/>
                <w:szCs w:val="20"/>
                <w:color w:val="auto"/>
              </w:rPr>
            </w:pPr>
            <w:r>
              <w:rPr>
                <w:rFonts w:ascii="Arial" w:cs="Arial" w:eastAsia="Arial" w:hAnsi="Arial"/>
                <w:sz w:val="14"/>
                <w:szCs w:val="14"/>
                <w:color w:val="auto"/>
              </w:rPr>
              <w:t>142,779</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(36,909)</w:t>
            </w:r>
          </w:p>
        </w:tc>
        <w:tc>
          <w:tcPr>
            <w:tcW w:w="80" w:type="dxa"/>
            <w:vAlign w:val="bottom"/>
          </w:tcPr>
          <w:p>
            <w:pPr>
              <w:spacing w:after="0"/>
              <w:rPr>
                <w:sz w:val="16"/>
                <w:szCs w:val="16"/>
                <w:color w:val="auto"/>
              </w:rPr>
            </w:pPr>
          </w:p>
        </w:tc>
        <w:tc>
          <w:tcPr>
            <w:tcW w:w="10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20,680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36,422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(15,742)</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02"/>
        </w:trPr>
        <w:tc>
          <w:tcPr>
            <w:tcW w:w="444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38,004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39,269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39,314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45,536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(6,222)</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8,570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10,511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16,398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37,855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(21,457)</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23,515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4"/>
        </w:trPr>
        <w:tc>
          <w:tcPr>
            <w:tcW w:w="444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128"/>
              <w:spacing w:after="0"/>
              <w:rPr>
                <w:sz w:val="20"/>
                <w:szCs w:val="20"/>
                <w:color w:val="auto"/>
              </w:rPr>
            </w:pPr>
            <w:r>
              <w:rPr>
                <w:rFonts w:ascii="Arial" w:cs="Arial" w:eastAsia="Arial" w:hAnsi="Arial"/>
                <w:sz w:val="14"/>
                <w:szCs w:val="14"/>
                <w:color w:val="auto"/>
              </w:rPr>
              <w:t>146,480</w:t>
            </w:r>
          </w:p>
        </w:tc>
        <w:tc>
          <w:tcPr>
            <w:tcW w:w="100" w:type="dxa"/>
            <w:vAlign w:val="bottom"/>
          </w:tcPr>
          <w:p>
            <w:pPr>
              <w:spacing w:after="0"/>
              <w:rPr>
                <w:sz w:val="17"/>
                <w:szCs w:val="17"/>
                <w:color w:val="auto"/>
              </w:rPr>
            </w:pPr>
          </w:p>
        </w:tc>
        <w:tc>
          <w:tcPr>
            <w:tcW w:w="14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138.4 %</w:t>
            </w:r>
          </w:p>
        </w:tc>
        <w:tc>
          <w:tcPr>
            <w:tcW w:w="100" w:type="dxa"/>
            <w:vAlign w:val="bottom"/>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4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195,795</w:t>
            </w:r>
          </w:p>
        </w:tc>
        <w:tc>
          <w:tcPr>
            <w:tcW w:w="10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137.1 %</w:t>
            </w:r>
          </w:p>
        </w:tc>
        <w:tc>
          <w:tcPr>
            <w:tcW w:w="10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(49,315)</w:t>
            </w:r>
          </w:p>
        </w:tc>
        <w:tc>
          <w:tcPr>
            <w:tcW w:w="80" w:type="dxa"/>
            <w:vAlign w:val="bottom"/>
          </w:tcPr>
          <w:p>
            <w:pPr>
              <w:spacing w:after="0"/>
              <w:rPr>
                <w:sz w:val="17"/>
                <w:szCs w:val="17"/>
                <w:color w:val="auto"/>
              </w:rPr>
            </w:pPr>
          </w:p>
        </w:tc>
        <w:tc>
          <w:tcPr>
            <w:tcW w:w="10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4"/>
        </w:trPr>
        <w:tc>
          <w:tcPr>
            <w:tcW w:w="444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(40,610)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(53,016)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12,406</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18,096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17,265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2985.7 %</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88"/>
              <w:spacing w:after="0"/>
              <w:rPr>
                <w:sz w:val="20"/>
                <w:szCs w:val="20"/>
                <w:color w:val="auto"/>
              </w:rPr>
            </w:pPr>
            <w:r>
              <w:rPr>
                <w:rFonts w:ascii="Arial" w:cs="Arial" w:eastAsia="Arial" w:hAnsi="Arial"/>
                <w:sz w:val="14"/>
                <w:szCs w:val="14"/>
                <w:color w:val="auto"/>
              </w:rPr>
              <w:t>(59,354)</w:t>
            </w:r>
          </w:p>
        </w:tc>
        <w:tc>
          <w:tcPr>
            <w:tcW w:w="100" w:type="dxa"/>
            <w:vAlign w:val="bottom"/>
          </w:tcPr>
          <w:p>
            <w:pPr>
              <w:spacing w:after="0"/>
              <w:rPr>
                <w:sz w:val="17"/>
                <w:szCs w:val="17"/>
                <w:color w:val="auto"/>
              </w:rPr>
            </w:pPr>
          </w:p>
        </w:tc>
        <w:tc>
          <w:tcPr>
            <w:tcW w:w="14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40" w:type="dxa"/>
            <w:vAlign w:val="bottom"/>
            <w:tcBorders>
              <w:top w:val="single" w:sz="8" w:color="B6B6B6"/>
              <w:bottom w:val="single" w:sz="8" w:color="B6B6B6"/>
            </w:tcBorders>
          </w:tcPr>
          <w:p>
            <w:pPr>
              <w:jc w:val="right"/>
              <w:ind w:right="68"/>
              <w:spacing w:after="0"/>
              <w:rPr>
                <w:sz w:val="20"/>
                <w:szCs w:val="20"/>
                <w:color w:val="auto"/>
              </w:rPr>
            </w:pPr>
            <w:r>
              <w:rPr>
                <w:rFonts w:ascii="Arial" w:cs="Arial" w:eastAsia="Arial" w:hAnsi="Arial"/>
                <w:sz w:val="14"/>
                <w:szCs w:val="14"/>
                <w:color w:val="auto"/>
              </w:rPr>
              <w:t>(70,302)</w:t>
            </w:r>
          </w:p>
        </w:tc>
        <w:tc>
          <w:tcPr>
            <w:tcW w:w="10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7"/>
                <w:szCs w:val="17"/>
                <w:color w:val="auto"/>
              </w:rPr>
            </w:pPr>
          </w:p>
        </w:tc>
        <w:tc>
          <w:tcPr>
            <w:tcW w:w="12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ind w:right="8"/>
              <w:spacing w:after="0"/>
              <w:rPr>
                <w:sz w:val="20"/>
                <w:szCs w:val="20"/>
                <w:color w:val="auto"/>
              </w:rPr>
            </w:pPr>
            <w:r>
              <w:rPr>
                <w:rFonts w:ascii="Arial" w:cs="Arial" w:eastAsia="Arial" w:hAnsi="Arial"/>
                <w:sz w:val="14"/>
                <w:szCs w:val="14"/>
                <w:color w:val="auto"/>
              </w:rPr>
              <w:t>10,948</w:t>
            </w:r>
          </w:p>
        </w:tc>
        <w:tc>
          <w:tcPr>
            <w:tcW w:w="80" w:type="dxa"/>
            <w:vAlign w:val="bottom"/>
          </w:tcPr>
          <w:p>
            <w:pPr>
              <w:spacing w:after="0"/>
              <w:rPr>
                <w:sz w:val="17"/>
                <w:szCs w:val="17"/>
                <w:color w:val="auto"/>
              </w:rPr>
            </w:pPr>
          </w:p>
        </w:tc>
        <w:tc>
          <w:tcPr>
            <w:tcW w:w="10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96"/>
        </w:trPr>
        <w:tc>
          <w:tcPr>
            <w:tcW w:w="444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94"/>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929292"/>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88"/>
              <w:spacing w:after="0"/>
              <w:rPr>
                <w:sz w:val="20"/>
                <w:szCs w:val="20"/>
                <w:color w:val="auto"/>
              </w:rPr>
            </w:pPr>
            <w:r>
              <w:rPr>
                <w:rFonts w:ascii="Arial" w:cs="Arial" w:eastAsia="Arial" w:hAnsi="Arial"/>
                <w:sz w:val="14"/>
                <w:szCs w:val="14"/>
                <w:color w:val="auto"/>
              </w:rPr>
              <w:t>(59,314)</w:t>
            </w:r>
          </w:p>
        </w:tc>
        <w:tc>
          <w:tcPr>
            <w:tcW w:w="100" w:type="dxa"/>
            <w:vAlign w:val="bottom"/>
          </w:tcPr>
          <w:p>
            <w:pPr>
              <w:spacing w:after="0"/>
              <w:rPr>
                <w:sz w:val="16"/>
                <w:szCs w:val="16"/>
                <w:color w:val="auto"/>
              </w:rPr>
            </w:pPr>
          </w:p>
        </w:tc>
        <w:tc>
          <w:tcPr>
            <w:tcW w:w="14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(70,229)</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1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10,915</w:t>
            </w:r>
          </w:p>
        </w:tc>
        <w:tc>
          <w:tcPr>
            <w:tcW w:w="80" w:type="dxa"/>
            <w:vAlign w:val="bottom"/>
          </w:tcPr>
          <w:p>
            <w:pPr>
              <w:spacing w:after="0"/>
              <w:rPr>
                <w:sz w:val="16"/>
                <w:szCs w:val="16"/>
                <w:color w:val="auto"/>
              </w:rPr>
            </w:pPr>
          </w:p>
        </w:tc>
        <w:tc>
          <w:tcPr>
            <w:tcW w:w="10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7"/>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color w:val="auto"/>
              </w:rPr>
              <w:t>(33,318)</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(41,287)</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7"/>
                <w:szCs w:val="17"/>
                <w:color w:val="auto"/>
              </w:rPr>
            </w:pPr>
          </w:p>
        </w:tc>
        <w:tc>
          <w:tcPr>
            <w:tcW w:w="12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7,969</w:t>
            </w:r>
          </w:p>
        </w:tc>
        <w:tc>
          <w:tcPr>
            <w:tcW w:w="8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0"/>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b w:val="1"/>
                <w:bCs w:val="1"/>
                <w:color w:val="auto"/>
              </w:rPr>
              <w:t>(25,996)</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(28,942)</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(20.3)%</w:t>
            </w:r>
          </w:p>
        </w:tc>
        <w:tc>
          <w:tcPr>
            <w:tcW w:w="100" w:type="dxa"/>
            <w:vAlign w:val="bottom"/>
          </w:tcPr>
          <w:p>
            <w:pPr>
              <w:spacing w:after="0"/>
              <w:rPr>
                <w:sz w:val="17"/>
                <w:szCs w:val="17"/>
                <w:color w:val="auto"/>
              </w:rPr>
            </w:pPr>
          </w:p>
        </w:tc>
        <w:tc>
          <w:tcPr>
            <w:tcW w:w="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2,946</w:t>
            </w:r>
          </w:p>
        </w:tc>
        <w:tc>
          <w:tcPr>
            <w:tcW w:w="80" w:type="dxa"/>
            <w:vAlign w:val="bottom"/>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1"/>
        </w:trPr>
        <w:tc>
          <w:tcPr>
            <w:tcW w:w="444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44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44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w:t>
            </w:r>
          </w:p>
        </w:tc>
        <w:tc>
          <w:tcPr>
            <w:tcW w:w="100" w:type="dxa"/>
            <w:vAlign w:val="bottom"/>
            <w:shd w:val="clear" w:color="auto" w:fill="929292"/>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929292"/>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9,973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9,122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4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(14,960)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(26,669)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(12,308)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ind w:left="100"/>
              <w:spacing w:after="0"/>
              <w:rPr>
                <w:sz w:val="20"/>
                <w:szCs w:val="20"/>
                <w:color w:val="auto"/>
              </w:rPr>
            </w:pPr>
            <w:r>
              <w:rPr>
                <w:rFonts w:ascii="Arial" w:cs="Arial" w:eastAsia="Arial" w:hAnsi="Arial"/>
                <w:sz w:val="14"/>
                <w:szCs w:val="14"/>
                <w:color w:val="auto"/>
              </w:rPr>
              <w:t>Six months ended Jun.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gridSpan w:val="3"/>
          </w:tcPr>
          <w:p>
            <w:pPr>
              <w:jc w:val="right"/>
              <w:ind w:right="6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B6B6B6"/>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6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 and per share amounts)</w:t>
            </w:r>
          </w:p>
        </w:tc>
        <w:tc>
          <w:tcPr>
            <w:tcW w:w="100" w:type="dxa"/>
            <w:vAlign w:val="bottom"/>
            <w:shd w:val="clear" w:color="auto" w:fill="929292"/>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jc w:val="right"/>
              <w:ind w:right="580"/>
              <w:spacing w:after="0"/>
              <w:rPr>
                <w:sz w:val="20"/>
                <w:szCs w:val="20"/>
                <w:color w:val="auto"/>
              </w:rPr>
            </w:pPr>
            <w:r>
              <w:rPr>
                <w:rFonts w:ascii="Arial" w:cs="Arial" w:eastAsia="Arial" w:hAnsi="Arial"/>
                <w:sz w:val="14"/>
                <w:szCs w:val="14"/>
                <w:color w:val="auto"/>
              </w:rPr>
              <w:t>Dollars</w:t>
            </w:r>
          </w:p>
        </w:tc>
        <w:tc>
          <w:tcPr>
            <w:tcW w:w="1000" w:type="dxa"/>
            <w:vAlign w:val="bottom"/>
            <w:gridSpan w:val="2"/>
          </w:tcPr>
          <w:p>
            <w:pPr>
              <w:ind w:left="80"/>
              <w:spacing w:after="0" w:line="151" w:lineRule="exact"/>
              <w:rPr>
                <w:sz w:val="20"/>
                <w:szCs w:val="20"/>
                <w:color w:val="auto"/>
              </w:rPr>
            </w:pPr>
            <w:r>
              <w:rPr>
                <w:rFonts w:ascii="Arial" w:cs="Arial" w:eastAsia="Arial" w:hAnsi="Arial"/>
                <w:sz w:val="14"/>
                <w:szCs w:val="14"/>
                <w:color w:val="auto"/>
              </w:rPr>
              <w:t>% of Net</w:t>
            </w:r>
          </w:p>
        </w:tc>
        <w:tc>
          <w:tcPr>
            <w:tcW w:w="200" w:type="dxa"/>
            <w:vAlign w:val="bottom"/>
          </w:tcPr>
          <w:p>
            <w:pPr>
              <w:spacing w:after="0"/>
              <w:rPr>
                <w:sz w:val="13"/>
                <w:szCs w:val="13"/>
                <w:color w:val="auto"/>
              </w:rPr>
            </w:pPr>
          </w:p>
        </w:tc>
        <w:tc>
          <w:tcPr>
            <w:tcW w:w="1140" w:type="dxa"/>
            <w:vAlign w:val="bottom"/>
            <w:gridSpan w:val="3"/>
            <w:vMerge w:val="restart"/>
          </w:tcPr>
          <w:p>
            <w:pPr>
              <w:jc w:val="right"/>
              <w:ind w:right="580"/>
              <w:spacing w:after="0"/>
              <w:rPr>
                <w:sz w:val="20"/>
                <w:szCs w:val="20"/>
                <w:color w:val="auto"/>
              </w:rPr>
            </w:pPr>
            <w:r>
              <w:rPr>
                <w:rFonts w:ascii="Arial" w:cs="Arial" w:eastAsia="Arial" w:hAnsi="Arial"/>
                <w:sz w:val="14"/>
                <w:szCs w:val="14"/>
                <w:color w:val="auto"/>
              </w:rPr>
              <w:t>Dollars</w:t>
            </w:r>
          </w:p>
        </w:tc>
        <w:tc>
          <w:tcPr>
            <w:tcW w:w="100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 of Net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color w:val="auto"/>
              </w:rPr>
              <w:t>$ Change</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85"/>
        </w:trPr>
        <w:tc>
          <w:tcPr>
            <w:tcW w:w="436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60" w:type="dxa"/>
            <w:vAlign w:val="bottom"/>
            <w:tcBorders>
              <w:top w:val="single" w:sz="8" w:color="B6B6B6"/>
            </w:tcBorders>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top w:val="single" w:sz="8" w:color="929292"/>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108"/>
              <w:spacing w:after="0"/>
              <w:rPr>
                <w:sz w:val="20"/>
                <w:szCs w:val="20"/>
                <w:color w:val="auto"/>
              </w:rPr>
            </w:pPr>
            <w:r>
              <w:rPr>
                <w:rFonts w:ascii="Arial" w:cs="Arial" w:eastAsia="Arial" w:hAnsi="Arial"/>
                <w:sz w:val="14"/>
                <w:szCs w:val="14"/>
                <w:color w:val="auto"/>
              </w:rPr>
              <w:t>291,470</w:t>
            </w:r>
          </w:p>
        </w:tc>
        <w:tc>
          <w:tcPr>
            <w:tcW w:w="100" w:type="dxa"/>
            <w:vAlign w:val="bottom"/>
          </w:tcPr>
          <w:p>
            <w:pPr>
              <w:spacing w:after="0"/>
              <w:rPr>
                <w:sz w:val="16"/>
                <w:szCs w:val="16"/>
                <w:color w:val="auto"/>
              </w:rPr>
            </w:pPr>
          </w:p>
        </w:tc>
        <w:tc>
          <w:tcPr>
            <w:tcW w:w="18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B6B6B6"/>
            </w:tcBorders>
          </w:tcPr>
          <w:p>
            <w:pPr>
              <w:jc w:val="right"/>
              <w:ind w:right="108"/>
              <w:spacing w:after="0"/>
              <w:rPr>
                <w:sz w:val="20"/>
                <w:szCs w:val="20"/>
                <w:color w:val="auto"/>
              </w:rPr>
            </w:pPr>
            <w:r>
              <w:rPr>
                <w:rFonts w:ascii="Arial" w:cs="Arial" w:eastAsia="Arial" w:hAnsi="Arial"/>
                <w:sz w:val="14"/>
                <w:szCs w:val="14"/>
                <w:color w:val="auto"/>
              </w:rPr>
              <w:t>325,937</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6"/>
                <w:szCs w:val="16"/>
                <w:color w:val="auto"/>
              </w:rPr>
            </w:pPr>
          </w:p>
        </w:tc>
        <w:tc>
          <w:tcPr>
            <w:tcW w:w="1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(34,467)</w:t>
            </w:r>
          </w:p>
        </w:tc>
        <w:tc>
          <w:tcPr>
            <w:tcW w:w="80" w:type="dxa"/>
            <w:vAlign w:val="bottom"/>
          </w:tcPr>
          <w:p>
            <w:pPr>
              <w:spacing w:after="0"/>
              <w:rPr>
                <w:sz w:val="16"/>
                <w:szCs w:val="16"/>
                <w:color w:val="auto"/>
              </w:rPr>
            </w:pPr>
          </w:p>
        </w:tc>
        <w:tc>
          <w:tcPr>
            <w:tcW w:w="10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58,693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81,884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(23,191)</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90,779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85,012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26.1 %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5,767</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87,175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87,563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19,120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20,054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33,317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60,473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(27,156)</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47,028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47,029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4"/>
        </w:trPr>
        <w:tc>
          <w:tcPr>
            <w:tcW w:w="436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336,112</w:t>
            </w:r>
          </w:p>
        </w:tc>
        <w:tc>
          <w:tcPr>
            <w:tcW w:w="100" w:type="dxa"/>
            <w:vAlign w:val="bottom"/>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115.3 %</w:t>
            </w:r>
          </w:p>
        </w:tc>
        <w:tc>
          <w:tcPr>
            <w:tcW w:w="100" w:type="dxa"/>
            <w:vAlign w:val="bottom"/>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108"/>
              <w:spacing w:after="0"/>
              <w:rPr>
                <w:sz w:val="20"/>
                <w:szCs w:val="20"/>
                <w:color w:val="auto"/>
              </w:rPr>
            </w:pPr>
            <w:r>
              <w:rPr>
                <w:rFonts w:ascii="Arial" w:cs="Arial" w:eastAsia="Arial" w:hAnsi="Arial"/>
                <w:sz w:val="14"/>
                <w:szCs w:val="14"/>
                <w:color w:val="auto"/>
              </w:rPr>
              <w:t>384,702</w:t>
            </w:r>
          </w:p>
        </w:tc>
        <w:tc>
          <w:tcPr>
            <w:tcW w:w="10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118.0 %</w:t>
            </w:r>
          </w:p>
        </w:tc>
        <w:tc>
          <w:tcPr>
            <w:tcW w:w="80" w:type="dxa"/>
            <w:vAlign w:val="bottom"/>
          </w:tcPr>
          <w:p>
            <w:pPr>
              <w:spacing w:after="0"/>
              <w:rPr>
                <w:sz w:val="17"/>
                <w:szCs w:val="17"/>
                <w:color w:val="auto"/>
              </w:rPr>
            </w:pPr>
          </w:p>
        </w:tc>
        <w:tc>
          <w:tcPr>
            <w:tcW w:w="14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(48,590)</w:t>
            </w:r>
          </w:p>
        </w:tc>
        <w:tc>
          <w:tcPr>
            <w:tcW w:w="80" w:type="dxa"/>
            <w:vAlign w:val="bottom"/>
          </w:tcPr>
          <w:p>
            <w:pPr>
              <w:spacing w:after="0"/>
              <w:rPr>
                <w:sz w:val="17"/>
                <w:szCs w:val="17"/>
                <w:color w:val="auto"/>
              </w:rPr>
            </w:pPr>
          </w:p>
        </w:tc>
        <w:tc>
          <w:tcPr>
            <w:tcW w:w="10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(44,642)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(58,765)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14,123</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36,047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34,156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1,891</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204"/>
        </w:trPr>
        <w:tc>
          <w:tcPr>
            <w:tcW w:w="43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(356.3)%</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68"/>
              <w:spacing w:after="0"/>
              <w:rPr>
                <w:sz w:val="20"/>
                <w:szCs w:val="20"/>
                <w:color w:val="auto"/>
              </w:rPr>
            </w:pPr>
            <w:r>
              <w:rPr>
                <w:rFonts w:ascii="Arial" w:cs="Arial" w:eastAsia="Arial" w:hAnsi="Arial"/>
                <w:sz w:val="14"/>
                <w:szCs w:val="14"/>
                <w:color w:val="auto"/>
              </w:rPr>
              <w:t>(80,771)</w:t>
            </w:r>
          </w:p>
        </w:tc>
        <w:tc>
          <w:tcPr>
            <w:tcW w:w="100" w:type="dxa"/>
            <w:vAlign w:val="bottom"/>
          </w:tcPr>
          <w:p>
            <w:pPr>
              <w:spacing w:after="0"/>
              <w:rPr>
                <w:sz w:val="17"/>
                <w:szCs w:val="17"/>
                <w:color w:val="auto"/>
              </w:rPr>
            </w:pPr>
          </w:p>
        </w:tc>
        <w:tc>
          <w:tcPr>
            <w:tcW w:w="18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20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68"/>
              <w:spacing w:after="0"/>
              <w:rPr>
                <w:sz w:val="20"/>
                <w:szCs w:val="20"/>
                <w:color w:val="auto"/>
              </w:rPr>
            </w:pPr>
            <w:r>
              <w:rPr>
                <w:rFonts w:ascii="Arial" w:cs="Arial" w:eastAsia="Arial" w:hAnsi="Arial"/>
                <w:sz w:val="14"/>
                <w:szCs w:val="14"/>
                <w:color w:val="auto"/>
              </w:rPr>
              <w:t>(92,889)</w:t>
            </w:r>
          </w:p>
        </w:tc>
        <w:tc>
          <w:tcPr>
            <w:tcW w:w="100" w:type="dxa"/>
            <w:vAlign w:val="bottom"/>
          </w:tcPr>
          <w:p>
            <w:pPr>
              <w:spacing w:after="0"/>
              <w:rPr>
                <w:sz w:val="17"/>
                <w:szCs w:val="17"/>
                <w:color w:val="auto"/>
              </w:rPr>
            </w:pPr>
          </w:p>
        </w:tc>
        <w:tc>
          <w:tcPr>
            <w:tcW w:w="16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7"/>
                <w:szCs w:val="17"/>
                <w:color w:val="auto"/>
              </w:rPr>
            </w:pPr>
          </w:p>
        </w:tc>
        <w:tc>
          <w:tcPr>
            <w:tcW w:w="140" w:type="dxa"/>
            <w:vAlign w:val="bottom"/>
            <w:tcBorders>
              <w:top w:val="single" w:sz="8" w:color="B6B6B6"/>
              <w:bottom w:val="single" w:sz="8" w:color="B6B6B6"/>
            </w:tcBorders>
          </w:tcPr>
          <w:p>
            <w:pPr>
              <w:spacing w:after="0"/>
              <w:rPr>
                <w:sz w:val="17"/>
                <w:szCs w:val="17"/>
                <w:color w:val="auto"/>
              </w:rPr>
            </w:pPr>
          </w:p>
        </w:tc>
        <w:tc>
          <w:tcPr>
            <w:tcW w:w="820" w:type="dxa"/>
            <w:vAlign w:val="bottom"/>
            <w:tcBorders>
              <w:top w:val="single" w:sz="8" w:color="B6B6B6"/>
              <w:bottom w:val="single" w:sz="8" w:color="B6B6B6"/>
            </w:tcBorders>
          </w:tcPr>
          <w:p>
            <w:pPr>
              <w:jc w:val="right"/>
              <w:ind w:right="8"/>
              <w:spacing w:after="0"/>
              <w:rPr>
                <w:sz w:val="20"/>
                <w:szCs w:val="20"/>
                <w:color w:val="auto"/>
              </w:rPr>
            </w:pPr>
            <w:r>
              <w:rPr>
                <w:rFonts w:ascii="Arial" w:cs="Arial" w:eastAsia="Arial" w:hAnsi="Arial"/>
                <w:sz w:val="14"/>
                <w:szCs w:val="14"/>
                <w:color w:val="auto"/>
              </w:rPr>
              <w:t>12,118</w:t>
            </w:r>
          </w:p>
        </w:tc>
        <w:tc>
          <w:tcPr>
            <w:tcW w:w="80" w:type="dxa"/>
            <w:vAlign w:val="bottom"/>
          </w:tcPr>
          <w:p>
            <w:pPr>
              <w:spacing w:after="0"/>
              <w:rPr>
                <w:sz w:val="17"/>
                <w:szCs w:val="17"/>
                <w:color w:val="auto"/>
              </w:rPr>
            </w:pPr>
          </w:p>
        </w:tc>
        <w:tc>
          <w:tcPr>
            <w:tcW w:w="10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6"/>
        </w:trPr>
        <w:tc>
          <w:tcPr>
            <w:tcW w:w="43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929292"/>
            </w:tcBorders>
            <w:shd w:val="clear" w:color="auto" w:fill="929292"/>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(80,660)</w:t>
            </w:r>
          </w:p>
        </w:tc>
        <w:tc>
          <w:tcPr>
            <w:tcW w:w="100" w:type="dxa"/>
            <w:vAlign w:val="bottom"/>
          </w:tcPr>
          <w:p>
            <w:pPr>
              <w:spacing w:after="0"/>
              <w:rPr>
                <w:sz w:val="16"/>
                <w:szCs w:val="16"/>
                <w:color w:val="auto"/>
              </w:rPr>
            </w:pPr>
          </w:p>
        </w:tc>
        <w:tc>
          <w:tcPr>
            <w:tcW w:w="180" w:type="dxa"/>
            <w:vAlign w:val="bottom"/>
            <w:tcBorders>
              <w:top w:val="single" w:sz="8" w:color="B6B6B6"/>
            </w:tcBorders>
          </w:tcPr>
          <w:p>
            <w:pPr>
              <w:spacing w:after="0"/>
              <w:rPr>
                <w:sz w:val="16"/>
                <w:szCs w:val="16"/>
                <w:color w:val="auto"/>
              </w:rPr>
            </w:pP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200" w:type="dxa"/>
            <w:vAlign w:val="bottom"/>
            <w:tcBorders>
              <w:top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B6B6B6"/>
            </w:tcBorders>
          </w:tcPr>
          <w:p>
            <w:pPr>
              <w:jc w:val="right"/>
              <w:ind w:right="68"/>
              <w:spacing w:after="0"/>
              <w:rPr>
                <w:sz w:val="20"/>
                <w:szCs w:val="20"/>
                <w:color w:val="auto"/>
              </w:rPr>
            </w:pPr>
            <w:r>
              <w:rPr>
                <w:rFonts w:ascii="Arial" w:cs="Arial" w:eastAsia="Arial" w:hAnsi="Arial"/>
                <w:sz w:val="14"/>
                <w:szCs w:val="14"/>
                <w:color w:val="auto"/>
              </w:rPr>
              <w:t>(92,772)</w:t>
            </w:r>
          </w:p>
        </w:tc>
        <w:tc>
          <w:tcPr>
            <w:tcW w:w="100" w:type="dxa"/>
            <w:vAlign w:val="bottom"/>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6"/>
                <w:szCs w:val="16"/>
                <w:color w:val="auto"/>
              </w:rPr>
            </w:pPr>
          </w:p>
        </w:tc>
        <w:tc>
          <w:tcPr>
            <w:tcW w:w="1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12,112</w:t>
            </w:r>
          </w:p>
        </w:tc>
        <w:tc>
          <w:tcPr>
            <w:tcW w:w="80" w:type="dxa"/>
            <w:vAlign w:val="bottom"/>
          </w:tcPr>
          <w:p>
            <w:pPr>
              <w:spacing w:after="0"/>
              <w:rPr>
                <w:sz w:val="16"/>
                <w:szCs w:val="16"/>
                <w:color w:val="auto"/>
              </w:rPr>
            </w:pPr>
          </w:p>
        </w:tc>
        <w:tc>
          <w:tcPr>
            <w:tcW w:w="106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(45,448)</w:t>
            </w: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88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(54,651)</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9,203</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0"/>
        </w:trPr>
        <w:tc>
          <w:tcPr>
            <w:tcW w:w="43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(35,212)</w:t>
            </w:r>
          </w:p>
        </w:tc>
        <w:tc>
          <w:tcPr>
            <w:tcW w:w="100" w:type="dxa"/>
            <w:vAlign w:val="bottom"/>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7"/>
                <w:szCs w:val="17"/>
                <w:color w:val="auto"/>
              </w:rPr>
            </w:pPr>
          </w:p>
        </w:tc>
        <w:tc>
          <w:tcPr>
            <w:tcW w:w="2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b w:val="1"/>
                <w:bCs w:val="1"/>
                <w:color w:val="auto"/>
              </w:rPr>
              <w:t>(38,121)</w:t>
            </w:r>
          </w:p>
        </w:tc>
        <w:tc>
          <w:tcPr>
            <w:tcW w:w="100" w:type="dxa"/>
            <w:vAlign w:val="bottom"/>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7"/>
                <w:szCs w:val="17"/>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2,909</w:t>
            </w:r>
          </w:p>
        </w:tc>
        <w:tc>
          <w:tcPr>
            <w:tcW w:w="80" w:type="dxa"/>
            <w:vAlign w:val="bottom"/>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1"/>
        </w:trPr>
        <w:tc>
          <w:tcPr>
            <w:tcW w:w="436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36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Net income (loss) per share:</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36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w:t>
            </w:r>
          </w:p>
        </w:tc>
        <w:tc>
          <w:tcPr>
            <w:tcW w:w="100" w:type="dxa"/>
            <w:vAlign w:val="bottom"/>
            <w:shd w:val="clear" w:color="auto" w:fill="929292"/>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929292"/>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360" w:type="dxa"/>
            <w:vAlign w:val="bottom"/>
          </w:tcPr>
          <w:p>
            <w:pPr>
              <w:ind w:left="20"/>
              <w:spacing w:after="0" w:line="149" w:lineRule="exact"/>
              <w:rPr>
                <w:sz w:val="20"/>
                <w:szCs w:val="20"/>
                <w:color w:val="auto"/>
              </w:rPr>
            </w:pPr>
            <w:r>
              <w:rPr>
                <w:rFonts w:ascii="Arial" w:cs="Arial" w:eastAsia="Arial" w:hAnsi="Arial"/>
                <w:sz w:val="14"/>
                <w:szCs w:val="14"/>
                <w:color w:val="auto"/>
              </w:rPr>
              <w:t>Weighted-average shares of Class A common stock outstanding —</w:t>
            </w:r>
          </w:p>
        </w:tc>
        <w:tc>
          <w:tcPr>
            <w:tcW w:w="100" w:type="dxa"/>
            <w:vAlign w:val="bottom"/>
            <w:shd w:val="clear" w:color="auto" w:fill="929292"/>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color w:val="auto"/>
              </w:rPr>
              <w:t>9,844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9,044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60" w:type="dxa"/>
            <w:vAlign w:val="bottom"/>
          </w:tcPr>
          <w:p>
            <w:pPr>
              <w:ind w:left="240"/>
              <w:spacing w:after="0"/>
              <w:rPr>
                <w:sz w:val="20"/>
                <w:szCs w:val="20"/>
                <w:color w:val="auto"/>
              </w:rPr>
            </w:pPr>
            <w:r>
              <w:rPr>
                <w:rFonts w:ascii="Arial" w:cs="Arial" w:eastAsia="Arial" w:hAnsi="Arial"/>
                <w:sz w:val="14"/>
                <w:szCs w:val="14"/>
                <w:color w:val="auto"/>
              </w:rPr>
              <w:t>Non-GAAP financial measures:</w:t>
            </w:r>
          </w:p>
        </w:tc>
        <w:tc>
          <w:tcPr>
            <w:tcW w:w="100" w:type="dxa"/>
            <w:vAlign w:val="bottom"/>
            <w:shd w:val="clear" w:color="auto" w:fill="929292"/>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7,819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(6,098)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6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14,585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29,566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360" w:type="dxa"/>
            <w:vAlign w:val="bottom"/>
          </w:tcPr>
          <w:p>
            <w:pPr>
              <w:ind w:left="240"/>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22" w:right="339" w:bottom="1440" w:gutter="0" w:footer="0" w:header="0"/>
        </w:sectPr>
      </w:pPr>
    </w:p>
    <w:bookmarkStart w:id="10" w:name="page11"/>
    <w:bookmarkEnd w:id="10"/>
    <w:p>
      <w:pPr>
        <w:ind w:right="480"/>
        <w:spacing w:after="0" w:line="286" w:lineRule="auto"/>
        <w:rPr>
          <w:sz w:val="20"/>
          <w:szCs w:val="20"/>
          <w:color w:val="auto"/>
        </w:rPr>
      </w:pPr>
      <w:r>
        <w:rPr>
          <w:rFonts w:ascii="Arial" w:cs="Arial" w:eastAsia="Arial" w:hAnsi="Arial"/>
          <w:sz w:val="16"/>
          <w:szCs w:val="16"/>
          <w:color w:val="auto"/>
        </w:rPr>
        <w:t>The following tables set forth the reconciliations of GAAP net income (loss) to EBITDA, Adjusted EBITDA and Adjusted EBITDA Margin for the periods indicated (unaudited):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300"/>
              <w:spacing w:after="0"/>
              <w:rPr>
                <w:sz w:val="20"/>
                <w:szCs w:val="20"/>
                <w:color w:val="auto"/>
              </w:rPr>
            </w:pPr>
            <w:r>
              <w:rPr>
                <w:rFonts w:ascii="Arial" w:cs="Arial" w:eastAsia="Arial" w:hAnsi="Arial"/>
                <w:sz w:val="14"/>
                <w:szCs w:val="14"/>
                <w:color w:val="auto"/>
              </w:rPr>
              <w:t>Three months ended Jun. 30,</w:t>
            </w:r>
          </w:p>
        </w:tc>
        <w:tc>
          <w:tcPr>
            <w:tcW w:w="360" w:type="dxa"/>
            <w:vAlign w:val="bottom"/>
          </w:tcPr>
          <w:p>
            <w:pPr>
              <w:spacing w:after="0"/>
              <w:rPr>
                <w:sz w:val="17"/>
                <w:szCs w:val="17"/>
                <w:color w:val="auto"/>
              </w:rPr>
            </w:pPr>
          </w:p>
        </w:tc>
        <w:tc>
          <w:tcPr>
            <w:tcW w:w="2840" w:type="dxa"/>
            <w:vAlign w:val="bottom"/>
            <w:gridSpan w:val="4"/>
          </w:tcPr>
          <w:p>
            <w:pPr>
              <w:jc w:val="right"/>
              <w:ind w:right="668"/>
              <w:spacing w:after="0"/>
              <w:rPr>
                <w:sz w:val="20"/>
                <w:szCs w:val="20"/>
                <w:color w:val="auto"/>
              </w:rPr>
            </w:pPr>
            <w:r>
              <w:rPr>
                <w:rFonts w:ascii="Arial" w:cs="Arial" w:eastAsia="Arial" w:hAnsi="Arial"/>
                <w:sz w:val="14"/>
                <w:szCs w:val="14"/>
                <w:color w:val="auto"/>
              </w:rPr>
              <w:t>Six months ended Jun. 30,</w:t>
            </w:r>
          </w:p>
        </w:tc>
        <w:tc>
          <w:tcPr>
            <w:tcW w:w="0" w:type="dxa"/>
            <w:vAlign w:val="bottom"/>
          </w:tcPr>
          <w:p>
            <w:pPr>
              <w:spacing w:after="0"/>
              <w:rPr>
                <w:sz w:val="1"/>
                <w:szCs w:val="1"/>
                <w:color w:val="auto"/>
              </w:rPr>
            </w:pPr>
          </w:p>
        </w:tc>
      </w:tr>
      <w:tr>
        <w:trPr>
          <w:trHeight w:val="194"/>
        </w:trPr>
        <w:tc>
          <w:tcPr>
            <w:tcW w:w="46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20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20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8"/>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105,870</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b w:val="1"/>
                <w:bCs w:val="1"/>
                <w:color w:val="auto"/>
              </w:rPr>
              <w:t>142,779</w:t>
            </w:r>
          </w:p>
        </w:tc>
        <w:tc>
          <w:tcPr>
            <w:tcW w:w="8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291,470</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325,937</w:t>
            </w:r>
          </w:p>
        </w:tc>
        <w:tc>
          <w:tcPr>
            <w:tcW w:w="0" w:type="dxa"/>
            <w:vAlign w:val="bottom"/>
          </w:tcPr>
          <w:p>
            <w:pPr>
              <w:spacing w:after="0"/>
              <w:rPr>
                <w:sz w:val="1"/>
                <w:szCs w:val="1"/>
                <w:color w:val="auto"/>
              </w:rPr>
            </w:pPr>
          </w:p>
        </w:tc>
      </w:tr>
      <w:tr>
        <w:trPr>
          <w:trHeight w:val="190"/>
        </w:trPr>
        <w:tc>
          <w:tcPr>
            <w:tcW w:w="4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(59,314)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(70,229)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(80,660)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(92,772)</w:t>
            </w:r>
          </w:p>
        </w:tc>
        <w:tc>
          <w:tcPr>
            <w:tcW w:w="0" w:type="dxa"/>
            <w:vAlign w:val="bottom"/>
          </w:tcPr>
          <w:p>
            <w:pPr>
              <w:spacing w:after="0"/>
              <w:rPr>
                <w:sz w:val="1"/>
                <w:szCs w:val="1"/>
                <w:color w:val="auto"/>
              </w:rPr>
            </w:pPr>
          </w:p>
        </w:tc>
      </w:tr>
      <w:tr>
        <w:trPr>
          <w:trHeight w:val="203"/>
        </w:trPr>
        <w:tc>
          <w:tcPr>
            <w:tcW w:w="46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18,096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17,265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36,047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34,156</w:t>
            </w:r>
          </w:p>
        </w:tc>
        <w:tc>
          <w:tcPr>
            <w:tcW w:w="0" w:type="dxa"/>
            <w:vAlign w:val="bottom"/>
          </w:tcPr>
          <w:p>
            <w:pPr>
              <w:spacing w:after="0"/>
              <w:rPr>
                <w:sz w:val="1"/>
                <w:szCs w:val="1"/>
                <w:color w:val="auto"/>
              </w:rPr>
            </w:pPr>
          </w:p>
        </w:tc>
      </w:tr>
      <w:tr>
        <w:trPr>
          <w:trHeight w:val="203"/>
        </w:trPr>
        <w:tc>
          <w:tcPr>
            <w:tcW w:w="4640" w:type="dxa"/>
            <w:vAlign w:val="bottom"/>
          </w:tcPr>
          <w:p>
            <w:pPr>
              <w:ind w:left="2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4"/>
        </w:trPr>
        <w:tc>
          <w:tcPr>
            <w:tcW w:w="464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26,298</w:t>
            </w:r>
          </w:p>
        </w:tc>
        <w:tc>
          <w:tcPr>
            <w:tcW w:w="10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2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26,368</w:t>
            </w:r>
          </w:p>
        </w:tc>
        <w:tc>
          <w:tcPr>
            <w:tcW w:w="8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2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52,543</w:t>
            </w:r>
          </w:p>
        </w:tc>
        <w:tc>
          <w:tcPr>
            <w:tcW w:w="10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52,635</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(14,960)</w:t>
            </w:r>
          </w:p>
        </w:tc>
        <w:tc>
          <w:tcPr>
            <w:tcW w:w="10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200" w:type="dxa"/>
            <w:vAlign w:val="bottom"/>
            <w:tcBorders>
              <w:bottom w:val="single" w:sz="8" w:color="929292"/>
            </w:tcBorders>
          </w:tcPr>
          <w:p>
            <w:pPr>
              <w:jc w:val="right"/>
              <w:ind w:right="88"/>
              <w:spacing w:after="0"/>
              <w:rPr>
                <w:sz w:val="20"/>
                <w:szCs w:val="20"/>
                <w:color w:val="auto"/>
              </w:rPr>
            </w:pPr>
            <w:r>
              <w:rPr>
                <w:rFonts w:ascii="Arial" w:cs="Arial" w:eastAsia="Arial" w:hAnsi="Arial"/>
                <w:sz w:val="14"/>
                <w:szCs w:val="14"/>
                <w:color w:val="auto"/>
              </w:rPr>
              <w:t>(26,669)</w:t>
            </w:r>
          </w:p>
        </w:tc>
        <w:tc>
          <w:tcPr>
            <w:tcW w:w="8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20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7,819</w:t>
            </w:r>
          </w:p>
        </w:tc>
        <w:tc>
          <w:tcPr>
            <w:tcW w:w="100" w:type="dxa"/>
            <w:vAlign w:val="bottom"/>
          </w:tcPr>
          <w:p>
            <w:pPr>
              <w:spacing w:after="0"/>
              <w:rPr>
                <w:sz w:val="17"/>
                <w:szCs w:val="17"/>
                <w:color w:val="auto"/>
              </w:rPr>
            </w:pPr>
          </w:p>
        </w:tc>
        <w:tc>
          <w:tcPr>
            <w:tcW w:w="360" w:type="dxa"/>
            <w:vAlign w:val="bottom"/>
            <w:tcBorders>
              <w:bottom w:val="single" w:sz="8" w:color="929292"/>
            </w:tcBorders>
          </w:tcPr>
          <w:p>
            <w:pPr>
              <w:spacing w:after="0"/>
              <w:rPr>
                <w:sz w:val="17"/>
                <w:szCs w:val="17"/>
                <w:color w:val="auto"/>
              </w:rPr>
            </w:pPr>
          </w:p>
        </w:tc>
        <w:tc>
          <w:tcPr>
            <w:tcW w:w="1180" w:type="dxa"/>
            <w:vAlign w:val="bottom"/>
            <w:tcBorders>
              <w:bottom w:val="single" w:sz="8" w:color="929292"/>
            </w:tcBorders>
          </w:tcPr>
          <w:p>
            <w:pPr>
              <w:jc w:val="right"/>
              <w:ind w:right="68"/>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204"/>
        </w:trPr>
        <w:tc>
          <w:tcPr>
            <w:tcW w:w="4640" w:type="dxa"/>
            <w:vAlign w:val="bottom"/>
          </w:tcPr>
          <w:p>
            <w:pPr>
              <w:ind w:left="140"/>
              <w:spacing w:after="0" w:line="204" w:lineRule="exact"/>
              <w:rPr>
                <w:sz w:val="20"/>
                <w:szCs w:val="20"/>
                <w:color w:val="auto"/>
              </w:rPr>
            </w:pPr>
            <w:r>
              <w:rPr>
                <w:rFonts w:ascii="Arial" w:cs="Arial" w:eastAsia="Arial" w:hAnsi="Arial"/>
                <w:sz w:val="14"/>
                <w:szCs w:val="14"/>
                <w:color w:val="auto"/>
              </w:rPr>
              <w:t>Share-based compensation expense (benefit)</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1,892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10,120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16,704</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(2)</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203"/>
        </w:trPr>
        <w:tc>
          <w:tcPr>
            <w:tcW w:w="4640" w:type="dxa"/>
            <w:vAlign w:val="bottom"/>
          </w:tcPr>
          <w:p>
            <w:pPr>
              <w:ind w:left="140"/>
              <w:spacing w:after="0" w:line="202" w:lineRule="exact"/>
              <w:rPr>
                <w:sz w:val="20"/>
                <w:szCs w:val="20"/>
                <w:color w:val="auto"/>
              </w:rPr>
            </w:pPr>
            <w:r>
              <w:rPr>
                <w:rFonts w:ascii="Arial" w:cs="Arial" w:eastAsia="Arial" w:hAnsi="Arial"/>
                <w:sz w:val="14"/>
                <w:szCs w:val="14"/>
                <w:color w:val="auto"/>
              </w:rPr>
              <w:t>Legal fees</w:t>
            </w:r>
            <w:r>
              <w:rPr>
                <w:rFonts w:ascii="Arial" w:cs="Arial" w:eastAsia="Arial" w:hAnsi="Arial"/>
                <w:sz w:val="18"/>
                <w:szCs w:val="18"/>
                <w:color w:val="auto"/>
                <w:vertAlign w:val="superscript"/>
              </w:rPr>
              <w:t>(3)</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12,730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14,353</w:t>
            </w:r>
          </w:p>
        </w:tc>
        <w:tc>
          <w:tcPr>
            <w:tcW w:w="0" w:type="dxa"/>
            <w:vAlign w:val="bottom"/>
          </w:tcPr>
          <w:p>
            <w:pPr>
              <w:spacing w:after="0"/>
              <w:rPr>
                <w:sz w:val="1"/>
                <w:szCs w:val="1"/>
                <w:color w:val="auto"/>
              </w:rPr>
            </w:pPr>
          </w:p>
        </w:tc>
      </w:tr>
      <w:tr>
        <w:trPr>
          <w:trHeight w:val="201"/>
        </w:trPr>
        <w:tc>
          <w:tcPr>
            <w:tcW w:w="4640" w:type="dxa"/>
            <w:vAlign w:val="bottom"/>
          </w:tcPr>
          <w:p>
            <w:pPr>
              <w:ind w:left="140"/>
              <w:spacing w:after="0" w:line="201" w:lineRule="exact"/>
              <w:rPr>
                <w:sz w:val="20"/>
                <w:szCs w:val="20"/>
                <w:color w:val="auto"/>
              </w:rPr>
            </w:pPr>
            <w:r>
              <w:rPr>
                <w:rFonts w:ascii="Arial" w:cs="Arial" w:eastAsia="Arial" w:hAnsi="Arial"/>
                <w:sz w:val="14"/>
                <w:szCs w:val="14"/>
                <w:color w:val="auto"/>
              </w:rPr>
              <w:t>Operating lease impairment charges</w:t>
            </w:r>
            <w:r>
              <w:rPr>
                <w:rFonts w:ascii="Arial" w:cs="Arial" w:eastAsia="Arial" w:hAnsi="Arial"/>
                <w:sz w:val="18"/>
                <w:szCs w:val="18"/>
                <w:color w:val="auto"/>
                <w:vertAlign w:val="superscript"/>
              </w:rPr>
              <w:t>(4)</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2,687</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60" w:type="dxa"/>
            <w:vAlign w:val="bottom"/>
            <w:tcBorders>
              <w:top w:val="single" w:sz="8" w:color="929292"/>
              <w:bottom w:val="single" w:sz="8" w:color="929292"/>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929292"/>
              <w:bottom w:val="single" w:sz="8" w:color="929292"/>
            </w:tcBorders>
          </w:tcPr>
          <w:p>
            <w:pPr>
              <w:jc w:val="right"/>
              <w:ind w:right="68"/>
              <w:spacing w:after="0"/>
              <w:rPr>
                <w:sz w:val="20"/>
                <w:szCs w:val="20"/>
                <w:color w:val="auto"/>
              </w:rPr>
            </w:pPr>
            <w:r>
              <w:rPr>
                <w:rFonts w:ascii="Arial" w:cs="Arial" w:eastAsia="Arial" w:hAnsi="Arial"/>
                <w:sz w:val="14"/>
                <w:szCs w:val="14"/>
                <w:color w:val="auto"/>
              </w:rPr>
              <w:t>(12,308)</w:t>
            </w:r>
          </w:p>
        </w:tc>
        <w:tc>
          <w:tcPr>
            <w:tcW w:w="100" w:type="dxa"/>
            <w:vAlign w:val="bottom"/>
          </w:tcPr>
          <w:p>
            <w:pPr>
              <w:spacing w:after="0"/>
              <w:rPr>
                <w:sz w:val="17"/>
                <w:szCs w:val="17"/>
                <w:color w:val="auto"/>
              </w:rPr>
            </w:pPr>
          </w:p>
        </w:tc>
        <w:tc>
          <w:tcPr>
            <w:tcW w:w="360" w:type="dxa"/>
            <w:vAlign w:val="bottom"/>
            <w:tcBorders>
              <w:top w:val="single" w:sz="8" w:color="929292"/>
              <w:bottom w:val="single" w:sz="8" w:color="929292"/>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929292"/>
              <w:bottom w:val="single" w:sz="8" w:color="929292"/>
            </w:tcBorders>
          </w:tcPr>
          <w:p>
            <w:pPr>
              <w:jc w:val="right"/>
              <w:ind w:right="128"/>
              <w:spacing w:after="0"/>
              <w:rPr>
                <w:sz w:val="20"/>
                <w:szCs w:val="20"/>
                <w:color w:val="auto"/>
              </w:rPr>
            </w:pPr>
            <w:r>
              <w:rPr>
                <w:rFonts w:ascii="Arial" w:cs="Arial" w:eastAsia="Arial" w:hAnsi="Arial"/>
                <w:sz w:val="14"/>
                <w:szCs w:val="14"/>
                <w:color w:val="auto"/>
              </w:rPr>
              <w:t>788</w:t>
            </w:r>
          </w:p>
        </w:tc>
        <w:tc>
          <w:tcPr>
            <w:tcW w:w="80" w:type="dxa"/>
            <w:vAlign w:val="bottom"/>
          </w:tcPr>
          <w:p>
            <w:pPr>
              <w:spacing w:after="0"/>
              <w:rPr>
                <w:sz w:val="17"/>
                <w:szCs w:val="17"/>
                <w:color w:val="auto"/>
              </w:rPr>
            </w:pPr>
          </w:p>
        </w:tc>
        <w:tc>
          <w:tcPr>
            <w:tcW w:w="360" w:type="dxa"/>
            <w:vAlign w:val="bottom"/>
            <w:tcBorders>
              <w:top w:val="single" w:sz="8" w:color="929292"/>
              <w:bottom w:val="single" w:sz="8" w:color="929292"/>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929292"/>
              <w:bottom w:val="single" w:sz="8" w:color="929292"/>
            </w:tcBorders>
          </w:tcPr>
          <w:p>
            <w:pPr>
              <w:jc w:val="right"/>
              <w:ind w:right="108"/>
              <w:spacing w:after="0"/>
              <w:rPr>
                <w:sz w:val="20"/>
                <w:szCs w:val="20"/>
                <w:color w:val="auto"/>
              </w:rPr>
            </w:pPr>
            <w:r>
              <w:rPr>
                <w:rFonts w:ascii="Arial" w:cs="Arial" w:eastAsia="Arial" w:hAnsi="Arial"/>
                <w:sz w:val="14"/>
                <w:szCs w:val="14"/>
                <w:color w:val="auto"/>
              </w:rPr>
              <w:t>14,585</w:t>
            </w:r>
          </w:p>
        </w:tc>
        <w:tc>
          <w:tcPr>
            <w:tcW w:w="100" w:type="dxa"/>
            <w:vAlign w:val="bottom"/>
          </w:tcPr>
          <w:p>
            <w:pPr>
              <w:spacing w:after="0"/>
              <w:rPr>
                <w:sz w:val="17"/>
                <w:szCs w:val="17"/>
                <w:color w:val="auto"/>
              </w:rPr>
            </w:pPr>
          </w:p>
        </w:tc>
        <w:tc>
          <w:tcPr>
            <w:tcW w:w="360" w:type="dxa"/>
            <w:vAlign w:val="bottom"/>
            <w:tcBorders>
              <w:top w:val="single" w:sz="8" w:color="929292"/>
              <w:bottom w:val="single" w:sz="8" w:color="929292"/>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929292"/>
              <w:bottom w:val="single" w:sz="8" w:color="929292"/>
            </w:tcBorders>
          </w:tcPr>
          <w:p>
            <w:pPr>
              <w:jc w:val="right"/>
              <w:ind w:right="108"/>
              <w:spacing w:after="0"/>
              <w:rPr>
                <w:sz w:val="20"/>
                <w:szCs w:val="20"/>
                <w:color w:val="auto"/>
              </w:rPr>
            </w:pPr>
            <w:r>
              <w:rPr>
                <w:rFonts w:ascii="Arial" w:cs="Arial" w:eastAsia="Arial" w:hAnsi="Arial"/>
                <w:sz w:val="14"/>
                <w:szCs w:val="14"/>
                <w:color w:val="auto"/>
              </w:rPr>
              <w:t>29,566</w:t>
            </w:r>
          </w:p>
        </w:tc>
        <w:tc>
          <w:tcPr>
            <w:tcW w:w="0" w:type="dxa"/>
            <w:vAlign w:val="bottom"/>
          </w:tcPr>
          <w:p>
            <w:pPr>
              <w:spacing w:after="0"/>
              <w:rPr>
                <w:sz w:val="1"/>
                <w:szCs w:val="1"/>
                <w:color w:val="auto"/>
              </w:rPr>
            </w:pPr>
          </w:p>
        </w:tc>
      </w:tr>
      <w:tr>
        <w:trPr>
          <w:trHeight w:val="21"/>
        </w:trPr>
        <w:tc>
          <w:tcPr>
            <w:tcW w:w="4640" w:type="dxa"/>
            <w:vAlign w:val="bottom"/>
            <w:vMerge w:val="restart"/>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200" w:type="dxa"/>
            <w:vAlign w:val="bottom"/>
            <w:tcBorders>
              <w:bottom w:val="single" w:sz="8" w:color="92929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929292"/>
            </w:tcBorders>
          </w:tcPr>
          <w:p>
            <w:pPr>
              <w:spacing w:after="0" w:line="20" w:lineRule="exact"/>
              <w:rPr>
                <w:sz w:val="1"/>
                <w:szCs w:val="1"/>
                <w:color w:val="auto"/>
              </w:rPr>
            </w:pPr>
          </w:p>
        </w:tc>
        <w:tc>
          <w:tcPr>
            <w:tcW w:w="118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40" w:right="160" w:hanging="332"/>
        <w:spacing w:after="0" w:line="257" w:lineRule="auto"/>
        <w:tabs>
          <w:tab w:leader="none" w:pos="332"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(benefit) relating to equity awards as well as share-based compensation expense (benefit) relating to liability classified awards that will be settled in cash.</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associated fees associated with a reduction in workforce unrelated to restructuring activities.</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litigation, Credit Agreement amendments and other non-routine legal or regulatory matters.</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right-of-use (“ROU”) assets and leasehold improvements to the estimated fair values.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color w:val="auto"/>
              </w:rPr>
              <w:t>Three months ended Jun. 30,</w:t>
            </w:r>
          </w:p>
        </w:tc>
        <w:tc>
          <w:tcPr>
            <w:tcW w:w="340" w:type="dxa"/>
            <w:vAlign w:val="bottom"/>
          </w:tcPr>
          <w:p>
            <w:pPr>
              <w:spacing w:after="0"/>
              <w:rPr>
                <w:sz w:val="17"/>
                <w:szCs w:val="17"/>
                <w:color w:val="auto"/>
              </w:rPr>
            </w:pPr>
          </w:p>
        </w:tc>
        <w:tc>
          <w:tcPr>
            <w:tcW w:w="272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 Jun. 30,</w:t>
            </w:r>
          </w:p>
        </w:tc>
      </w:tr>
      <w:tr>
        <w:trPr>
          <w:trHeight w:val="194"/>
        </w:trPr>
        <w:tc>
          <w:tcPr>
            <w:tcW w:w="49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4900" w:type="dxa"/>
            <w:vAlign w:val="bottom"/>
          </w:tcPr>
          <w:p>
            <w:pPr>
              <w:ind w:left="20"/>
              <w:spacing w:after="0"/>
              <w:rPr>
                <w:sz w:val="20"/>
                <w:szCs w:val="20"/>
                <w:color w:val="auto"/>
              </w:rPr>
            </w:pPr>
            <w:r>
              <w:rPr>
                <w:rFonts w:ascii="Arial" w:cs="Arial" w:eastAsia="Arial" w:hAnsi="Arial"/>
                <w:sz w:val="14"/>
                <w:szCs w:val="14"/>
                <w:color w:val="auto"/>
              </w:rPr>
              <w:t>Medicare Revenue</w:t>
            </w:r>
          </w:p>
        </w:tc>
        <w:tc>
          <w:tcPr>
            <w:tcW w:w="10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4900" w:type="dxa"/>
            <w:vAlign w:val="bottom"/>
          </w:tcPr>
          <w:p>
            <w:pPr>
              <w:ind w:left="240"/>
              <w:spacing w:after="0"/>
              <w:rPr>
                <w:sz w:val="20"/>
                <w:szCs w:val="20"/>
                <w:color w:val="auto"/>
              </w:rPr>
            </w:pPr>
            <w:r>
              <w:rPr>
                <w:rFonts w:ascii="Arial" w:cs="Arial" w:eastAsia="Arial" w:hAnsi="Arial"/>
                <w:sz w:val="14"/>
                <w:szCs w:val="14"/>
                <w:color w:val="auto"/>
              </w:rPr>
              <w:t>Agency Revenue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4900" w:type="dxa"/>
            <w:vAlign w:val="bottom"/>
          </w:tcPr>
          <w:p>
            <w:pPr>
              <w:ind w:left="46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70,553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87,403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150,286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184,934</w:t>
            </w:r>
          </w:p>
        </w:tc>
      </w:tr>
      <w:tr>
        <w:trPr>
          <w:trHeight w:val="192"/>
        </w:trPr>
        <w:tc>
          <w:tcPr>
            <w:tcW w:w="4900" w:type="dxa"/>
            <w:vAlign w:val="bottom"/>
          </w:tcPr>
          <w:p>
            <w:pPr>
              <w:ind w:left="460"/>
              <w:spacing w:after="0"/>
              <w:rPr>
                <w:sz w:val="20"/>
                <w:szCs w:val="20"/>
                <w:color w:val="auto"/>
              </w:rPr>
            </w:pPr>
            <w:r>
              <w:rPr>
                <w:rFonts w:ascii="Arial" w:cs="Arial" w:eastAsia="Arial" w:hAnsi="Arial"/>
                <w:sz w:val="14"/>
                <w:szCs w:val="14"/>
                <w:color w:val="auto"/>
              </w:rPr>
              <w:t>Partner Marketing and Other Revenue</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14,127</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23,195</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33,517</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50,319</w:t>
            </w:r>
          </w:p>
        </w:tc>
      </w:tr>
      <w:tr>
        <w:trPr>
          <w:trHeight w:val="196"/>
        </w:trPr>
        <w:tc>
          <w:tcPr>
            <w:tcW w:w="4900" w:type="dxa"/>
            <w:vAlign w:val="bottom"/>
          </w:tcPr>
          <w:p>
            <w:pPr>
              <w:ind w:left="180"/>
              <w:spacing w:after="0"/>
              <w:rPr>
                <w:sz w:val="20"/>
                <w:szCs w:val="20"/>
                <w:color w:val="auto"/>
              </w:rPr>
            </w:pPr>
            <w:r>
              <w:rPr>
                <w:rFonts w:ascii="Arial" w:cs="Arial" w:eastAsia="Arial" w:hAnsi="Arial"/>
                <w:sz w:val="14"/>
                <w:szCs w:val="14"/>
                <w:color w:val="auto"/>
              </w:rPr>
              <w:t>Total 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84,680</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110,598</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183,803</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235,253</w:t>
            </w:r>
          </w:p>
        </w:tc>
      </w:tr>
      <w:tr>
        <w:trPr>
          <w:trHeight w:val="196"/>
        </w:trPr>
        <w:tc>
          <w:tcPr>
            <w:tcW w:w="4900" w:type="dxa"/>
            <w:vAlign w:val="bottom"/>
          </w:tcPr>
          <w:p>
            <w:pPr>
              <w:ind w:left="180"/>
              <w:spacing w:after="0"/>
              <w:rPr>
                <w:sz w:val="20"/>
                <w:szCs w:val="20"/>
                <w:color w:val="auto"/>
              </w:rPr>
            </w:pPr>
            <w:r>
              <w:rPr>
                <w:rFonts w:ascii="Arial" w:cs="Arial" w:eastAsia="Arial" w:hAnsi="Arial"/>
                <w:sz w:val="14"/>
                <w:szCs w:val="14"/>
                <w:color w:val="auto"/>
              </w:rPr>
              <w:t>Non-Agency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20,444</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28,104</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106,346</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73,076</w:t>
            </w:r>
          </w:p>
        </w:tc>
      </w:tr>
      <w:tr>
        <w:trPr>
          <w:trHeight w:val="200"/>
        </w:trPr>
        <w:tc>
          <w:tcPr>
            <w:tcW w:w="4900" w:type="dxa"/>
            <w:vAlign w:val="bottom"/>
          </w:tcPr>
          <w:p>
            <w:pPr>
              <w:ind w:left="20"/>
              <w:spacing w:after="0"/>
              <w:rPr>
                <w:sz w:val="20"/>
                <w:szCs w:val="20"/>
                <w:color w:val="auto"/>
              </w:rPr>
            </w:pPr>
            <w:r>
              <w:rPr>
                <w:rFonts w:ascii="Arial" w:cs="Arial" w:eastAsia="Arial" w:hAnsi="Arial"/>
                <w:sz w:val="14"/>
                <w:szCs w:val="14"/>
                <w:color w:val="auto"/>
              </w:rPr>
              <w:t>Total Medicare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105,124</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138,702</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290,149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308,329</w:t>
            </w:r>
          </w:p>
        </w:tc>
      </w:tr>
      <w:tr>
        <w:trPr>
          <w:trHeight w:val="176"/>
        </w:trPr>
        <w:tc>
          <w:tcPr>
            <w:tcW w:w="490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0" w:type="dxa"/>
            <w:vAlign w:val="bottom"/>
            <w:shd w:val="clear" w:color="auto" w:fill="929292"/>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4900" w:type="dxa"/>
            <w:vAlign w:val="bottom"/>
          </w:tcPr>
          <w:p>
            <w:pPr>
              <w:ind w:left="240"/>
              <w:spacing w:after="0"/>
              <w:rPr>
                <w:sz w:val="20"/>
                <w:szCs w:val="20"/>
                <w:color w:val="auto"/>
              </w:rPr>
            </w:pPr>
            <w:r>
              <w:rPr>
                <w:rFonts w:ascii="Arial" w:cs="Arial" w:eastAsia="Arial" w:hAnsi="Arial"/>
                <w:sz w:val="14"/>
                <w:szCs w:val="14"/>
                <w:color w:val="auto"/>
              </w:rPr>
              <w:t>Non-Encompass BPO Services Revenue</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9,322</w:t>
            </w:r>
          </w:p>
        </w:tc>
      </w:tr>
      <w:tr>
        <w:trPr>
          <w:trHeight w:val="204"/>
        </w:trPr>
        <w:tc>
          <w:tcPr>
            <w:tcW w:w="4900" w:type="dxa"/>
            <w:vAlign w:val="bottom"/>
          </w:tcPr>
          <w:p>
            <w:pPr>
              <w:ind w:left="2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8,286</w:t>
            </w:r>
          </w:p>
        </w:tc>
      </w:tr>
      <w:tr>
        <w:trPr>
          <w:trHeight w:val="198"/>
        </w:trPr>
        <w:tc>
          <w:tcPr>
            <w:tcW w:w="4900" w:type="dxa"/>
            <w:vAlign w:val="bottom"/>
          </w:tcPr>
          <w:p>
            <w:pPr>
              <w:ind w:left="20"/>
              <w:spacing w:after="0"/>
              <w:rPr>
                <w:sz w:val="20"/>
                <w:szCs w:val="20"/>
                <w:color w:val="auto"/>
              </w:rPr>
            </w:pPr>
            <w:r>
              <w:rPr>
                <w:rFonts w:ascii="Arial" w:cs="Arial" w:eastAsia="Arial" w:hAnsi="Arial"/>
                <w:sz w:val="14"/>
                <w:szCs w:val="14"/>
                <w:color w:val="auto"/>
              </w:rPr>
              <w:t>Total Other Revenue</w:t>
            </w:r>
          </w:p>
        </w:tc>
        <w:tc>
          <w:tcPr>
            <w:tcW w:w="10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4,077</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17,608</w:t>
            </w:r>
          </w:p>
        </w:tc>
      </w:tr>
      <w:tr>
        <w:trPr>
          <w:trHeight w:val="220"/>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Total Net Revenues</w:t>
            </w:r>
          </w:p>
        </w:tc>
        <w:tc>
          <w:tcPr>
            <w:tcW w:w="100" w:type="dxa"/>
            <w:vAlign w:val="bottom"/>
            <w:tcBorders>
              <w:bottom w:val="single" w:sz="8" w:color="929292"/>
            </w:tcBorders>
            <w:shd w:val="clear" w:color="auto" w:fill="929292"/>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105,870</w:t>
            </w:r>
          </w:p>
        </w:tc>
        <w:tc>
          <w:tcPr>
            <w:tcW w:w="100" w:type="dxa"/>
            <w:vAlign w:val="bottom"/>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142,779</w:t>
            </w:r>
          </w:p>
        </w:tc>
        <w:tc>
          <w:tcPr>
            <w:tcW w:w="100" w:type="dxa"/>
            <w:vAlign w:val="bottom"/>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291,470</w:t>
            </w:r>
          </w:p>
        </w:tc>
        <w:tc>
          <w:tcPr>
            <w:tcW w:w="100" w:type="dxa"/>
            <w:vAlign w:val="bottom"/>
          </w:tcPr>
          <w:p>
            <w:pPr>
              <w:spacing w:after="0"/>
              <w:rPr>
                <w:sz w:val="19"/>
                <w:szCs w:val="19"/>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325,937</w:t>
            </w: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r>
    </w:tbl>
    <w:p>
      <w:pPr>
        <w:spacing w:after="0" w:line="17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through the Company’s Non-Encompass BPO Services as well as from the sale of individual and family plan insurance products.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(benefit) by operating function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color w:val="auto"/>
              </w:rPr>
              <w:t>Three months ended Jun. 30,</w:t>
            </w:r>
          </w:p>
        </w:tc>
        <w:tc>
          <w:tcPr>
            <w:tcW w:w="340" w:type="dxa"/>
            <w:vAlign w:val="bottom"/>
          </w:tcPr>
          <w:p>
            <w:pPr>
              <w:spacing w:after="0"/>
              <w:rPr>
                <w:sz w:val="17"/>
                <w:szCs w:val="17"/>
                <w:color w:val="auto"/>
              </w:rPr>
            </w:pPr>
          </w:p>
        </w:tc>
        <w:tc>
          <w:tcPr>
            <w:tcW w:w="272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 Jun. 30,</w:t>
            </w:r>
          </w:p>
        </w:tc>
      </w:tr>
      <w:tr>
        <w:trPr>
          <w:trHeight w:val="194"/>
        </w:trPr>
        <w:tc>
          <w:tcPr>
            <w:tcW w:w="490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490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3"/>
        </w:trPr>
        <w:tc>
          <w:tcPr>
            <w:tcW w:w="4900" w:type="dxa"/>
            <w:vAlign w:val="bottom"/>
          </w:tcPr>
          <w:p>
            <w:pPr>
              <w:ind w:left="20"/>
              <w:spacing w:after="0"/>
              <w:rPr>
                <w:sz w:val="20"/>
                <w:szCs w:val="20"/>
                <w:color w:val="auto"/>
              </w:rPr>
            </w:pPr>
            <w:r>
              <w:rPr>
                <w:rFonts w:ascii="Arial" w:cs="Arial" w:eastAsia="Arial" w:hAnsi="Arial"/>
                <w:sz w:val="14"/>
                <w:szCs w:val="14"/>
                <w:color w:val="auto"/>
              </w:rPr>
              <w:t>Customer care and enrollment</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1,329</w:t>
            </w:r>
          </w:p>
        </w:tc>
      </w:tr>
      <w:tr>
        <w:trPr>
          <w:trHeight w:val="203"/>
        </w:trPr>
        <w:tc>
          <w:tcPr>
            <w:tcW w:w="490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1,688</w:t>
            </w:r>
          </w:p>
        </w:tc>
      </w:tr>
      <w:tr>
        <w:trPr>
          <w:trHeight w:val="210"/>
        </w:trPr>
        <w:tc>
          <w:tcPr>
            <w:tcW w:w="4900" w:type="dxa"/>
            <w:vAlign w:val="bottom"/>
          </w:tcPr>
          <w:p>
            <w:pPr>
              <w:ind w:left="2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100" w:type="dxa"/>
            <w:vAlign w:val="bottom"/>
            <w:tcBorders>
              <w:bottom w:val="single" w:sz="8" w:color="929292"/>
            </w:tcBorders>
            <w:shd w:val="clear" w:color="auto" w:fill="929292"/>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8,310</w:t>
            </w:r>
          </w:p>
        </w:tc>
        <w:tc>
          <w:tcPr>
            <w:tcW w:w="100" w:type="dxa"/>
            <w:vAlign w:val="bottom"/>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13,457</w:t>
            </w:r>
          </w:p>
        </w:tc>
      </w:tr>
      <w:tr>
        <w:trPr>
          <w:trHeight w:val="216"/>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Total share-based compensation expense (benefit)</w:t>
            </w:r>
          </w:p>
        </w:tc>
        <w:tc>
          <w:tcPr>
            <w:tcW w:w="100" w:type="dxa"/>
            <w:vAlign w:val="bottom"/>
            <w:tcBorders>
              <w:bottom w:val="single" w:sz="8" w:color="929292"/>
            </w:tcBorders>
            <w:shd w:val="clear" w:color="auto" w:fill="929292"/>
          </w:tcPr>
          <w:p>
            <w:pPr>
              <w:spacing w:after="0"/>
              <w:rPr>
                <w:sz w:val="18"/>
                <w:szCs w:val="18"/>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1,892</w:t>
            </w:r>
          </w:p>
        </w:tc>
        <w:tc>
          <w:tcPr>
            <w:tcW w:w="100" w:type="dxa"/>
            <w:vAlign w:val="bottom"/>
          </w:tcPr>
          <w:p>
            <w:pPr>
              <w:spacing w:after="0"/>
              <w:rPr>
                <w:sz w:val="18"/>
                <w:szCs w:val="18"/>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10,120</w:t>
            </w:r>
          </w:p>
        </w:tc>
        <w:tc>
          <w:tcPr>
            <w:tcW w:w="100" w:type="dxa"/>
            <w:vAlign w:val="bottom"/>
          </w:tcPr>
          <w:p>
            <w:pPr>
              <w:spacing w:after="0"/>
              <w:rPr>
                <w:sz w:val="18"/>
                <w:szCs w:val="18"/>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3,675</w:t>
            </w:r>
          </w:p>
        </w:tc>
        <w:tc>
          <w:tcPr>
            <w:tcW w:w="100" w:type="dxa"/>
            <w:vAlign w:val="bottom"/>
          </w:tcPr>
          <w:p>
            <w:pPr>
              <w:spacing w:after="0"/>
              <w:rPr>
                <w:sz w:val="18"/>
                <w:szCs w:val="18"/>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16,704</w:t>
            </w: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 For the three and six months ended June 30, 2024 and 2023, share-based compensation expense includes expense related to the stock appreciation rights, which are liability classified awards.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01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Jun. 30, 2024</w:t>
            </w:r>
          </w:p>
        </w:tc>
        <w:tc>
          <w:tcPr>
            <w:tcW w:w="140" w:type="dxa"/>
            <w:vAlign w:val="bottom"/>
          </w:tcPr>
          <w:p>
            <w:pPr>
              <w:spacing w:after="0"/>
              <w:rPr>
                <w:sz w:val="17"/>
                <w:szCs w:val="17"/>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Dec. 31, 2023</w:t>
            </w:r>
          </w:p>
        </w:tc>
        <w:tc>
          <w:tcPr>
            <w:tcW w:w="0" w:type="dxa"/>
            <w:vAlign w:val="bottom"/>
          </w:tcPr>
          <w:p>
            <w:pPr>
              <w:spacing w:after="0"/>
              <w:rPr>
                <w:sz w:val="1"/>
                <w:szCs w:val="1"/>
                <w:color w:val="auto"/>
              </w:rPr>
            </w:pPr>
          </w:p>
        </w:tc>
      </w:tr>
      <w:tr>
        <w:trPr>
          <w:trHeight w:val="194"/>
        </w:trPr>
        <w:tc>
          <w:tcPr>
            <w:tcW w:w="8480" w:type="dxa"/>
            <w:vAlign w:val="bottom"/>
            <w:tcBorders>
              <w:top w:val="single" w:sz="8" w:color="B6B6B6"/>
            </w:tcBorders>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B6B6B6"/>
            </w:tcBorders>
            <w:shd w:val="clear" w:color="auto" w:fill="929292"/>
          </w:tcPr>
          <w:p>
            <w:pPr>
              <w:spacing w:after="0"/>
              <w:rPr>
                <w:sz w:val="16"/>
                <w:szCs w:val="16"/>
                <w:color w:val="auto"/>
              </w:rPr>
            </w:pPr>
          </w:p>
        </w:tc>
        <w:tc>
          <w:tcPr>
            <w:tcW w:w="160" w:type="dxa"/>
            <w:vAlign w:val="bottom"/>
            <w:tcBorders>
              <w:top w:val="single" w:sz="8" w:color="B6B6B6"/>
            </w:tcBorders>
          </w:tcPr>
          <w:p>
            <w:pPr>
              <w:spacing w:after="0"/>
              <w:rPr>
                <w:sz w:val="16"/>
                <w:szCs w:val="16"/>
                <w:color w:val="auto"/>
              </w:rPr>
            </w:pPr>
          </w:p>
        </w:tc>
        <w:tc>
          <w:tcPr>
            <w:tcW w:w="1120" w:type="dxa"/>
            <w:vAlign w:val="bottom"/>
            <w:tcBorders>
              <w:top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B6B6B6"/>
            </w:tcBorders>
          </w:tcPr>
          <w:p>
            <w:pPr>
              <w:spacing w:after="0"/>
              <w:rPr>
                <w:sz w:val="16"/>
                <w:szCs w:val="16"/>
                <w:color w:val="auto"/>
              </w:rPr>
            </w:pPr>
          </w:p>
        </w:tc>
        <w:tc>
          <w:tcPr>
            <w:tcW w:w="1140" w:type="dxa"/>
            <w:vAlign w:val="bottom"/>
            <w:tcBorders>
              <w:top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Current assets: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14,124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90,809</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Accounts receivable, net of allowance for doubtful accounts of $6 in 2024 and $27 in 2023</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receivable - 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261,052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336,215</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Prepaid expense and other current assets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12,527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49,166</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301,172</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476,440</w:t>
            </w:r>
          </w:p>
        </w:tc>
        <w:tc>
          <w:tcPr>
            <w:tcW w:w="0" w:type="dxa"/>
            <w:vAlign w:val="bottom"/>
          </w:tcPr>
          <w:p>
            <w:pPr>
              <w:spacing w:after="0"/>
              <w:rPr>
                <w:sz w:val="1"/>
                <w:szCs w:val="1"/>
                <w:color w:val="auto"/>
              </w:rPr>
            </w:pPr>
          </w:p>
        </w:tc>
      </w:tr>
      <w:tr>
        <w:trPr>
          <w:trHeight w:val="194"/>
        </w:trPr>
        <w:tc>
          <w:tcPr>
            <w:tcW w:w="8480" w:type="dxa"/>
            <w:vAlign w:val="bottom"/>
          </w:tcPr>
          <w:p>
            <w:pPr>
              <w:ind w:left="20"/>
              <w:spacing w:after="0"/>
              <w:rPr>
                <w:sz w:val="20"/>
                <w:szCs w:val="20"/>
                <w:color w:val="auto"/>
              </w:rPr>
            </w:pPr>
            <w:r>
              <w:rPr>
                <w:rFonts w:ascii="Arial" w:cs="Arial" w:eastAsia="Arial" w:hAnsi="Arial"/>
                <w:sz w:val="14"/>
                <w:szCs w:val="14"/>
                <w:color w:val="auto"/>
              </w:rPr>
              <w:t>Commissions receivable - non-current</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554,000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575,482</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Operating lease ROU asset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21,995</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29,842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26,843</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349,526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396,554</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80" w:type="dxa"/>
            <w:vAlign w:val="bottom"/>
            <w:tcBorders>
              <w:bottom w:val="single" w:sz="8" w:color="929292"/>
            </w:tcBorders>
            <w:shd w:val="clear" w:color="auto" w:fill="929292"/>
          </w:tcPr>
          <w:p>
            <w:pPr>
              <w:spacing w:after="0"/>
              <w:rPr>
                <w:sz w:val="18"/>
                <w:szCs w:val="18"/>
                <w:color w:val="auto"/>
              </w:rPr>
            </w:pPr>
          </w:p>
        </w:tc>
        <w:tc>
          <w:tcPr>
            <w:tcW w:w="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1,257,075</w:t>
            </w:r>
          </w:p>
        </w:tc>
        <w:tc>
          <w:tcPr>
            <w:tcW w:w="100" w:type="dxa"/>
            <w:vAlign w:val="bottom"/>
          </w:tcPr>
          <w:p>
            <w:pPr>
              <w:spacing w:after="0"/>
              <w:rPr>
                <w:sz w:val="18"/>
                <w:szCs w:val="18"/>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1,499,570</w:t>
            </w: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w:t>
            </w:r>
          </w:p>
        </w:tc>
        <w:tc>
          <w:tcPr>
            <w:tcW w:w="80" w:type="dxa"/>
            <w:vAlign w:val="bottom"/>
            <w:tcBorders>
              <w:bottom w:val="single" w:sz="8" w:color="929292"/>
            </w:tcBorders>
            <w:shd w:val="clear" w:color="auto" w:fill="929292"/>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8480" w:type="dxa"/>
            <w:vAlign w:val="bottom"/>
            <w:vMerge w:val="continue"/>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Current liabilities: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929292"/>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10,073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17,705</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Accrued liabilities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48,374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86,254</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payable - 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88,219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118,732</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Short-term operating lease liability</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5,797</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27,806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52,403</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Other 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14,717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14,122</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234,038</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370,013</w:t>
            </w:r>
          </w:p>
        </w:tc>
        <w:tc>
          <w:tcPr>
            <w:tcW w:w="0" w:type="dxa"/>
            <w:vAlign w:val="bottom"/>
          </w:tcPr>
          <w:p>
            <w:pPr>
              <w:spacing w:after="0"/>
              <w:rPr>
                <w:sz w:val="1"/>
                <w:szCs w:val="1"/>
                <w:color w:val="auto"/>
              </w:rPr>
            </w:pPr>
          </w:p>
        </w:tc>
      </w:tr>
      <w:tr>
        <w:trPr>
          <w:trHeight w:val="181"/>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Non-current liabilities:</w:t>
            </w:r>
          </w:p>
        </w:tc>
        <w:tc>
          <w:tcPr>
            <w:tcW w:w="8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Commissions payable - non-current</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187,146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203,255</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Long-term operating lease liability</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36,827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39,547</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413,328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422,705</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Other non-current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6,837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9,095</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non-current liabilities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644,138</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674,602</w:t>
            </w:r>
          </w:p>
        </w:tc>
        <w:tc>
          <w:tcPr>
            <w:tcW w:w="0" w:type="dxa"/>
            <w:vAlign w:val="bottom"/>
          </w:tcPr>
          <w:p>
            <w:pPr>
              <w:spacing w:after="0"/>
              <w:rPr>
                <w:sz w:val="1"/>
                <w:szCs w:val="1"/>
                <w:color w:val="auto"/>
              </w:rPr>
            </w:pPr>
          </w:p>
        </w:tc>
      </w:tr>
      <w:tr>
        <w:trPr>
          <w:trHeight w:val="181"/>
        </w:trPr>
        <w:tc>
          <w:tcPr>
            <w:tcW w:w="84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929292"/>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480" w:type="dxa"/>
            <w:vAlign w:val="bottom"/>
          </w:tcPr>
          <w:p>
            <w:pPr>
              <w:ind w:left="20"/>
              <w:spacing w:after="0"/>
              <w:rPr>
                <w:sz w:val="20"/>
                <w:szCs w:val="20"/>
                <w:color w:val="auto"/>
              </w:rPr>
            </w:pPr>
            <w:r>
              <w:rPr>
                <w:rFonts w:ascii="Arial" w:cs="Arial" w:eastAsia="Arial" w:hAnsi="Arial"/>
                <w:sz w:val="14"/>
                <w:szCs w:val="14"/>
                <w:color w:val="auto"/>
              </w:rPr>
              <w:t>Series A redeemable convertible preferred stock — $0.0001 par value; 50 shares authorized; 50 shares issued and outstanding as</w:t>
            </w:r>
          </w:p>
        </w:tc>
        <w:tc>
          <w:tcPr>
            <w:tcW w:w="8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0"/>
              <w:spacing w:after="0" w:line="149" w:lineRule="exact"/>
              <w:rPr>
                <w:sz w:val="20"/>
                <w:szCs w:val="20"/>
                <w:color w:val="auto"/>
              </w:rPr>
            </w:pPr>
            <w:r>
              <w:rPr>
                <w:rFonts w:ascii="Arial" w:cs="Arial" w:eastAsia="Arial" w:hAnsi="Arial"/>
                <w:sz w:val="14"/>
                <w:szCs w:val="14"/>
                <w:color w:val="auto"/>
              </w:rPr>
              <w:t>of both June 30, 2024 and December 31, 2023. Liquidation preference of $52.7 million and $50.9 million as of June 30, 2024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51,100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49,302</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Stockholders’ equity: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80" w:type="dxa"/>
            <w:vAlign w:val="bottom"/>
          </w:tcPr>
          <w:p>
            <w:pPr>
              <w:ind w:left="240"/>
              <w:spacing w:after="0"/>
              <w:rPr>
                <w:sz w:val="20"/>
                <w:szCs w:val="20"/>
                <w:color w:val="auto"/>
              </w:rPr>
            </w:pPr>
            <w:r>
              <w:rPr>
                <w:rFonts w:ascii="Arial" w:cs="Arial" w:eastAsia="Arial" w:hAnsi="Arial"/>
                <w:sz w:val="14"/>
                <w:szCs w:val="14"/>
                <w:color w:val="auto"/>
              </w:rPr>
              <w:t>Class A common stock – $0.0001 par value; 1,100,000 shares authorized; 10,360 and 9,823 shares issued; 10,059 and 9,651</w:t>
            </w:r>
          </w:p>
        </w:tc>
        <w:tc>
          <w:tcPr>
            <w:tcW w:w="80" w:type="dxa"/>
            <w:vAlign w:val="bottom"/>
            <w:shd w:val="clear" w:color="auto" w:fill="929292"/>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shares outstanding as of June 30, 2024 and 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Class B common stock – $0.0001 par value; 615,984 and 616,018 shares authorized; 12,780 and 12,814 shares issued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outstanding as of June 30, 2024 and December 31, 2023, 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 – $0.0001 par value; 20,000 shares authorized (including 50 shares of Series A redeemable convertible</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preferred stock authorized and 200 shares of Series A-1 convertible preferred stock authorized); 50 shares issued and</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outstanding as of both June 30, 2024 and December 31, 2023.</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Series A-1 convertible preferred stock— $0.0001 par value; 200 shares authorized; no shares issued and outstanding as of both</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June 30, 2024 and December 31, 2023.</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480" w:type="dxa"/>
            <w:vAlign w:val="bottom"/>
          </w:tcPr>
          <w:p>
            <w:pPr>
              <w:ind w:left="240"/>
              <w:spacing w:after="0" w:line="149" w:lineRule="exact"/>
              <w:rPr>
                <w:sz w:val="20"/>
                <w:szCs w:val="20"/>
                <w:color w:val="auto"/>
              </w:rPr>
            </w:pPr>
            <w:r>
              <w:rPr>
                <w:rFonts w:ascii="Arial" w:cs="Arial" w:eastAsia="Arial" w:hAnsi="Arial"/>
                <w:sz w:val="14"/>
                <w:szCs w:val="14"/>
                <w:color w:val="auto"/>
              </w:rPr>
              <w:t>Treasury stock – at cost; 302 and 173 shares of Class A common stock as of June 30, 2024 and December 31, 2023,</w:t>
            </w:r>
          </w:p>
        </w:tc>
        <w:tc>
          <w:tcPr>
            <w:tcW w:w="80" w:type="dxa"/>
            <w:vAlign w:val="bottom"/>
            <w:shd w:val="clear" w:color="auto" w:fill="92929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(3,975)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89"/>
        </w:trPr>
        <w:tc>
          <w:tcPr>
            <w:tcW w:w="8480" w:type="dxa"/>
            <w:vAlign w:val="bottom"/>
          </w:tcPr>
          <w:p>
            <w:pPr>
              <w:ind w:left="240"/>
              <w:spacing w:after="0"/>
              <w:rPr>
                <w:sz w:val="20"/>
                <w:szCs w:val="20"/>
                <w:color w:val="auto"/>
              </w:rPr>
            </w:pPr>
            <w:r>
              <w:rPr>
                <w:rFonts w:ascii="Arial" w:cs="Arial" w:eastAsia="Arial" w:hAnsi="Arial"/>
                <w:sz w:val="14"/>
                <w:szCs w:val="14"/>
                <w:color w:val="auto"/>
              </w:rPr>
              <w:t>respectively.</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48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929292"/>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662,347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654,059</w:t>
            </w:r>
          </w:p>
        </w:tc>
        <w:tc>
          <w:tcPr>
            <w:tcW w:w="0" w:type="dxa"/>
            <w:vAlign w:val="bottom"/>
          </w:tcPr>
          <w:p>
            <w:pPr>
              <w:spacing w:after="0"/>
              <w:rPr>
                <w:sz w:val="1"/>
                <w:szCs w:val="1"/>
                <w:color w:val="auto"/>
              </w:rPr>
            </w:pPr>
          </w:p>
        </w:tc>
      </w:tr>
      <w:tr>
        <w:trPr>
          <w:trHeight w:val="203"/>
        </w:trPr>
        <w:tc>
          <w:tcPr>
            <w:tcW w:w="848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shd w:val="clear" w:color="auto" w:fill="92929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4"/>
        </w:trPr>
        <w:tc>
          <w:tcPr>
            <w:tcW w:w="848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(455,492)</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(420,280)</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stockholders’ equity attributable to GoHealth, Inc.</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202,732</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231,014</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125,067</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174,639</w:t>
            </w: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929292"/>
            </w:tcBorders>
            <w:shd w:val="clear" w:color="auto" w:fill="929292"/>
          </w:tcPr>
          <w:p>
            <w:pPr>
              <w:spacing w:after="0"/>
              <w:rPr>
                <w:sz w:val="17"/>
                <w:szCs w:val="17"/>
                <w:color w:val="auto"/>
              </w:rPr>
            </w:pPr>
          </w:p>
        </w:tc>
        <w:tc>
          <w:tcPr>
            <w:tcW w:w="1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327,799</w:t>
            </w:r>
          </w:p>
        </w:tc>
        <w:tc>
          <w:tcPr>
            <w:tcW w:w="100" w:type="dxa"/>
            <w:vAlign w:val="bottom"/>
          </w:tcPr>
          <w:p>
            <w:pPr>
              <w:spacing w:after="0"/>
              <w:rPr>
                <w:sz w:val="17"/>
                <w:szCs w:val="17"/>
                <w:color w:val="auto"/>
              </w:rPr>
            </w:pPr>
          </w:p>
        </w:tc>
        <w:tc>
          <w:tcPr>
            <w:tcW w:w="1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405,653</w:t>
            </w:r>
          </w:p>
        </w:tc>
        <w:tc>
          <w:tcPr>
            <w:tcW w:w="0" w:type="dxa"/>
            <w:vAlign w:val="bottom"/>
          </w:tcPr>
          <w:p>
            <w:pPr>
              <w:spacing w:after="0"/>
              <w:rPr>
                <w:sz w:val="1"/>
                <w:szCs w:val="1"/>
                <w:color w:val="auto"/>
              </w:rPr>
            </w:pPr>
          </w:p>
        </w:tc>
      </w:tr>
      <w:tr>
        <w:trPr>
          <w:trHeight w:val="222"/>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equity</w:t>
            </w:r>
          </w:p>
        </w:tc>
        <w:tc>
          <w:tcPr>
            <w:tcW w:w="80" w:type="dxa"/>
            <w:vAlign w:val="bottom"/>
            <w:tcBorders>
              <w:bottom w:val="single" w:sz="8" w:color="929292"/>
            </w:tcBorders>
            <w:shd w:val="clear" w:color="auto" w:fill="929292"/>
          </w:tcPr>
          <w:p>
            <w:pPr>
              <w:spacing w:after="0"/>
              <w:rPr>
                <w:sz w:val="19"/>
                <w:szCs w:val="19"/>
                <w:color w:val="auto"/>
              </w:rPr>
            </w:pPr>
          </w:p>
        </w:tc>
        <w:tc>
          <w:tcPr>
            <w:tcW w:w="1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1,257,075</w:t>
            </w:r>
          </w:p>
        </w:tc>
        <w:tc>
          <w:tcPr>
            <w:tcW w:w="100" w:type="dxa"/>
            <w:vAlign w:val="bottom"/>
          </w:tcPr>
          <w:p>
            <w:pPr>
              <w:spacing w:after="0"/>
              <w:rPr>
                <w:sz w:val="19"/>
                <w:szCs w:val="19"/>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1,499,570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8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sets forth the net cash provided by (used in) operating activities for the periods presented (unaudited):</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90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3"/>
          </w:tcPr>
          <w:p>
            <w:pPr>
              <w:jc w:val="right"/>
              <w:ind w:right="68"/>
              <w:spacing w:after="0"/>
              <w:rPr>
                <w:sz w:val="20"/>
                <w:szCs w:val="20"/>
                <w:color w:val="auto"/>
              </w:rPr>
            </w:pPr>
            <w:r>
              <w:rPr>
                <w:rFonts w:ascii="Arial" w:cs="Arial" w:eastAsia="Arial" w:hAnsi="Arial"/>
                <w:sz w:val="14"/>
                <w:szCs w:val="14"/>
                <w:color w:val="auto"/>
              </w:rPr>
              <w:t>Six months ended Jun. 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5"/>
          </w:tcPr>
          <w:p>
            <w:pPr>
              <w:jc w:val="right"/>
              <w:ind w:right="228"/>
              <w:spacing w:after="0"/>
              <w:rPr>
                <w:sz w:val="20"/>
                <w:szCs w:val="20"/>
                <w:color w:val="auto"/>
              </w:rPr>
            </w:pPr>
            <w:r>
              <w:rPr>
                <w:rFonts w:ascii="Arial" w:cs="Arial" w:eastAsia="Arial" w:hAnsi="Arial"/>
                <w:sz w:val="14"/>
                <w:szCs w:val="14"/>
                <w:color w:val="auto"/>
              </w:rPr>
              <w:t>Trailing Twelve Months ended Jun. 30,</w:t>
            </w:r>
          </w:p>
        </w:tc>
      </w:tr>
      <w:tr>
        <w:trPr>
          <w:trHeight w:val="221"/>
        </w:trPr>
        <w:tc>
          <w:tcPr>
            <w:tcW w:w="4900" w:type="dxa"/>
            <w:vAlign w:val="bottom"/>
            <w:tcBorders>
              <w:left w:val="single" w:sz="8" w:color="929292"/>
            </w:tcBorders>
          </w:tcPr>
          <w:p>
            <w:pPr>
              <w:ind w:left="740"/>
              <w:spacing w:after="0"/>
              <w:rPr>
                <w:sz w:val="20"/>
                <w:szCs w:val="20"/>
                <w:color w:val="auto"/>
              </w:rPr>
            </w:pPr>
            <w:r>
              <w:rPr>
                <w:rFonts w:ascii="Arial" w:cs="Arial" w:eastAsia="Arial" w:hAnsi="Arial"/>
                <w:sz w:val="14"/>
                <w:szCs w:val="14"/>
                <w:b w:val="1"/>
                <w:bCs w:val="1"/>
                <w:color w:val="00497F"/>
              </w:rPr>
              <w:t>Net cash provided by (used in) operating activities</w:t>
            </w:r>
          </w:p>
        </w:tc>
        <w:tc>
          <w:tcPr>
            <w:tcW w:w="100" w:type="dxa"/>
            <w:vAlign w:val="bottom"/>
            <w:tcBorders>
              <w:bottom w:val="single" w:sz="8" w:color="929292"/>
            </w:tcBorders>
            <w:shd w:val="clear" w:color="auto" w:fill="929292"/>
          </w:tcPr>
          <w:p>
            <w:pPr>
              <w:spacing w:after="0"/>
              <w:rPr>
                <w:sz w:val="19"/>
                <w:szCs w:val="19"/>
                <w:color w:val="auto"/>
              </w:rPr>
            </w:pPr>
          </w:p>
        </w:tc>
        <w:tc>
          <w:tcPr>
            <w:tcW w:w="340" w:type="dxa"/>
            <w:vAlign w:val="bottom"/>
            <w:tcBorders>
              <w:bottom w:val="single" w:sz="8" w:color="B6B6B6"/>
            </w:tcBorders>
          </w:tcPr>
          <w:p>
            <w:pPr>
              <w:spacing w:after="0"/>
              <w:rPr>
                <w:sz w:val="19"/>
                <w:szCs w:val="19"/>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B6B6B6"/>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B6B6B6"/>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B6B6B6"/>
            </w:tcBorders>
          </w:tcPr>
          <w:p>
            <w:pPr>
              <w:spacing w:after="0"/>
              <w:rPr>
                <w:sz w:val="19"/>
                <w:szCs w:val="19"/>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3"/>
        </w:trPr>
        <w:tc>
          <w:tcPr>
            <w:tcW w:w="490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(23,984)</w:t>
            </w:r>
          </w:p>
        </w:tc>
        <w:tc>
          <w:tcPr>
            <w:tcW w:w="100" w:type="dxa"/>
            <w:vAlign w:val="bottom"/>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31,340</w:t>
            </w:r>
          </w:p>
        </w:tc>
        <w:tc>
          <w:tcPr>
            <w:tcW w:w="100" w:type="dxa"/>
            <w:vAlign w:val="bottom"/>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53,817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85,867</w:t>
            </w:r>
          </w:p>
        </w:tc>
      </w:tr>
    </w:tbl>
    <w:p>
      <w:pPr>
        <w:spacing w:after="0" w:line="296"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our single operating and reportable segment.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Medicare Revenue per Submission and Operating Expense per Submission to our operating metrics,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per Submission and Direct Cost per Submission, for the periods indicated (unaudited):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160" w:type="dxa"/>
            <w:vAlign w:val="bottom"/>
            <w:gridSpan w:val="6"/>
          </w:tcPr>
          <w:p>
            <w:pPr>
              <w:ind w:left="600"/>
              <w:spacing w:after="0"/>
              <w:rPr>
                <w:sz w:val="20"/>
                <w:szCs w:val="20"/>
                <w:color w:val="auto"/>
              </w:rPr>
            </w:pPr>
            <w:r>
              <w:rPr>
                <w:rFonts w:ascii="Arial" w:cs="Arial" w:eastAsia="Arial" w:hAnsi="Arial"/>
                <w:sz w:val="14"/>
                <w:szCs w:val="14"/>
                <w:color w:val="auto"/>
              </w:rPr>
              <w:t>Three months ended Jun. 30,</w:t>
            </w:r>
          </w:p>
        </w:tc>
        <w:tc>
          <w:tcPr>
            <w:tcW w:w="340" w:type="dxa"/>
            <w:vAlign w:val="bottom"/>
          </w:tcPr>
          <w:p>
            <w:pPr>
              <w:spacing w:after="0"/>
              <w:rPr>
                <w:sz w:val="17"/>
                <w:szCs w:val="17"/>
                <w:color w:val="auto"/>
              </w:rPr>
            </w:pPr>
          </w:p>
        </w:tc>
        <w:tc>
          <w:tcPr>
            <w:tcW w:w="272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 Jun. 30,</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2024</w:t>
            </w:r>
          </w:p>
        </w:tc>
        <w:tc>
          <w:tcPr>
            <w:tcW w:w="56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20"/>
                <w:szCs w:val="20"/>
                <w:color w:val="auto"/>
              </w:rPr>
            </w:pPr>
            <w:r>
              <w:rPr>
                <w:rFonts w:ascii="Arial" w:cs="Arial" w:eastAsia="Arial" w:hAnsi="Arial"/>
                <w:sz w:val="14"/>
                <w:szCs w:val="14"/>
                <w:b w:val="1"/>
                <w:bCs w:val="1"/>
                <w:color w:val="auto"/>
              </w:rPr>
              <w:t>Sales per Submission</w:t>
            </w:r>
          </w:p>
        </w:tc>
        <w:tc>
          <w:tcPr>
            <w:tcW w:w="100" w:type="dxa"/>
            <w:vAlign w:val="bottom"/>
            <w:shd w:val="clear" w:color="auto" w:fill="929292"/>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80" w:type="dxa"/>
            <w:vAlign w:val="bottom"/>
          </w:tcPr>
          <w:p>
            <w:pPr>
              <w:ind w:left="120"/>
              <w:spacing w:after="0"/>
              <w:rPr>
                <w:sz w:val="20"/>
                <w:szCs w:val="20"/>
                <w:color w:val="auto"/>
              </w:rPr>
            </w:pPr>
            <w:r>
              <w:rPr>
                <w:rFonts w:ascii="Arial" w:cs="Arial" w:eastAsia="Arial" w:hAnsi="Arial"/>
                <w:sz w:val="14"/>
                <w:szCs w:val="14"/>
                <w:color w:val="auto"/>
              </w:rPr>
              <w:t>Medicare Revenue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920" w:type="dxa"/>
            <w:vAlign w:val="bottom"/>
            <w:tcBorders>
              <w:bottom w:val="single" w:sz="8" w:color="B6B6B6"/>
            </w:tcBorders>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00"/>
        </w:trPr>
        <w:tc>
          <w:tcPr>
            <w:tcW w:w="4880" w:type="dxa"/>
            <w:vAlign w:val="bottom"/>
          </w:tcPr>
          <w:p>
            <w:pPr>
              <w:spacing w:after="0"/>
              <w:rPr>
                <w:sz w:val="20"/>
                <w:szCs w:val="20"/>
                <w:color w:val="auto"/>
              </w:rPr>
            </w:pPr>
            <w:r>
              <w:rPr>
                <w:rFonts w:ascii="Arial" w:cs="Arial" w:eastAsia="Arial" w:hAnsi="Arial"/>
                <w:sz w:val="14"/>
                <w:szCs w:val="14"/>
                <w:color w:val="auto"/>
              </w:rPr>
              <w:t>Sales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920" w:type="dxa"/>
            <w:vAlign w:val="bottom"/>
            <w:tcBorders>
              <w:bottom w:val="single" w:sz="8" w:color="B6B6B6"/>
            </w:tcBorders>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Direct Cost per Submission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4880" w:type="dxa"/>
            <w:vAlign w:val="bottom"/>
            <w:vMerge w:val="continue"/>
          </w:tcPr>
          <w:p>
            <w:pPr>
              <w:spacing w:after="0"/>
              <w:rPr>
                <w:sz w:val="24"/>
                <w:szCs w:val="24"/>
                <w:color w:val="auto"/>
              </w:rPr>
            </w:pPr>
          </w:p>
        </w:tc>
        <w:tc>
          <w:tcPr>
            <w:tcW w:w="100" w:type="dxa"/>
            <w:vAlign w:val="bottom"/>
            <w:shd w:val="clear" w:color="auto" w:fill="929292"/>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120"/>
              <w:spacing w:after="0"/>
              <w:rPr>
                <w:sz w:val="20"/>
                <w:szCs w:val="20"/>
                <w:color w:val="auto"/>
              </w:rPr>
            </w:pPr>
            <w:r>
              <w:rPr>
                <w:rFonts w:ascii="Arial" w:cs="Arial" w:eastAsia="Arial" w:hAnsi="Arial"/>
                <w:sz w:val="14"/>
                <w:szCs w:val="14"/>
                <w:color w:val="auto"/>
              </w:rPr>
              <w:t>Operating Expense per Submission</w:t>
            </w:r>
          </w:p>
        </w:tc>
        <w:tc>
          <w:tcPr>
            <w:tcW w:w="100" w:type="dxa"/>
            <w:vAlign w:val="bottom"/>
            <w:shd w:val="clear" w:color="auto" w:fill="929292"/>
          </w:tcPr>
          <w:p>
            <w:pPr>
              <w:spacing w:after="0"/>
              <w:rPr>
                <w:sz w:val="17"/>
                <w:szCs w:val="17"/>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1,202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15"/>
        </w:trPr>
        <w:tc>
          <w:tcPr>
            <w:tcW w:w="4880" w:type="dxa"/>
            <w:vAlign w:val="bottom"/>
          </w:tcPr>
          <w:p>
            <w:pPr>
              <w:ind w:left="120"/>
              <w:spacing w:after="0"/>
              <w:rPr>
                <w:sz w:val="20"/>
                <w:szCs w:val="20"/>
                <w:color w:val="auto"/>
              </w:rPr>
            </w:pPr>
            <w:r>
              <w:rPr>
                <w:rFonts w:ascii="Arial" w:cs="Arial" w:eastAsia="Arial" w:hAnsi="Arial"/>
                <w:sz w:val="14"/>
                <w:szCs w:val="14"/>
                <w:color w:val="auto"/>
              </w:rPr>
              <w:t>Indirect operating expenses</w:t>
            </w:r>
            <w:r>
              <w:rPr>
                <w:rFonts w:ascii="Arial" w:cs="Arial" w:eastAsia="Arial" w:hAnsi="Arial"/>
                <w:sz w:val="18"/>
                <w:szCs w:val="18"/>
                <w:color w:val="auto"/>
                <w:vertAlign w:val="superscript"/>
              </w:rPr>
              <w:t>(1)</w:t>
            </w:r>
          </w:p>
        </w:tc>
        <w:tc>
          <w:tcPr>
            <w:tcW w:w="100" w:type="dxa"/>
            <w:vAlign w:val="bottom"/>
            <w:shd w:val="clear" w:color="auto" w:fill="929292"/>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color w:val="auto"/>
                <w:w w:val="97"/>
              </w:rPr>
              <w:t>(318)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90"/>
        </w:trPr>
        <w:tc>
          <w:tcPr>
            <w:tcW w:w="4880" w:type="dxa"/>
            <w:vAlign w:val="bottom"/>
          </w:tcPr>
          <w:p>
            <w:pPr>
              <w:ind w:left="120"/>
              <w:spacing w:after="0"/>
              <w:rPr>
                <w:sz w:val="20"/>
                <w:szCs w:val="20"/>
                <w:color w:val="auto"/>
              </w:rPr>
            </w:pPr>
            <w:r>
              <w:rPr>
                <w:rFonts w:ascii="Arial" w:cs="Arial" w:eastAsia="Arial" w:hAnsi="Arial"/>
                <w:sz w:val="14"/>
                <w:szCs w:val="14"/>
                <w:color w:val="auto"/>
              </w:rPr>
              <w:t>Exit of Non-Encompass BPO Services</w:t>
            </w:r>
          </w:p>
        </w:tc>
        <w:tc>
          <w:tcPr>
            <w:tcW w:w="100" w:type="dxa"/>
            <w:vAlign w:val="bottom"/>
            <w:shd w:val="clear" w:color="auto" w:fill="929292"/>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1"/>
        </w:trPr>
        <w:tc>
          <w:tcPr>
            <w:tcW w:w="4880" w:type="dxa"/>
            <w:vAlign w:val="bottom"/>
          </w:tcPr>
          <w:p>
            <w:pPr>
              <w:ind w:left="120"/>
              <w:spacing w:after="0"/>
              <w:rPr>
                <w:sz w:val="20"/>
                <w:szCs w:val="20"/>
                <w:color w:val="auto"/>
              </w:rPr>
            </w:pPr>
            <w:r>
              <w:rPr>
                <w:rFonts w:ascii="Arial" w:cs="Arial" w:eastAsia="Arial" w:hAnsi="Arial"/>
                <w:sz w:val="14"/>
                <w:szCs w:val="14"/>
                <w:color w:val="auto"/>
              </w:rPr>
              <w:t>Share-based compensation expense</w:t>
            </w:r>
            <w:r>
              <w:rPr>
                <w:rFonts w:ascii="Arial" w:cs="Arial" w:eastAsia="Arial" w:hAnsi="Arial"/>
                <w:sz w:val="18"/>
                <w:szCs w:val="18"/>
                <w:color w:val="auto"/>
                <w:vertAlign w:val="superscript"/>
              </w:rPr>
              <w:t>(2)</w:t>
            </w:r>
          </w:p>
        </w:tc>
        <w:tc>
          <w:tcPr>
            <w:tcW w:w="100" w:type="dxa"/>
            <w:vAlign w:val="bottom"/>
            <w:tcBorders>
              <w:bottom w:val="single" w:sz="8" w:color="929292"/>
            </w:tcBorders>
            <w:shd w:val="clear" w:color="auto" w:fill="929292"/>
          </w:tcPr>
          <w:p>
            <w:pPr>
              <w:spacing w:after="0"/>
              <w:rPr>
                <w:sz w:val="18"/>
                <w:szCs w:val="18"/>
                <w:color w:val="auto"/>
              </w:rPr>
            </w:pPr>
          </w:p>
        </w:tc>
        <w:tc>
          <w:tcPr>
            <w:tcW w:w="920" w:type="dxa"/>
            <w:vAlign w:val="bottom"/>
            <w:tcBorders>
              <w:bottom w:val="single" w:sz="8" w:color="B6B6B6"/>
            </w:tcBorders>
          </w:tcPr>
          <w:p>
            <w:pPr>
              <w:spacing w:after="0"/>
              <w:rPr>
                <w:sz w:val="18"/>
                <w:szCs w:val="18"/>
                <w:color w:val="auto"/>
              </w:rPr>
            </w:pPr>
          </w:p>
        </w:tc>
        <w:tc>
          <w:tcPr>
            <w:tcW w:w="56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34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20"/>
                <w:szCs w:val="20"/>
                <w:color w:val="auto"/>
              </w:rPr>
            </w:pPr>
            <w:r>
              <w:rPr>
                <w:rFonts w:ascii="Arial" w:cs="Arial" w:eastAsia="Arial" w:hAnsi="Arial"/>
                <w:sz w:val="14"/>
                <w:szCs w:val="14"/>
                <w:color w:val="auto"/>
              </w:rPr>
              <w:t>Direct Cost per Submission</w:t>
            </w:r>
          </w:p>
        </w:tc>
        <w:tc>
          <w:tcPr>
            <w:tcW w:w="100" w:type="dxa"/>
            <w:vAlign w:val="bottom"/>
            <w:tcBorders>
              <w:bottom w:val="single" w:sz="8" w:color="929292"/>
            </w:tcBorders>
            <w:shd w:val="clear" w:color="auto" w:fill="929292"/>
          </w:tcPr>
          <w:p>
            <w:pPr>
              <w:spacing w:after="0"/>
              <w:rPr>
                <w:sz w:val="17"/>
                <w:szCs w:val="17"/>
                <w:color w:val="auto"/>
              </w:rPr>
            </w:pPr>
          </w:p>
        </w:tc>
        <w:tc>
          <w:tcPr>
            <w:tcW w:w="920" w:type="dxa"/>
            <w:vAlign w:val="bottom"/>
            <w:tcBorders>
              <w:bottom w:val="single" w:sz="8" w:color="B6B6B6"/>
            </w:tcBorders>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34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21"/>
        </w:trPr>
        <w:tc>
          <w:tcPr>
            <w:tcW w:w="4880" w:type="dxa"/>
            <w:vAlign w:val="bottom"/>
            <w:vMerge w:val="restart"/>
          </w:tcPr>
          <w:p>
            <w:pPr>
              <w:spacing w:after="0"/>
              <w:rPr>
                <w:sz w:val="20"/>
                <w:szCs w:val="20"/>
                <w:color w:val="auto"/>
              </w:rPr>
            </w:pPr>
            <w:r>
              <w:rPr>
                <w:rFonts w:ascii="Arial" w:cs="Arial" w:eastAsia="Arial" w:hAnsi="Arial"/>
                <w:sz w:val="14"/>
                <w:szCs w:val="14"/>
                <w:color w:val="auto"/>
              </w:rPr>
              <w:t>Adjusted Direct Operating Margin per Submission</w:t>
            </w:r>
            <w:r>
              <w:rPr>
                <w:rFonts w:ascii="Arial" w:cs="Arial" w:eastAsia="Arial" w:hAnsi="Arial"/>
                <w:sz w:val="18"/>
                <w:szCs w:val="18"/>
                <w:color w:val="auto"/>
                <w:vertAlign w:val="superscript"/>
              </w:rPr>
              <w:t>(3)</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5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880" w:type="dxa"/>
            <w:vAlign w:val="bottom"/>
            <w:vMerge w:val="continue"/>
          </w:tcPr>
          <w:p>
            <w:pPr>
              <w:spacing w:after="0"/>
              <w:rPr>
                <w:sz w:val="24"/>
                <w:szCs w:val="24"/>
                <w:color w:val="auto"/>
              </w:rPr>
            </w:pPr>
          </w:p>
        </w:tc>
        <w:tc>
          <w:tcPr>
            <w:tcW w:w="100" w:type="dxa"/>
            <w:vAlign w:val="bottom"/>
            <w:shd w:val="clear" w:color="auto" w:fill="929292"/>
          </w:tcPr>
          <w:p>
            <w:pPr>
              <w:spacing w:after="0"/>
              <w:rPr>
                <w:sz w:val="24"/>
                <w:szCs w:val="24"/>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Indirect operating expenses include technology, general and administrative, amortization of intangible assets and operating lease impairment charges.</w:t>
      </w:r>
    </w:p>
    <w:p>
      <w:pPr>
        <w:spacing w:after="0" w:line="14" w:lineRule="exact"/>
        <w:rPr>
          <w:rFonts w:ascii="Arial" w:cs="Arial" w:eastAsia="Arial" w:hAnsi="Arial"/>
          <w:sz w:val="13"/>
          <w:szCs w:val="13"/>
          <w:i w:val="1"/>
          <w:iCs w:val="1"/>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Share-based compensation expense included within marketing and advertising expenses and consumer care and enrollment expenses.</w:t>
      </w:r>
    </w:p>
    <w:p>
      <w:pPr>
        <w:spacing w:after="0" w:line="7" w:lineRule="exact"/>
        <w:rPr>
          <w:rFonts w:ascii="Arial" w:cs="Arial" w:eastAsia="Arial" w:hAnsi="Arial"/>
          <w:sz w:val="13"/>
          <w:szCs w:val="13"/>
          <w:i w:val="1"/>
          <w:iCs w:val="1"/>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Sales per Submission less Direct Cost per Submission.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 (unaudited):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4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120" w:type="dxa"/>
            <w:vAlign w:val="bottom"/>
            <w:gridSpan w:val="4"/>
          </w:tcPr>
          <w:p>
            <w:pPr>
              <w:ind w:left="580"/>
              <w:spacing w:after="0"/>
              <w:rPr>
                <w:sz w:val="20"/>
                <w:szCs w:val="20"/>
                <w:color w:val="auto"/>
              </w:rPr>
            </w:pPr>
            <w:r>
              <w:rPr>
                <w:rFonts w:ascii="Arial" w:cs="Arial" w:eastAsia="Arial" w:hAnsi="Arial"/>
                <w:sz w:val="14"/>
                <w:szCs w:val="14"/>
                <w:color w:val="auto"/>
              </w:rPr>
              <w:t>Three months ended Jun. 30,</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40" w:type="dxa"/>
            <w:vAlign w:val="bottom"/>
            <w:tcBorders>
              <w:left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460" w:type="dxa"/>
            <w:vAlign w:val="bottom"/>
            <w:tcBorders>
              <w:bottom w:val="single" w:sz="8" w:color="B6B6B6"/>
            </w:tcBorders>
          </w:tcPr>
          <w:p>
            <w:pPr>
              <w:ind w:left="58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740" w:type="dxa"/>
            <w:vAlign w:val="bottom"/>
            <w:tcBorders>
              <w:bottom w:val="single" w:sz="8" w:color="B6B6B6"/>
            </w:tcBorders>
          </w:tcPr>
          <w:p>
            <w:pPr>
              <w:jc w:val="right"/>
              <w:ind w:right="668"/>
              <w:spacing w:after="0"/>
              <w:rPr>
                <w:sz w:val="20"/>
                <w:szCs w:val="20"/>
                <w:color w:val="auto"/>
              </w:rPr>
            </w:pPr>
            <w:r>
              <w:rPr>
                <w:rFonts w:ascii="Arial" w:cs="Arial" w:eastAsia="Arial" w:hAnsi="Arial"/>
                <w:sz w:val="14"/>
                <w:szCs w:val="14"/>
                <w:color w:val="auto"/>
              </w:rPr>
              <w:t>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40" w:type="dxa"/>
            <w:vAlign w:val="bottom"/>
            <w:tcBorders>
              <w:left w:val="single" w:sz="8" w:color="929292"/>
            </w:tcBorders>
            <w:vMerge w:val="restart"/>
          </w:tcPr>
          <w:p>
            <w:pPr>
              <w:ind w:left="198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shd w:val="clear" w:color="auto" w:fill="929292"/>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152,394</w:t>
            </w:r>
          </w:p>
        </w:tc>
        <w:tc>
          <w:tcPr>
            <w:tcW w:w="10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162,837</w:t>
            </w:r>
          </w:p>
        </w:tc>
        <w:tc>
          <w:tcPr>
            <w:tcW w:w="80" w:type="dxa"/>
            <w:vAlign w:val="bottom"/>
          </w:tcPr>
          <w:p>
            <w:pPr>
              <w:spacing w:after="0"/>
              <w:rPr>
                <w:sz w:val="16"/>
                <w:szCs w:val="16"/>
                <w:color w:val="auto"/>
              </w:rPr>
            </w:pPr>
          </w:p>
        </w:tc>
        <w:tc>
          <w:tcPr>
            <w:tcW w:w="1740" w:type="dxa"/>
            <w:vAlign w:val="bottom"/>
          </w:tcPr>
          <w:p>
            <w:pPr>
              <w:jc w:val="right"/>
              <w:ind w:right="208"/>
              <w:spacing w:after="0"/>
              <w:rPr>
                <w:sz w:val="20"/>
                <w:szCs w:val="20"/>
                <w:color w:val="auto"/>
              </w:rPr>
            </w:pPr>
            <w:r>
              <w:rPr>
                <w:rFonts w:ascii="Arial" w:cs="Arial" w:eastAsia="Arial" w:hAnsi="Arial"/>
                <w:sz w:val="14"/>
                <w:szCs w:val="14"/>
                <w:color w:val="auto"/>
              </w:rPr>
              <w:t>(10,443)</w:t>
            </w:r>
          </w:p>
        </w:tc>
        <w:tc>
          <w:tcPr>
            <w:tcW w:w="14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5"/>
        </w:trPr>
        <w:tc>
          <w:tcPr>
            <w:tcW w:w="484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120" w:type="dxa"/>
            <w:vAlign w:val="bottom"/>
            <w:gridSpan w:val="4"/>
            <w:vMerge w:val="restart"/>
          </w:tcPr>
          <w:p>
            <w:pPr>
              <w:ind w:left="660"/>
              <w:spacing w:after="0"/>
              <w:rPr>
                <w:sz w:val="20"/>
                <w:szCs w:val="20"/>
                <w:color w:val="auto"/>
              </w:rPr>
            </w:pPr>
            <w:r>
              <w:rPr>
                <w:rFonts w:ascii="Arial" w:cs="Arial" w:eastAsia="Arial" w:hAnsi="Arial"/>
                <w:sz w:val="14"/>
                <w:szCs w:val="14"/>
                <w:color w:val="auto"/>
              </w:rPr>
              <w:t>Six months ended Jun. 30,</w:t>
            </w: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120" w:type="dxa"/>
            <w:vAlign w:val="bottom"/>
            <w:gridSpan w:val="4"/>
            <w:vMerge w:val="continue"/>
          </w:tcPr>
          <w:p>
            <w:pPr>
              <w:spacing w:after="0"/>
              <w:rPr>
                <w:sz w:val="14"/>
                <w:szCs w:val="14"/>
                <w:color w:val="auto"/>
              </w:rPr>
            </w:pPr>
          </w:p>
        </w:tc>
        <w:tc>
          <w:tcPr>
            <w:tcW w:w="1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40" w:type="dxa"/>
            <w:vAlign w:val="bottom"/>
            <w:tcBorders>
              <w:left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1460" w:type="dxa"/>
            <w:vAlign w:val="bottom"/>
            <w:tcBorders>
              <w:bottom w:val="single" w:sz="8" w:color="B6B6B6"/>
            </w:tcBorders>
          </w:tcPr>
          <w:p>
            <w:pPr>
              <w:ind w:left="58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48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740" w:type="dxa"/>
            <w:vAlign w:val="bottom"/>
            <w:tcBorders>
              <w:bottom w:val="single" w:sz="8" w:color="B6B6B6"/>
            </w:tcBorders>
          </w:tcPr>
          <w:p>
            <w:pPr>
              <w:jc w:val="right"/>
              <w:ind w:right="668"/>
              <w:spacing w:after="0"/>
              <w:rPr>
                <w:sz w:val="20"/>
                <w:szCs w:val="20"/>
                <w:color w:val="auto"/>
              </w:rPr>
            </w:pPr>
            <w:r>
              <w:rPr>
                <w:rFonts w:ascii="Arial" w:cs="Arial" w:eastAsia="Arial" w:hAnsi="Arial"/>
                <w:sz w:val="14"/>
                <w:szCs w:val="14"/>
                <w:color w:val="auto"/>
              </w:rPr>
              <w:t>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40" w:type="dxa"/>
            <w:vAlign w:val="bottom"/>
            <w:tcBorders>
              <w:left w:val="single" w:sz="8" w:color="929292"/>
              <w:bottom w:val="single" w:sz="8" w:color="929292"/>
            </w:tcBorders>
          </w:tcPr>
          <w:p>
            <w:pPr>
              <w:spacing w:after="0"/>
              <w:rPr>
                <w:sz w:val="17"/>
                <w:szCs w:val="17"/>
                <w:color w:val="auto"/>
              </w:rPr>
            </w:pPr>
          </w:p>
        </w:tc>
        <w:tc>
          <w:tcPr>
            <w:tcW w:w="100" w:type="dxa"/>
            <w:vAlign w:val="bottom"/>
            <w:tcBorders>
              <w:bottom w:val="single" w:sz="8" w:color="929292"/>
            </w:tcBorders>
            <w:shd w:val="clear" w:color="auto" w:fill="929292"/>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368,542</w:t>
            </w:r>
          </w:p>
        </w:tc>
        <w:tc>
          <w:tcPr>
            <w:tcW w:w="10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376,482</w:t>
            </w:r>
          </w:p>
        </w:tc>
        <w:tc>
          <w:tcPr>
            <w:tcW w:w="80" w:type="dxa"/>
            <w:vAlign w:val="bottom"/>
          </w:tcPr>
          <w:p>
            <w:pPr>
              <w:spacing w:after="0"/>
              <w:rPr>
                <w:sz w:val="17"/>
                <w:szCs w:val="17"/>
                <w:color w:val="auto"/>
              </w:rPr>
            </w:pPr>
          </w:p>
        </w:tc>
        <w:tc>
          <w:tcPr>
            <w:tcW w:w="1740" w:type="dxa"/>
            <w:vAlign w:val="bottom"/>
          </w:tcPr>
          <w:p>
            <w:pPr>
              <w:jc w:val="right"/>
              <w:ind w:right="208"/>
              <w:spacing w:after="0"/>
              <w:rPr>
                <w:sz w:val="20"/>
                <w:szCs w:val="20"/>
                <w:color w:val="auto"/>
              </w:rPr>
            </w:pPr>
            <w:r>
              <w:rPr>
                <w:rFonts w:ascii="Arial" w:cs="Arial" w:eastAsia="Arial" w:hAnsi="Arial"/>
                <w:sz w:val="14"/>
                <w:szCs w:val="14"/>
                <w:color w:val="auto"/>
              </w:rPr>
              <w:t>(7,940)</w:t>
            </w:r>
          </w:p>
        </w:tc>
        <w:tc>
          <w:tcPr>
            <w:tcW w:w="14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 (unaudited):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60" w:type="dxa"/>
            <w:vAlign w:val="bottom"/>
            <w:tcBorders>
              <w:top w:val="single" w:sz="8" w:color="929292"/>
              <w:left w:val="single" w:sz="8" w:color="929292"/>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color w:val="auto"/>
              </w:rPr>
              <w:t>Three months ended Jun. 30,</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860" w:type="dxa"/>
            <w:vAlign w:val="bottom"/>
            <w:tcBorders>
              <w:left w:val="single" w:sz="8" w:color="929292"/>
            </w:tcBorders>
          </w:tcPr>
          <w:p>
            <w:pPr>
              <w:spacing w:after="0"/>
              <w:rPr>
                <w:sz w:val="16"/>
                <w:szCs w:val="16"/>
                <w:color w:val="auto"/>
              </w:rPr>
            </w:pPr>
          </w:p>
        </w:tc>
        <w:tc>
          <w:tcPr>
            <w:tcW w:w="80" w:type="dxa"/>
            <w:vAlign w:val="bottom"/>
            <w:tcBorders>
              <w:bottom w:val="single" w:sz="8" w:color="929292"/>
            </w:tcBorders>
            <w:shd w:val="clear" w:color="auto" w:fill="929292"/>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1480" w:type="dxa"/>
            <w:vAlign w:val="bottom"/>
            <w:tcBorders>
              <w:bottom w:val="single" w:sz="8" w:color="B6B6B6"/>
            </w:tcBorders>
          </w:tcPr>
          <w:p>
            <w:pPr>
              <w:jc w:val="right"/>
              <w:ind w:right="608"/>
              <w:spacing w:after="0"/>
              <w:rPr>
                <w:sz w:val="20"/>
                <w:szCs w:val="20"/>
                <w:color w:val="auto"/>
              </w:rPr>
            </w:pPr>
            <w:r>
              <w:rPr>
                <w:rFonts w:ascii="Arial" w:cs="Arial" w:eastAsia="Arial" w:hAnsi="Arial"/>
                <w:sz w:val="14"/>
                <w:szCs w:val="14"/>
                <w:color w:val="auto"/>
              </w:rPr>
              <w:t>$ 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860" w:type="dxa"/>
            <w:vAlign w:val="bottom"/>
            <w:tcBorders>
              <w:left w:val="single" w:sz="8" w:color="929292"/>
            </w:tcBorders>
            <w:vMerge w:val="restart"/>
          </w:tcPr>
          <w:p>
            <w:pPr>
              <w:ind w:left="1680"/>
              <w:spacing w:after="0"/>
              <w:rPr>
                <w:sz w:val="20"/>
                <w:szCs w:val="20"/>
                <w:color w:val="auto"/>
              </w:rPr>
            </w:pPr>
            <w:r>
              <w:rPr>
                <w:rFonts w:ascii="Arial" w:cs="Arial" w:eastAsia="Arial" w:hAnsi="Arial"/>
                <w:sz w:val="14"/>
                <w:szCs w:val="14"/>
                <w:b w:val="1"/>
                <w:bCs w:val="1"/>
                <w:color w:val="00497F"/>
              </w:rPr>
              <w:t>Sales Per Submission</w:t>
            </w:r>
          </w:p>
        </w:tc>
        <w:tc>
          <w:tcPr>
            <w:tcW w:w="80" w:type="dxa"/>
            <w:vAlign w:val="bottom"/>
            <w:shd w:val="clear" w:color="auto" w:fill="929292"/>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8"/>
              <w:spacing w:after="0"/>
              <w:rPr>
                <w:sz w:val="20"/>
                <w:szCs w:val="20"/>
                <w:color w:val="auto"/>
              </w:rPr>
            </w:pPr>
            <w:r>
              <w:rPr>
                <w:rFonts w:ascii="Arial" w:cs="Arial" w:eastAsia="Arial" w:hAnsi="Arial"/>
                <w:sz w:val="14"/>
                <w:szCs w:val="14"/>
                <w:color w:val="auto"/>
              </w:rPr>
              <w:t>(162)</w:t>
            </w:r>
          </w:p>
        </w:tc>
        <w:tc>
          <w:tcPr>
            <w:tcW w:w="142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5"/>
        </w:trPr>
        <w:tc>
          <w:tcPr>
            <w:tcW w:w="4860" w:type="dxa"/>
            <w:vAlign w:val="bottom"/>
            <w:tcBorders>
              <w:left w:val="single" w:sz="8" w:color="929292"/>
            </w:tcBorders>
            <w:vMerge w:val="continue"/>
          </w:tcPr>
          <w:p>
            <w:pPr>
              <w:spacing w:after="0"/>
              <w:rPr>
                <w:sz w:val="16"/>
                <w:szCs w:val="16"/>
                <w:color w:val="auto"/>
              </w:rPr>
            </w:pPr>
          </w:p>
        </w:tc>
        <w:tc>
          <w:tcPr>
            <w:tcW w:w="80" w:type="dxa"/>
            <w:vAlign w:val="bottom"/>
            <w:shd w:val="clear" w:color="auto" w:fill="929292"/>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vMerge w:val="restart"/>
          </w:tcPr>
          <w:p>
            <w:pPr>
              <w:ind w:left="320"/>
              <w:spacing w:after="0"/>
              <w:rPr>
                <w:sz w:val="20"/>
                <w:szCs w:val="20"/>
                <w:color w:val="auto"/>
              </w:rPr>
            </w:pPr>
            <w:r>
              <w:rPr>
                <w:rFonts w:ascii="Arial" w:cs="Arial" w:eastAsia="Arial" w:hAnsi="Arial"/>
                <w:sz w:val="14"/>
                <w:szCs w:val="14"/>
                <w:color w:val="auto"/>
              </w:rPr>
              <w:t>Six months ended Jun. 30,</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60" w:type="dxa"/>
            <w:vAlign w:val="bottom"/>
            <w:tcBorders>
              <w:left w:val="single" w:sz="8" w:color="929292"/>
            </w:tcBorders>
          </w:tcPr>
          <w:p>
            <w:pPr>
              <w:spacing w:after="0"/>
              <w:rPr>
                <w:sz w:val="14"/>
                <w:szCs w:val="14"/>
                <w:color w:val="auto"/>
              </w:rPr>
            </w:pPr>
          </w:p>
        </w:tc>
        <w:tc>
          <w:tcPr>
            <w:tcW w:w="80" w:type="dxa"/>
            <w:vAlign w:val="bottom"/>
            <w:shd w:val="clear" w:color="auto" w:fill="929292"/>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60" w:type="dxa"/>
            <w:vAlign w:val="bottom"/>
            <w:tcBorders>
              <w:left w:val="single" w:sz="8" w:color="929292"/>
            </w:tcBorders>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ind w:left="24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929292"/>
            </w:tcBorders>
          </w:tcPr>
          <w:p>
            <w:pPr>
              <w:spacing w:after="0"/>
              <w:rPr>
                <w:sz w:val="17"/>
                <w:szCs w:val="17"/>
                <w:color w:val="auto"/>
              </w:rPr>
            </w:pPr>
          </w:p>
        </w:tc>
        <w:tc>
          <w:tcPr>
            <w:tcW w:w="34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929292"/>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480" w:type="dxa"/>
            <w:vAlign w:val="bottom"/>
            <w:tcBorders>
              <w:bottom w:val="single" w:sz="8" w:color="B6B6B6"/>
            </w:tcBorders>
          </w:tcPr>
          <w:p>
            <w:pPr>
              <w:jc w:val="right"/>
              <w:ind w:right="608"/>
              <w:spacing w:after="0"/>
              <w:rPr>
                <w:sz w:val="20"/>
                <w:szCs w:val="20"/>
                <w:color w:val="auto"/>
              </w:rPr>
            </w:pPr>
            <w:r>
              <w:rPr>
                <w:rFonts w:ascii="Arial" w:cs="Arial" w:eastAsia="Arial" w:hAnsi="Arial"/>
                <w:sz w:val="14"/>
                <w:szCs w:val="14"/>
                <w:color w:val="auto"/>
              </w:rPr>
              <w:t>$ Change</w:t>
            </w:r>
          </w:p>
        </w:tc>
        <w:tc>
          <w:tcPr>
            <w:tcW w:w="14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860" w:type="dxa"/>
            <w:vAlign w:val="bottom"/>
            <w:tcBorders>
              <w:left w:val="single" w:sz="8" w:color="929292"/>
              <w:bottom w:val="single" w:sz="8" w:color="929292"/>
            </w:tcBorders>
          </w:tcPr>
          <w:p>
            <w:pPr>
              <w:spacing w:after="0"/>
              <w:rPr>
                <w:sz w:val="17"/>
                <w:szCs w:val="17"/>
                <w:color w:val="auto"/>
              </w:rPr>
            </w:pPr>
          </w:p>
        </w:tc>
        <w:tc>
          <w:tcPr>
            <w:tcW w:w="80" w:type="dxa"/>
            <w:vAlign w:val="bottom"/>
            <w:tcBorders>
              <w:bottom w:val="single" w:sz="8" w:color="929292"/>
            </w:tcBorders>
            <w:shd w:val="clear" w:color="auto" w:fill="929292"/>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819</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14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following are our Sales/Direct Cost of Submission, Direct Cost of Submission (in thousands) and Direct Cost Per Submission for the three and six months ended June 30, 2024 and 2023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color w:val="auto"/>
              </w:rPr>
              <w:t>Three months ended Jun. 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608"/>
              <w:spacing w:after="0"/>
              <w:rPr>
                <w:sz w:val="20"/>
                <w:szCs w:val="20"/>
                <w:color w:val="auto"/>
              </w:rPr>
            </w:pPr>
            <w:r>
              <w:rPr>
                <w:rFonts w:ascii="Arial" w:cs="Arial" w:eastAsia="Arial" w:hAnsi="Arial"/>
                <w:sz w:val="14"/>
                <w:szCs w:val="14"/>
                <w:color w:val="auto"/>
              </w:rPr>
              <w:t>Six months ended Jun. 30,</w:t>
            </w:r>
          </w:p>
        </w:tc>
      </w:tr>
      <w:tr>
        <w:trPr>
          <w:trHeight w:val="194"/>
        </w:trPr>
        <w:tc>
          <w:tcPr>
            <w:tcW w:w="4900" w:type="dxa"/>
            <w:vAlign w:val="bottom"/>
            <w:tcBorders>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B6B6B6"/>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B6B6B6"/>
            </w:tcBorders>
          </w:tcPr>
          <w:p>
            <w:pPr>
              <w:spacing w:after="0"/>
              <w:rPr>
                <w:sz w:val="16"/>
                <w:szCs w:val="16"/>
                <w:color w:val="auto"/>
              </w:rPr>
            </w:pPr>
          </w:p>
        </w:tc>
        <w:tc>
          <w:tcPr>
            <w:tcW w:w="114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color w:val="auto"/>
              </w:rPr>
              <w:t>2023</w:t>
            </w:r>
          </w:p>
        </w:tc>
      </w:tr>
      <w:tr>
        <w:trPr>
          <w:trHeight w:val="192"/>
        </w:trPr>
        <w:tc>
          <w:tcPr>
            <w:tcW w:w="4900" w:type="dxa"/>
            <w:vAlign w:val="bottom"/>
          </w:tcPr>
          <w:p>
            <w:pPr>
              <w:ind w:left="20"/>
              <w:spacing w:after="0"/>
              <w:rPr>
                <w:sz w:val="20"/>
                <w:szCs w:val="20"/>
                <w:color w:val="auto"/>
              </w:rPr>
            </w:pPr>
            <w:r>
              <w:rPr>
                <w:rFonts w:ascii="Arial" w:cs="Arial" w:eastAsia="Arial" w:hAnsi="Arial"/>
                <w:sz w:val="14"/>
                <w:szCs w:val="14"/>
                <w:color w:val="auto"/>
              </w:rPr>
              <w:t>Sales/Direct Cost of Submission</w:t>
            </w:r>
          </w:p>
        </w:tc>
        <w:tc>
          <w:tcPr>
            <w:tcW w:w="100" w:type="dxa"/>
            <w:vAlign w:val="bottom"/>
            <w:shd w:val="clear" w:color="auto" w:fill="929292"/>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3"/>
        </w:trPr>
        <w:tc>
          <w:tcPr>
            <w:tcW w:w="4900" w:type="dxa"/>
            <w:vAlign w:val="bottom"/>
          </w:tcPr>
          <w:p>
            <w:pPr>
              <w:ind w:left="20"/>
              <w:spacing w:after="0"/>
              <w:rPr>
                <w:sz w:val="20"/>
                <w:szCs w:val="20"/>
                <w:color w:val="auto"/>
              </w:rPr>
            </w:pPr>
            <w:r>
              <w:rPr>
                <w:rFonts w:ascii="Arial" w:cs="Arial" w:eastAsia="Arial" w:hAnsi="Arial"/>
                <w:sz w:val="14"/>
                <w:szCs w:val="14"/>
                <w:color w:val="auto"/>
              </w:rPr>
              <w:t>Direct Cost of Submission</w:t>
            </w:r>
          </w:p>
        </w:tc>
        <w:tc>
          <w:tcPr>
            <w:tcW w:w="100" w:type="dxa"/>
            <w:vAlign w:val="bottom"/>
            <w:shd w:val="clear" w:color="auto" w:fill="929292"/>
          </w:tcPr>
          <w:p>
            <w:pPr>
              <w:spacing w:after="0"/>
              <w:rPr>
                <w:sz w:val="17"/>
                <w:szCs w:val="17"/>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97,618</w:t>
            </w:r>
          </w:p>
        </w:tc>
        <w:tc>
          <w:tcPr>
            <w:tcW w:w="10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118,080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235,868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245,250</w:t>
            </w:r>
          </w:p>
        </w:tc>
      </w:tr>
      <w:tr>
        <w:trPr>
          <w:trHeight w:val="210"/>
        </w:trPr>
        <w:tc>
          <w:tcPr>
            <w:tcW w:w="4900" w:type="dxa"/>
            <w:vAlign w:val="bottom"/>
          </w:tcPr>
          <w:p>
            <w:pPr>
              <w:ind w:left="20"/>
              <w:spacing w:after="0"/>
              <w:rPr>
                <w:sz w:val="20"/>
                <w:szCs w:val="20"/>
                <w:color w:val="auto"/>
              </w:rPr>
            </w:pPr>
            <w:r>
              <w:rPr>
                <w:rFonts w:ascii="Arial" w:cs="Arial" w:eastAsia="Arial" w:hAnsi="Arial"/>
                <w:sz w:val="14"/>
                <w:szCs w:val="14"/>
                <w:color w:val="auto"/>
              </w:rPr>
              <w:t>Direct Cost per Submission</w:t>
            </w:r>
          </w:p>
        </w:tc>
        <w:tc>
          <w:tcPr>
            <w:tcW w:w="100" w:type="dxa"/>
            <w:vAlign w:val="bottom"/>
            <w:shd w:val="clear" w:color="auto" w:fill="929292"/>
          </w:tcPr>
          <w:p>
            <w:pPr>
              <w:spacing w:after="0"/>
              <w:rPr>
                <w:sz w:val="18"/>
                <w:szCs w:val="18"/>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8"/>
                <w:szCs w:val="18"/>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651</w:t>
            </w:r>
          </w:p>
        </w:tc>
      </w:tr>
    </w:tbl>
    <w:p>
      <w:pPr>
        <w:spacing w:after="0" w:line="200" w:lineRule="exact"/>
        <w:rPr>
          <w:sz w:val="20"/>
          <w:szCs w:val="20"/>
          <w:color w:val="auto"/>
        </w:rPr>
      </w:pP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10</w:t>
      </w:r>
    </w:p>
    <w:sectPr>
      <w:pgSz w:w="11900" w:h="16838" w:orient="portrait"/>
      <w:cols w:equalWidth="0" w:num="1">
        <w:col w:w="11240"/>
      </w:cols>
      <w:pgMar w:left="320" w:top="88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2024-08-08T06:44:12Z</dcterms:created>
  <dcterms:modified xsi:type="dcterms:W3CDTF">2024-08-08T06:44:12Z</dcterms:modified>
</cp:coreProperties>
</file>