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Schulz Jason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ind w:left="220"/>
              <w:spacing w:after="0"/>
              <w:rPr>
                <w:sz w:val="20"/>
                <w:szCs w:val="20"/>
                <w:color w:val="auto"/>
              </w:rPr>
            </w:pPr>
            <w:r>
              <w:rPr>
                <w:rFonts w:ascii="Arial" w:cs="Arial" w:eastAsia="Arial" w:hAnsi="Arial"/>
                <w:sz w:val="14"/>
                <w:szCs w:val="14"/>
                <w:color w:val="auto"/>
              </w:rPr>
              <w:t>(First)</w:t>
            </w:r>
          </w:p>
        </w:tc>
        <w:tc>
          <w:tcPr>
            <w:tcW w:w="154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214 WEST HURON ST.</w:t>
            </w:r>
          </w:p>
        </w:tc>
        <w:tc>
          <w:tcPr>
            <w:tcW w:w="15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80" w:type="dxa"/>
            <w:vAlign w:val="bottom"/>
          </w:tcPr>
          <w:p>
            <w:pPr>
              <w:ind w:left="220"/>
              <w:spacing w:after="0"/>
              <w:rPr>
                <w:sz w:val="20"/>
                <w:szCs w:val="20"/>
                <w:color w:val="auto"/>
              </w:rPr>
            </w:pPr>
            <w:r>
              <w:rPr>
                <w:rFonts w:ascii="Arial" w:cs="Arial" w:eastAsia="Arial" w:hAnsi="Arial"/>
                <w:sz w:val="18"/>
                <w:szCs w:val="18"/>
                <w:color w:val="0000FF"/>
              </w:rPr>
              <w:t>IL</w:t>
            </w:r>
          </w:p>
        </w:tc>
        <w:tc>
          <w:tcPr>
            <w:tcW w:w="1540" w:type="dxa"/>
            <w:vAlign w:val="bottom"/>
          </w:tcPr>
          <w:p>
            <w:pPr>
              <w:ind w:left="36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20"/>
              <w:spacing w:after="0"/>
              <w:rPr>
                <w:sz w:val="20"/>
                <w:szCs w:val="20"/>
                <w:color w:val="auto"/>
              </w:rPr>
            </w:pPr>
            <w:r>
              <w:rPr>
                <w:rFonts w:ascii="Arial" w:cs="Arial" w:eastAsia="Arial" w:hAnsi="Arial"/>
                <w:sz w:val="14"/>
                <w:szCs w:val="14"/>
                <w:color w:val="auto"/>
              </w:rPr>
              <w:t>(State)</w:t>
            </w:r>
          </w:p>
        </w:tc>
        <w:tc>
          <w:tcPr>
            <w:tcW w:w="154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05/15/2023</w:t>
            </w:r>
          </w:p>
        </w:tc>
        <w:tc>
          <w:tcPr>
            <w:tcW w:w="2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05/15/2023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P</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6,881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14.29</w:t>
            </w:r>
            <w:r>
              <w:rPr>
                <w:rFonts w:ascii="Arial" w:cs="Arial" w:eastAsia="Arial" w:hAnsi="Arial"/>
                <w:sz w:val="22"/>
                <w:szCs w:val="22"/>
                <w:color w:val="008000"/>
                <w:w w:val="9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273,548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These shares were sold in multiple transactions at prices ranging from $13.61 to $14.58. The reporting person undertakes to provide the Company, any security holder of the Company, or the staff of the Securities and Exchange Commission, upon request, full information regarding the number of shares purchased at each separate price within the range set forth in this section.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Brian Farley,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05/17/2023</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614"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2023-05-17T16:00:40Z</dcterms:created>
  <dcterms:modified xsi:type="dcterms:W3CDTF">2023-05-17T16:00:40Z</dcterms:modified>
</cp:coreProperties>
</file>