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5208270</wp:posOffset>
            </wp:positionH>
            <wp:positionV relativeFrom="paragraph">
              <wp:posOffset>-601980</wp:posOffset>
            </wp:positionV>
            <wp:extent cx="57150" cy="615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25400</wp:posOffset>
            </wp:positionV>
            <wp:extent cx="6998970" cy="4113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4113530"/>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00"/>
            <w:col w:w="842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Jones Clinton P.</w:t>
              </w:r>
            </w:hyperlink>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ind w:left="60"/>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GoHealth,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GOCO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X</w:t>
            </w:r>
          </w:p>
        </w:tc>
        <w:tc>
          <w:tcPr>
            <w:tcW w:w="1420" w:type="dxa"/>
            <w:vAlign w:val="bottom"/>
            <w:gridSpan w:val="4"/>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20" w:type="dxa"/>
            <w:vAlign w:val="bottom"/>
            <w:gridSpan w:val="2"/>
            <w:vMerge w:val="restart"/>
          </w:tcPr>
          <w:p>
            <w:pPr>
              <w:ind w:left="160"/>
              <w:spacing w:after="0" w:line="130"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4"/>
                <w:szCs w:val="4"/>
                <w:color w:val="auto"/>
              </w:rPr>
            </w:pPr>
          </w:p>
        </w:tc>
        <w:tc>
          <w:tcPr>
            <w:tcW w:w="1420" w:type="dxa"/>
            <w:vAlign w:val="bottom"/>
            <w:gridSpan w:val="4"/>
            <w:vMerge w:val="restart"/>
          </w:tcPr>
          <w:p>
            <w:pPr>
              <w:ind w:left="16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700" w:type="dxa"/>
            <w:vAlign w:val="bottom"/>
            <w:gridSpan w:val="3"/>
          </w:tcPr>
          <w:p>
            <w:pPr>
              <w:ind w:left="500"/>
              <w:spacing w:after="0"/>
              <w:rPr>
                <w:sz w:val="20"/>
                <w:szCs w:val="20"/>
                <w:color w:val="auto"/>
              </w:rPr>
            </w:pPr>
            <w:r>
              <w:rPr>
                <w:rFonts w:ascii="Arial" w:cs="Arial" w:eastAsia="Arial" w:hAnsi="Arial"/>
                <w:sz w:val="12"/>
                <w:szCs w:val="12"/>
                <w:color w:val="auto"/>
              </w:rPr>
              <w:t>(First)</w:t>
            </w: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214 WEST HURON ST.</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0000FF"/>
              </w:rPr>
              <w:t>06/06/2022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720" w:type="dxa"/>
            <w:vAlign w:val="bottom"/>
            <w:tcBorders>
              <w:bottom w:val="single" w:sz="8" w:color="9A9A9A"/>
            </w:tcBorders>
          </w:tcPr>
          <w:p>
            <w:pPr>
              <w:spacing w:after="0"/>
              <w:rPr>
                <w:sz w:val="21"/>
                <w:szCs w:val="21"/>
                <w:color w:val="auto"/>
              </w:rPr>
            </w:pPr>
          </w:p>
        </w:tc>
        <w:tc>
          <w:tcPr>
            <w:tcW w:w="54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0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6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5"/>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300" w:type="dxa"/>
            <w:vAlign w:val="bottom"/>
            <w:tcBorders>
              <w:top w:val="single" w:sz="8" w:color="2C2C2C"/>
            </w:tcBorders>
            <w:gridSpan w:val="6"/>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5"/>
              </w:rPr>
              <w:t>CHICAGO</w:t>
            </w: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0000FF"/>
              </w:rPr>
              <w:t>IL</w:t>
            </w:r>
          </w:p>
        </w:tc>
        <w:tc>
          <w:tcPr>
            <w:tcW w:w="10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60654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8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700" w:type="dxa"/>
            <w:vAlign w:val="bottom"/>
            <w:gridSpan w:val="3"/>
          </w:tcPr>
          <w:p>
            <w:pPr>
              <w:ind w:left="500"/>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Transaction</w:t>
            </w:r>
          </w:p>
        </w:tc>
        <w:tc>
          <w:tcPr>
            <w:tcW w:w="20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6"/>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2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6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18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6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6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Class A</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Appreciation</w:t>
            </w: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continue"/>
          </w:tcPr>
          <w:p>
            <w:pPr>
              <w:spacing w:after="0"/>
              <w:rPr>
                <w:sz w:val="5"/>
                <w:szCs w:val="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2,649,896</w:t>
            </w: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540" w:type="dxa"/>
            <w:vAlign w:val="bottom"/>
            <w:vMerge w:val="restart"/>
          </w:tcPr>
          <w:p>
            <w:pPr>
              <w:ind w:left="1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w:t>
            </w:r>
          </w:p>
        </w:tc>
        <w:tc>
          <w:tcPr>
            <w:tcW w:w="160" w:type="dxa"/>
            <w:vAlign w:val="bottom"/>
          </w:tcPr>
          <w:p>
            <w:pPr>
              <w:spacing w:after="0"/>
              <w:rPr>
                <w:sz w:val="6"/>
                <w:szCs w:val="6"/>
                <w:color w:val="auto"/>
              </w:rPr>
            </w:pPr>
          </w:p>
        </w:tc>
        <w:tc>
          <w:tcPr>
            <w:tcW w:w="1000" w:type="dxa"/>
            <w:vAlign w:val="bottom"/>
            <w:vMerge w:val="restart"/>
          </w:tcPr>
          <w:p>
            <w:pPr>
              <w:ind w:left="240"/>
              <w:spacing w:after="0" w:line="137" w:lineRule="exact"/>
              <w:rPr>
                <w:sz w:val="20"/>
                <w:szCs w:val="20"/>
                <w:color w:val="auto"/>
              </w:rPr>
            </w:pPr>
            <w:r>
              <w:rPr>
                <w:rFonts w:ascii="Times New Roman" w:cs="Times New Roman" w:eastAsia="Times New Roman" w:hAnsi="Times New Roman"/>
                <w:sz w:val="12"/>
                <w:szCs w:val="12"/>
                <w:color w:val="0000FF"/>
              </w:rPr>
              <w:t>06/06/2022</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3"/>
            <w:vMerge w:val="restart"/>
          </w:tcPr>
          <w:p>
            <w:pPr>
              <w:ind w:left="2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720" w:type="dxa"/>
            <w:vAlign w:val="bottom"/>
            <w:vMerge w:val="restart"/>
          </w:tcPr>
          <w:p>
            <w:pPr>
              <w:ind w:left="100"/>
              <w:spacing w:after="0" w:line="137" w:lineRule="exact"/>
              <w:rPr>
                <w:sz w:val="20"/>
                <w:szCs w:val="20"/>
                <w:color w:val="auto"/>
              </w:rPr>
            </w:pPr>
            <w:r>
              <w:rPr>
                <w:rFonts w:ascii="Times New Roman" w:cs="Times New Roman" w:eastAsia="Times New Roman" w:hAnsi="Times New Roman"/>
                <w:sz w:val="12"/>
                <w:szCs w:val="12"/>
                <w:color w:val="0000FF"/>
              </w:rPr>
              <w:t>2,649,896</w:t>
            </w: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6"/>
                <w:szCs w:val="6"/>
                <w:color w:val="auto"/>
              </w:rPr>
            </w:pPr>
          </w:p>
        </w:tc>
        <w:tc>
          <w:tcPr>
            <w:tcW w:w="660" w:type="dxa"/>
            <w:vAlign w:val="bottom"/>
            <w:vMerge w:val="restart"/>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gridSpan w:val="2"/>
            <w:vMerge w:val="restart"/>
          </w:tcPr>
          <w:p>
            <w:pPr>
              <w:ind w:left="200"/>
              <w:spacing w:after="0" w:line="137" w:lineRule="exact"/>
              <w:rPr>
                <w:sz w:val="20"/>
                <w:szCs w:val="20"/>
                <w:color w:val="auto"/>
              </w:rPr>
            </w:pPr>
            <w:r>
              <w:rPr>
                <w:rFonts w:ascii="Times New Roman" w:cs="Times New Roman" w:eastAsia="Times New Roman" w:hAnsi="Times New Roman"/>
                <w:sz w:val="12"/>
                <w:szCs w:val="12"/>
                <w:color w:val="0000FF"/>
              </w:rPr>
              <w:t>2,649,896</w:t>
            </w:r>
          </w:p>
        </w:tc>
        <w:tc>
          <w:tcPr>
            <w:tcW w:w="600" w:type="dxa"/>
            <w:vAlign w:val="bottom"/>
            <w:vMerge w:val="restart"/>
          </w:tcPr>
          <w:p>
            <w:pPr>
              <w:ind w:left="30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Rights</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(SAR)</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-1702435</wp:posOffset>
            </wp:positionV>
            <wp:extent cx="28575" cy="1708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081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1. Stock Appreciation Rights (SARs) were granted pursuant to the 2020 Incentive Award Plan. Each SAR Award will vest in full on June 6, 2025. When exercised, the SARs will be settled in cash.</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Brian Farley, Attorney-in-fact 06/08/2022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-5715</wp:posOffset>
            </wp:positionV>
            <wp:extent cx="18649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4995" cy="7620"/>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3" w:lineRule="auto"/>
        <w:tabs>
          <w:tab w:leader="none" w:pos="171"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1602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2022-06-08T18:11:11Z</dcterms:created>
  <dcterms:modified xsi:type="dcterms:W3CDTF">2022-06-08T18:11:11Z</dcterms:modified>
</cp:coreProperties>
</file>