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Farley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1,612,483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cover tax liability upon vesting of the restricted stock units granted on July 15, 2020.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Stortz,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7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2022-07-20T15:48:58Z</dcterms:created>
  <dcterms:modified xsi:type="dcterms:W3CDTF">2022-07-20T15:48:58Z</dcterms:modified>
</cp:coreProperties>
</file>