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641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412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60"/>
            <w:col w:w="8440"/>
          </w:cols>
          <w:pgMar w:left="460" w:top="220" w:right="359" w:bottom="49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Cruz Shane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193"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3"/>
        <w:spacing w:after="0"/>
        <w:rPr>
          <w:sz w:val="20"/>
          <w:szCs w:val="20"/>
          <w:color w:val="auto"/>
        </w:rPr>
      </w:pPr>
      <w:r>
        <w:rPr>
          <w:rFonts w:ascii="Arial" w:cs="Arial" w:eastAsia="Arial" w:hAnsi="Arial"/>
          <w:sz w:val="16"/>
          <w:szCs w:val="16"/>
          <w:color w:val="0000FF"/>
        </w:rPr>
        <w:t>Chief Operating Officer</w:t>
      </w:r>
    </w:p>
    <w:p>
      <w:pPr>
        <w:spacing w:after="0" w:line="324" w:lineRule="exact"/>
        <w:rPr>
          <w:sz w:val="24"/>
          <w:szCs w:val="24"/>
          <w:color w:val="auto"/>
        </w:rPr>
      </w:pPr>
    </w:p>
    <w:p>
      <w:pPr>
        <w:sectPr>
          <w:pgSz w:w="11900" w:h="16838" w:orient="portrait"/>
          <w:cols w:equalWidth="0" w:num="3">
            <w:col w:w="3180" w:space="720"/>
            <w:col w:w="3107" w:space="720"/>
            <w:col w:w="3353"/>
          </w:cols>
          <w:pgMar w:left="460" w:top="220" w:right="359" w:bottom="493"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tcBorders>
              <w:top w:val="single" w:sz="8" w:color="2C2C2C"/>
            </w:tcBorders>
            <w:gridSpan w:val="8"/>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w w:val="96"/>
              </w:rPr>
              <w:t>CHICAGO</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0000FF"/>
              </w:rPr>
              <w:t>IL</w:t>
            </w:r>
          </w:p>
        </w:tc>
        <w:tc>
          <w:tcPr>
            <w:tcW w:w="1000" w:type="dxa"/>
            <w:vAlign w:val="bottom"/>
          </w:tcPr>
          <w:p>
            <w:pPr>
              <w:spacing w:after="0"/>
              <w:rPr>
                <w:sz w:val="4"/>
                <w:szCs w:val="4"/>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60654</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3600" w:type="dxa"/>
            <w:vAlign w:val="bottom"/>
            <w:gridSpan w:val="8"/>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6"/>
          </w:tcPr>
          <w:p>
            <w:pPr>
              <w:jc w:val="right"/>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4"/>
          </w:tcPr>
          <w:p>
            <w:pPr>
              <w:ind w:left="6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660"/>
              <w:spacing w:after="0" w:line="122"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80" w:type="dxa"/>
            <w:vAlign w:val="bottom"/>
            <w:gridSpan w:val="4"/>
          </w:tcPr>
          <w:p>
            <w:pPr>
              <w:ind w:left="6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06/16/2021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Pr>
          <w:p>
            <w:pPr>
              <w:ind w:left="18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234"/>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155,343</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06/16/2021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(2)</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6"/>
                <w:szCs w:val="16"/>
                <w:color w:val="auto"/>
                <w:w w:val="84"/>
              </w:rPr>
              <w:t>$</w:t>
            </w:r>
            <w:r>
              <w:rPr>
                <w:rFonts w:ascii="Arial" w:cs="Arial" w:eastAsia="Arial" w:hAnsi="Arial"/>
                <w:sz w:val="16"/>
                <w:szCs w:val="16"/>
                <w:color w:val="0000FF"/>
                <w:w w:val="84"/>
              </w:rPr>
              <w:t>11.2406</w:t>
            </w:r>
            <w:r>
              <w:rPr>
                <w:rFonts w:ascii="Arial" w:cs="Arial" w:eastAsia="Arial" w:hAnsi="Arial"/>
                <w:sz w:val="20"/>
                <w:szCs w:val="20"/>
                <w:color w:val="008000"/>
                <w:w w:val="84"/>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92,843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06/16/2021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Pr>
          <w:p>
            <w:pPr>
              <w:ind w:left="18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234"/>
              <w:spacing w:after="0"/>
              <w:rPr>
                <w:sz w:val="20"/>
                <w:szCs w:val="20"/>
                <w:color w:val="auto"/>
              </w:rPr>
            </w:pPr>
            <w:r>
              <w:rPr>
                <w:rFonts w:ascii="Arial" w:cs="Arial" w:eastAsia="Arial" w:hAnsi="Arial"/>
                <w:sz w:val="10"/>
                <w:szCs w:val="10"/>
                <w:color w:val="008000"/>
              </w:rPr>
              <w:t>(4)</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62,500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06/16/2021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J</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right"/>
              <w:ind w:right="154"/>
              <w:spacing w:after="0" w:line="299"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47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4"/>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2"/>
              </w:rPr>
              <w:t>Date</w:t>
            </w:r>
          </w:p>
        </w:tc>
        <w:tc>
          <w:tcPr>
            <w:tcW w:w="380" w:type="dxa"/>
            <w:vAlign w:val="bottom"/>
          </w:tcPr>
          <w:p>
            <w:pPr>
              <w:spacing w:after="0"/>
              <w:rPr>
                <w:sz w:val="10"/>
                <w:szCs w:val="10"/>
                <w:color w:val="auto"/>
              </w:rPr>
            </w:pPr>
          </w:p>
        </w:tc>
        <w:tc>
          <w:tcPr>
            <w:tcW w:w="7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06/16/2021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62,500</w:t>
            </w: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(5)</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(5)</w:t>
            </w:r>
          </w:p>
        </w:tc>
        <w:tc>
          <w:tcPr>
            <w:tcW w:w="560" w:type="dxa"/>
            <w:vAlign w:val="bottom"/>
          </w:tcPr>
          <w:p>
            <w:pPr>
              <w:ind w:left="200"/>
              <w:spacing w:after="0"/>
              <w:rPr>
                <w:sz w:val="20"/>
                <w:szCs w:val="20"/>
                <w:color w:val="auto"/>
              </w:rPr>
            </w:pPr>
            <w:r>
              <w:rPr>
                <w:rFonts w:ascii="Arial" w:cs="Arial" w:eastAsia="Arial" w:hAnsi="Arial"/>
                <w:sz w:val="12"/>
                <w:szCs w:val="12"/>
                <w:color w:val="0000FF"/>
              </w:rPr>
              <w:t>LLC</w:t>
            </w:r>
          </w:p>
        </w:tc>
        <w:tc>
          <w:tcPr>
            <w:tcW w:w="720" w:type="dxa"/>
            <w:vAlign w:val="bottom"/>
            <w:vMerge w:val="restart"/>
          </w:tcPr>
          <w:p>
            <w:pPr>
              <w:jc w:val="right"/>
              <w:ind w:right="54"/>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1"/>
                <w:szCs w:val="11"/>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(4)</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1,576,690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0000FF"/>
                <w:w w:val="95"/>
              </w:rPr>
              <w:t>Interests</w:t>
            </w: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560" w:type="dxa"/>
            <w:vAlign w:val="bottom"/>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jc w:val="right"/>
              <w:ind w:right="54"/>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06/16/2021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0000FF"/>
              </w:rPr>
              <w:t>62,500</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62,500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560" w:type="dxa"/>
            <w:vAlign w:val="bottom"/>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jc w:val="right"/>
              <w:ind w:right="54"/>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06/16/2021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62,500</w:t>
            </w: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By: Shane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 Cruz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(6)</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(6)</w:t>
            </w:r>
          </w:p>
        </w:tc>
        <w:tc>
          <w:tcPr>
            <w:tcW w:w="560" w:type="dxa"/>
            <w:vAlign w:val="bottom"/>
            <w:vMerge w:val="continue"/>
          </w:tcPr>
          <w:p>
            <w:pPr>
              <w:spacing w:after="0"/>
              <w:rPr>
                <w:sz w:val="6"/>
                <w:szCs w:val="6"/>
                <w:color w:val="auto"/>
              </w:rPr>
            </w:pPr>
          </w:p>
        </w:tc>
        <w:tc>
          <w:tcPr>
            <w:tcW w:w="720" w:type="dxa"/>
            <w:vAlign w:val="bottom"/>
            <w:vMerge w:val="restart"/>
          </w:tcPr>
          <w:p>
            <w:pPr>
              <w:ind w:left="120"/>
              <w:spacing w:after="0"/>
              <w:rPr>
                <w:sz w:val="20"/>
                <w:szCs w:val="20"/>
                <w:color w:val="auto"/>
              </w:rPr>
            </w:pPr>
            <w:r>
              <w:rPr>
                <w:rFonts w:ascii="Arial" w:cs="Arial" w:eastAsia="Arial" w:hAnsi="Arial"/>
                <w:sz w:val="16"/>
                <w:szCs w:val="16"/>
                <w:color w:val="0000FF"/>
              </w:rPr>
              <w:t>989,643</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989,643</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Trust 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June 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-3162300</wp:posOffset>
            </wp:positionV>
            <wp:extent cx="28575" cy="3167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673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LLC Interest may be redeemed by the Reporting Person at any time for shares of Class A Common Stock on a 1-for-1 basis. Upon the redemption of any LLC Interests, a number of Class B Shares equal to the number of LLC Interests that are redeemed will be cancelled by the Issuer for no consideration</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w:t>
      </w:r>
    </w:p>
    <w:p>
      <w:pPr>
        <w:spacing w:after="0" w:line="48" w:lineRule="exact"/>
        <w:rPr>
          <w:rFonts w:ascii="Arial" w:cs="Arial" w:eastAsia="Arial" w:hAnsi="Arial"/>
          <w:sz w:val="12"/>
          <w:szCs w:val="12"/>
          <w:color w:val="008000"/>
        </w:rPr>
      </w:pPr>
    </w:p>
    <w:p>
      <w:pPr>
        <w:ind w:left="40" w:right="38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These shares were sold in multiple transactions at prices ranging from $11.09 to $11.52.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21" w:lineRule="exact"/>
        <w:rPr>
          <w:rFonts w:ascii="Arial" w:cs="Arial" w:eastAsia="Arial" w:hAnsi="Arial"/>
          <w:sz w:val="12"/>
          <w:szCs w:val="12"/>
          <w:color w:val="008000"/>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spacing w:after="0" w:line="12" w:lineRule="exact"/>
        <w:rPr>
          <w:rFonts w:ascii="Arial" w:cs="Arial" w:eastAsia="Arial" w:hAnsi="Arial"/>
          <w:sz w:val="12"/>
          <w:szCs w:val="12"/>
          <w:color w:val="008000"/>
        </w:rPr>
      </w:pPr>
    </w:p>
    <w:p>
      <w:pPr>
        <w:ind w:left="40" w:right="16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transactions reported herein, 1,243,623 of the Feeder Interests are currently vested. The remaining Feeder Interests will vest in four equal annual installments beginning on September 13, 2021 and have no expiration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Feeder Interests are fully vested and currently exercisable.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9"/>
              </w:rPr>
              <w:t>/s/ Travis J. Matthiesen,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06/21/2021</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Attorney-in-fact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98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2021-06-21T17:28:02Z</dcterms:created>
  <dcterms:modified xsi:type="dcterms:W3CDTF">2021-06-21T17:28:02Z</dcterms:modified>
</cp:coreProperties>
</file>