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1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8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5328920</wp:posOffset>
            </wp:positionH>
            <wp:positionV relativeFrom="paragraph">
              <wp:posOffset>-631190</wp:posOffset>
            </wp:positionV>
            <wp:extent cx="58420" cy="644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4041140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-1571625</wp:posOffset>
            </wp:positionH>
            <wp:positionV relativeFrom="paragraph">
              <wp:posOffset>16510</wp:posOffset>
            </wp:positionV>
            <wp:extent cx="7045960" cy="46399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380"/>
            <w:col w:w="862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Pramoda Anita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21,385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deferred stock unit represents the right to receive one share of Class A common stock of the Issuer.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stock units vest in four quarterly installments, with the first such quarterly installment vesting on December 14, 2021, and will be settled in shares of the Issuer's Class A common stock either (i) on a date selected by the reporting person pursuant to the Issuer's Directors Deferred Compensation Plan (the "Plan"), or (ii) as otherwise provided by the Plan.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242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Anita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Pramoda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16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573574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2021-09-16T16:28:28Z</dcterms:created>
  <dcterms:modified xsi:type="dcterms:W3CDTF">2021-09-16T16:28:28Z</dcterms:modified>
</cp:coreProperties>
</file>