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6"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4" w:lineRule="exact"/>
        <w:rPr>
          <w:sz w:val="24"/>
          <w:szCs w:val="24"/>
          <w:color w:val="auto"/>
        </w:rPr>
      </w:pPr>
    </w:p>
    <w:p>
      <w:pPr>
        <w:ind w:left="340"/>
        <w:spacing w:after="0" w:line="23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-220980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140" w:type="dxa"/>
            <w:vAlign w:val="bottom"/>
          </w:tcPr>
          <w:p>
            <w:pPr>
              <w:jc w:val="center"/>
              <w:ind w:right="34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41"/>
              <w:spacing w:after="0" w:line="12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61"/>
              <w:spacing w:after="0" w:line="178"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4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-572770</wp:posOffset>
            </wp:positionV>
            <wp:extent cx="7620" cy="573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7340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-580390</wp:posOffset>
            </wp:positionV>
            <wp:extent cx="7620" cy="581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81025"/>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-557530</wp:posOffset>
            </wp:positionV>
            <wp:extent cx="1271270" cy="534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1270" cy="53467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-1727835</wp:posOffset>
            </wp:positionH>
            <wp:positionV relativeFrom="paragraph">
              <wp:posOffset>29210</wp:posOffset>
            </wp:positionV>
            <wp:extent cx="6975475" cy="1651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5475" cy="165100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40" w:space="580"/>
            <w:col w:w="8360"/>
          </w:cols>
          <w:pgMar w:left="460" w:top="218"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NVX Holdings, Inc.</w:t>
        </w:r>
      </w:hyperlink>
    </w:p>
    <w:p>
      <w:pPr>
        <w:spacing w:after="0" w:line="285"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C/O NVX HOLDINGS</w:t>
      </w:r>
    </w:p>
    <w:p>
      <w:pPr>
        <w:spacing w:after="0" w:line="60"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214 WEST HURON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GoHealth,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GOCO</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0000FF"/>
        </w:rPr>
        <w:t>07/17/2020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4" w:right="780" w:hanging="4"/>
        <w:spacing w:after="0" w:line="248" w:lineRule="auto"/>
        <w:tabs>
          <w:tab w:leader="none" w:pos="14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2" w:lineRule="exact"/>
        <w:rPr>
          <w:sz w:val="24"/>
          <w:szCs w:val="24"/>
          <w:color w:val="auto"/>
        </w:rPr>
      </w:pPr>
    </w:p>
    <w:p>
      <w:pPr>
        <w:ind w:left="524"/>
        <w:spacing w:after="0"/>
        <w:tabs>
          <w:tab w:leader="none" w:pos="1764" w:val="left"/>
          <w:tab w:leader="none" w:pos="2084"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65"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24"/>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79" w:lineRule="exact"/>
        <w:rPr>
          <w:sz w:val="24"/>
          <w:szCs w:val="24"/>
          <w:color w:val="auto"/>
        </w:rPr>
      </w:pPr>
    </w:p>
    <w:p>
      <w:pPr>
        <w:sectPr>
          <w:pgSz w:w="11900" w:h="16838" w:orient="portrait"/>
          <w:cols w:equalWidth="0" w:num="3">
            <w:col w:w="3180" w:space="720"/>
            <w:col w:w="3116" w:space="720"/>
            <w:col w:w="3344"/>
          </w:cols>
          <w:pgMar w:left="460" w:top="218" w:right="359" w:bottom="1440" w:gutter="0" w:footer="0" w:header="0"/>
          <w:type w:val="continuous"/>
        </w:sectPr>
      </w:pPr>
    </w:p>
    <w:tbl>
      <w:tblPr>
        <w:tblLayout w:type="fixed"/>
        <w:tblInd w:w="0" w:type="dxa"/>
        <w:tblCellMar>
          <w:top w:w="0" w:type="dxa"/>
          <w:left w:w="0" w:type="dxa"/>
          <w:bottom w:w="0" w:type="dxa"/>
          <w:right w:w="0" w:type="dxa"/>
        </w:tblCellMar>
      </w:tblPr>
      <w:tr>
        <w:trPr>
          <w:trHeight w:val="24"/>
        </w:trPr>
        <w:tc>
          <w:tcPr>
            <w:tcW w:w="100" w:type="dxa"/>
            <w:vAlign w:val="bottom"/>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980" w:type="dxa"/>
            <w:vAlign w:val="bottom"/>
            <w:shd w:val="clear" w:color="auto" w:fill="9A9A9A"/>
          </w:tcPr>
          <w:p>
            <w:pPr>
              <w:spacing w:after="0"/>
              <w:rPr>
                <w:sz w:val="2"/>
                <w:szCs w:val="2"/>
                <w:color w:val="auto"/>
              </w:rPr>
            </w:pPr>
          </w:p>
        </w:tc>
        <w:tc>
          <w:tcPr>
            <w:tcW w:w="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3280" w:type="dxa"/>
            <w:vAlign w:val="bottom"/>
            <w:gridSpan w:val="7"/>
            <w:vMerge w:val="restart"/>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42"/>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80" w:type="dxa"/>
            <w:vAlign w:val="bottom"/>
            <w:gridSpan w:val="7"/>
            <w:vMerge w:val="continue"/>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4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66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740" w:type="dxa"/>
            <w:vAlign w:val="bottom"/>
            <w:gridSpan w:val="5"/>
            <w:vMerge w:val="restart"/>
          </w:tcPr>
          <w:p>
            <w:pPr>
              <w:ind w:left="40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6"/>
                <w:szCs w:val="16"/>
                <w:color w:val="0000FF"/>
              </w:rPr>
              <w:t>CHICAGO</w:t>
            </w:r>
          </w:p>
        </w:tc>
        <w:tc>
          <w:tcPr>
            <w:tcW w:w="1100" w:type="dxa"/>
            <w:vAlign w:val="bottom"/>
            <w:vMerge w:val="restart"/>
          </w:tcPr>
          <w:p>
            <w:pPr>
              <w:spacing w:after="0"/>
              <w:rPr>
                <w:sz w:val="20"/>
                <w:szCs w:val="20"/>
                <w:color w:val="auto"/>
              </w:rPr>
            </w:pPr>
            <w:r>
              <w:rPr>
                <w:rFonts w:ascii="Arial" w:cs="Arial" w:eastAsia="Arial" w:hAnsi="Arial"/>
                <w:sz w:val="16"/>
                <w:szCs w:val="16"/>
                <w:color w:val="0000FF"/>
              </w:rPr>
              <w:t>IL</w:t>
            </w:r>
          </w:p>
        </w:tc>
        <w:tc>
          <w:tcPr>
            <w:tcW w:w="980" w:type="dxa"/>
            <w:vAlign w:val="bottom"/>
            <w:vMerge w:val="restart"/>
          </w:tcPr>
          <w:p>
            <w:pPr>
              <w:ind w:left="140"/>
              <w:spacing w:after="0"/>
              <w:rPr>
                <w:sz w:val="20"/>
                <w:szCs w:val="20"/>
                <w:color w:val="auto"/>
              </w:rPr>
            </w:pPr>
            <w:r>
              <w:rPr>
                <w:rFonts w:ascii="Arial" w:cs="Arial" w:eastAsia="Arial" w:hAnsi="Arial"/>
                <w:sz w:val="16"/>
                <w:szCs w:val="16"/>
                <w:color w:val="0000FF"/>
              </w:rPr>
              <w:t>60054</w:t>
            </w: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40" w:type="dxa"/>
            <w:vAlign w:val="bottom"/>
            <w:gridSpan w:val="5"/>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98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(State)</w:t>
            </w:r>
          </w:p>
        </w:tc>
        <w:tc>
          <w:tcPr>
            <w:tcW w:w="980" w:type="dxa"/>
            <w:vAlign w:val="bottom"/>
          </w:tcPr>
          <w:p>
            <w:pPr>
              <w:ind w:left="14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3400" w:type="dxa"/>
            <w:vAlign w:val="bottom"/>
            <w:tcBorders>
              <w:bottom w:val="single" w:sz="8" w:color="2C2C2C"/>
            </w:tcBorders>
            <w:gridSpan w:val="7"/>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1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380" w:type="dxa"/>
            <w:vAlign w:val="bottom"/>
            <w:tcBorders>
              <w:top w:val="single" w:sz="8" w:color="2C2C2C"/>
            </w:tcBorders>
            <w:gridSpan w:val="14"/>
          </w:tcPr>
          <w:p>
            <w:pPr>
              <w:ind w:left="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2420" w:type="dxa"/>
            <w:vAlign w:val="bottom"/>
            <w:tcBorders>
              <w:bottom w:val="single" w:sz="8" w:color="2C2C2C"/>
            </w:tcBorders>
            <w:gridSpan w:val="4"/>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5"/>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42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98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Arial" w:cs="Arial" w:eastAsia="Arial" w:hAnsi="Arial"/>
                <w:sz w:val="11"/>
                <w:szCs w:val="11"/>
                <w:b w:val="1"/>
                <w:bCs w:val="1"/>
                <w:color w:val="auto"/>
              </w:rPr>
              <w:t>2. Transaction</w:t>
            </w:r>
          </w:p>
        </w:tc>
        <w:tc>
          <w:tcPr>
            <w:tcW w:w="180" w:type="dxa"/>
            <w:vAlign w:val="bottom"/>
          </w:tcPr>
          <w:p>
            <w:pPr>
              <w:spacing w:after="0"/>
              <w:rPr>
                <w:sz w:val="13"/>
                <w:szCs w:val="13"/>
                <w:color w:val="auto"/>
              </w:rPr>
            </w:pPr>
          </w:p>
        </w:tc>
        <w:tc>
          <w:tcPr>
            <w:tcW w:w="90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6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900" w:type="dxa"/>
            <w:vAlign w:val="bottom"/>
          </w:tcPr>
          <w:p>
            <w:pPr>
              <w:spacing w:after="0" w:line="119"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9"/>
              </w:rPr>
              <w:t>Transaction</w:t>
            </w:r>
          </w:p>
        </w:tc>
        <w:tc>
          <w:tcPr>
            <w:tcW w:w="2040" w:type="dxa"/>
            <w:vAlign w:val="bottom"/>
            <w:gridSpan w:val="5"/>
          </w:tcPr>
          <w:p>
            <w:pPr>
              <w:ind w:left="12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4"/>
          </w:tcPr>
          <w:p>
            <w:pPr>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900" w:type="dxa"/>
            <w:vAlign w:val="bottom"/>
          </w:tcPr>
          <w:p>
            <w:pPr>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76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9"/>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22"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gridSpan w:val="4"/>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0"/>
                <w:szCs w:val="10"/>
                <w:color w:val="auto"/>
              </w:rPr>
            </w:pPr>
          </w:p>
        </w:tc>
        <w:tc>
          <w:tcPr>
            <w:tcW w:w="50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jc w:val="right"/>
              <w:ind w:right="231"/>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420" w:type="dxa"/>
            <w:vAlign w:val="bottom"/>
            <w:tcBorders>
              <w:bottom w:val="single" w:sz="8" w:color="2C2C2C"/>
            </w:tcBorders>
            <w:gridSpan w:val="4"/>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7"/>
        </w:trPr>
        <w:tc>
          <w:tcPr>
            <w:tcW w:w="2420" w:type="dxa"/>
            <w:vAlign w:val="bottom"/>
            <w:tcBorders>
              <w:bottom w:val="single" w:sz="8" w:color="2C2C2C"/>
            </w:tcBorders>
            <w:gridSpan w:val="4"/>
          </w:tcPr>
          <w:p>
            <w:pPr>
              <w:ind w:left="80"/>
              <w:spacing w:after="0"/>
              <w:rPr>
                <w:sz w:val="20"/>
                <w:szCs w:val="20"/>
                <w:color w:val="auto"/>
              </w:rPr>
            </w:pPr>
            <w:r>
              <w:rPr>
                <w:rFonts w:ascii="Arial" w:cs="Arial" w:eastAsia="Arial" w:hAnsi="Arial"/>
                <w:sz w:val="16"/>
                <w:szCs w:val="16"/>
                <w:color w:val="0000FF"/>
              </w:rPr>
              <w:t>Class B Common Stock</w:t>
            </w: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6"/>
                <w:szCs w:val="16"/>
                <w:color w:val="0000FF"/>
                <w:w w:val="92"/>
              </w:rPr>
              <w:t>07/17/2020</w:t>
            </w:r>
          </w:p>
        </w:tc>
        <w:tc>
          <w:tcPr>
            <w:tcW w:w="1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26"/>
              <w:spacing w:after="0"/>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(1)</w:t>
            </w:r>
          </w:p>
        </w:tc>
        <w:tc>
          <w:tcPr>
            <w:tcW w:w="940" w:type="dxa"/>
            <w:vAlign w:val="bottom"/>
            <w:tcBorders>
              <w:bottom w:val="single" w:sz="8" w:color="2C2C2C"/>
            </w:tcBorders>
            <w:gridSpan w:val="2"/>
          </w:tcPr>
          <w:p>
            <w:pPr>
              <w:ind w:left="120"/>
              <w:spacing w:after="0"/>
              <w:rPr>
                <w:sz w:val="20"/>
                <w:szCs w:val="20"/>
                <w:color w:val="auto"/>
              </w:rPr>
            </w:pPr>
            <w:r>
              <w:rPr>
                <w:rFonts w:ascii="Arial" w:cs="Arial" w:eastAsia="Arial" w:hAnsi="Arial"/>
                <w:sz w:val="16"/>
                <w:szCs w:val="16"/>
                <w:color w:val="0000FF"/>
                <w:w w:val="99"/>
              </w:rPr>
              <w:t>10,980,939</w:t>
            </w:r>
          </w:p>
        </w:tc>
        <w:tc>
          <w:tcPr>
            <w:tcW w:w="30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5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6"/>
                <w:szCs w:val="16"/>
                <w:color w:val="0000FF"/>
              </w:rPr>
              <w:t>92,677,981</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380" w:type="dxa"/>
            <w:vAlign w:val="bottom"/>
            <w:gridSpan w:val="14"/>
          </w:tcPr>
          <w:p>
            <w:pPr>
              <w:ind w:left="2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720" w:type="dxa"/>
            <w:vAlign w:val="bottom"/>
            <w:gridSpan w:val="13"/>
          </w:tcPr>
          <w:p>
            <w:pPr>
              <w:ind w:left="9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00" w:type="dxa"/>
            <w:vAlign w:val="bottom"/>
          </w:tcPr>
          <w:p>
            <w:pPr>
              <w:ind w:left="14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6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50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7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Conversion  Date</w:t>
            </w: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0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3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5"/>
          </w:tcPr>
          <w:p>
            <w:pPr>
              <w:ind w:left="8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4"/>
              </w:rPr>
              <w:t>or Exercise</w:t>
            </w:r>
          </w:p>
        </w:tc>
        <w:tc>
          <w:tcPr>
            <w:tcW w:w="110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0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13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gridSpan w:val="4"/>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36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0"/>
                <w:szCs w:val="10"/>
                <w:color w:val="auto"/>
              </w:rPr>
            </w:pPr>
          </w:p>
        </w:tc>
        <w:tc>
          <w:tcPr>
            <w:tcW w:w="10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w w:val="98"/>
              </w:rPr>
              <w:t>(Instr. 3 and 4)</w:t>
            </w:r>
          </w:p>
        </w:tc>
        <w:tc>
          <w:tcPr>
            <w:tcW w:w="60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gridSpan w:val="4"/>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gridSpan w:val="4"/>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Following</w:t>
            </w:r>
          </w:p>
        </w:tc>
        <w:tc>
          <w:tcPr>
            <w:tcW w:w="1420" w:type="dxa"/>
            <w:vAlign w:val="bottom"/>
            <w:gridSpan w:val="5"/>
          </w:tcPr>
          <w:p>
            <w:pPr>
              <w:ind w:left="80"/>
              <w:spacing w:after="0" w:line="122"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9"/>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vMerge w:val="restart"/>
          </w:tcPr>
          <w:p>
            <w:pPr>
              <w:ind w:left="60"/>
              <w:spacing w:after="0" w:line="122" w:lineRule="exact"/>
              <w:rPr>
                <w:sz w:val="20"/>
                <w:szCs w:val="20"/>
                <w:color w:val="auto"/>
              </w:rPr>
            </w:pPr>
            <w:r>
              <w:rPr>
                <w:rFonts w:ascii="Arial" w:cs="Arial" w:eastAsia="Arial" w:hAnsi="Arial"/>
                <w:sz w:val="11"/>
                <w:szCs w:val="11"/>
                <w:b w:val="1"/>
                <w:bCs w:val="1"/>
                <w:color w:val="auto"/>
                <w:w w:val="95"/>
              </w:rPr>
              <w:t>Reported</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line="122" w:lineRule="exact"/>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w w:val="91"/>
              </w:rPr>
              <w:t>(A)</w:t>
            </w:r>
          </w:p>
        </w:tc>
        <w:tc>
          <w:tcPr>
            <w:tcW w:w="900" w:type="dxa"/>
            <w:vAlign w:val="bottom"/>
          </w:tcPr>
          <w:p>
            <w:pPr>
              <w:ind w:left="12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300" w:type="dxa"/>
            <w:vAlign w:val="bottom"/>
          </w:tcPr>
          <w:p>
            <w:pPr>
              <w:spacing w:after="0"/>
              <w:rPr>
                <w:sz w:val="12"/>
                <w:szCs w:val="12"/>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LLC</w:t>
            </w:r>
          </w:p>
        </w:tc>
        <w:tc>
          <w:tcPr>
            <w:tcW w:w="66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restart"/>
          </w:tcPr>
          <w:p>
            <w:pPr>
              <w:ind w:left="120"/>
              <w:spacing w:after="0"/>
              <w:rPr>
                <w:sz w:val="20"/>
                <w:szCs w:val="20"/>
                <w:color w:val="auto"/>
              </w:rPr>
            </w:pPr>
            <w:r>
              <w:rPr>
                <w:rFonts w:ascii="Arial" w:cs="Arial" w:eastAsia="Arial" w:hAnsi="Arial"/>
                <w:sz w:val="12"/>
                <w:szCs w:val="12"/>
                <w:color w:val="0000FF"/>
                <w:w w:val="99"/>
              </w:rPr>
              <w:t>10,980,939</w:t>
            </w:r>
            <w:r>
              <w:rPr>
                <w:rFonts w:ascii="Arial" w:cs="Arial" w:eastAsia="Arial" w:hAnsi="Arial"/>
                <w:sz w:val="20"/>
                <w:szCs w:val="20"/>
                <w:color w:val="008000"/>
                <w:w w:val="99"/>
                <w:vertAlign w:val="superscript"/>
              </w:rPr>
              <w:t>(3)</w:t>
            </w:r>
          </w:p>
        </w:tc>
        <w:tc>
          <w:tcPr>
            <w:tcW w:w="760" w:type="dxa"/>
            <w:vAlign w:val="bottom"/>
            <w:gridSpan w:val="2"/>
            <w:vMerge w:val="restart"/>
          </w:tcPr>
          <w:p>
            <w:pPr>
              <w:jc w:val="right"/>
              <w:ind w:right="326"/>
              <w:spacing w:after="0"/>
              <w:rPr>
                <w:sz w:val="20"/>
                <w:szCs w:val="20"/>
                <w:color w:val="auto"/>
              </w:rPr>
            </w:pPr>
            <w:r>
              <w:rPr>
                <w:rFonts w:ascii="Arial" w:cs="Arial" w:eastAsia="Arial" w:hAnsi="Arial"/>
                <w:sz w:val="10"/>
                <w:szCs w:val="10"/>
                <w:color w:val="008000"/>
              </w:rPr>
              <w:t>(2)</w:t>
            </w:r>
          </w:p>
        </w:tc>
        <w:tc>
          <w:tcPr>
            <w:tcW w:w="600" w:type="dxa"/>
            <w:vAlign w:val="bottom"/>
            <w:vMerge w:val="restart"/>
          </w:tcPr>
          <w:p>
            <w:pPr>
              <w:ind w:left="220"/>
              <w:spacing w:after="0"/>
              <w:rPr>
                <w:sz w:val="20"/>
                <w:szCs w:val="20"/>
                <w:color w:val="auto"/>
              </w:rPr>
            </w:pPr>
            <w:r>
              <w:rPr>
                <w:rFonts w:ascii="Arial" w:cs="Arial" w:eastAsia="Arial" w:hAnsi="Arial"/>
                <w:sz w:val="10"/>
                <w:szCs w:val="10"/>
                <w:color w:val="008000"/>
              </w:rPr>
              <w:t>(2)</w:t>
            </w:r>
          </w:p>
        </w:tc>
        <w:tc>
          <w:tcPr>
            <w:tcW w:w="640" w:type="dxa"/>
            <w:vAlign w:val="bottom"/>
            <w:gridSpan w:val="2"/>
          </w:tcPr>
          <w:p>
            <w:pPr>
              <w:ind w:left="120"/>
              <w:spacing w:after="0"/>
              <w:rPr>
                <w:sz w:val="20"/>
                <w:szCs w:val="20"/>
                <w:color w:val="auto"/>
              </w:rPr>
            </w:pPr>
            <w:r>
              <w:rPr>
                <w:rFonts w:ascii="Arial" w:cs="Arial" w:eastAsia="Arial" w:hAnsi="Arial"/>
                <w:sz w:val="12"/>
                <w:szCs w:val="12"/>
                <w:color w:val="0000FF"/>
              </w:rPr>
              <w:t>Class A</w:t>
            </w:r>
          </w:p>
        </w:tc>
        <w:tc>
          <w:tcPr>
            <w:tcW w:w="800" w:type="dxa"/>
            <w:vAlign w:val="bottom"/>
            <w:gridSpan w:val="2"/>
            <w:vMerge w:val="restart"/>
          </w:tcPr>
          <w:p>
            <w:pPr>
              <w:ind w:left="20"/>
              <w:spacing w:after="0"/>
              <w:rPr>
                <w:sz w:val="20"/>
                <w:szCs w:val="20"/>
                <w:color w:val="auto"/>
              </w:rPr>
            </w:pPr>
            <w:r>
              <w:rPr>
                <w:rFonts w:ascii="Arial" w:cs="Arial" w:eastAsia="Arial" w:hAnsi="Arial"/>
                <w:sz w:val="16"/>
                <w:szCs w:val="16"/>
                <w:color w:val="0000FF"/>
                <w:w w:val="94"/>
              </w:rPr>
              <w:t>10,980,939</w:t>
            </w:r>
          </w:p>
        </w:tc>
        <w:tc>
          <w:tcPr>
            <w:tcW w:w="660" w:type="dxa"/>
            <w:vAlign w:val="bottom"/>
            <w:vMerge w:val="restart"/>
          </w:tcPr>
          <w:p>
            <w:pPr>
              <w:ind w:left="1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19.95</w:t>
            </w:r>
            <w:r>
              <w:rPr>
                <w:rFonts w:ascii="Arial" w:cs="Arial" w:eastAsia="Arial" w:hAnsi="Arial"/>
                <w:sz w:val="20"/>
                <w:szCs w:val="20"/>
                <w:color w:val="008000"/>
                <w:vertAlign w:val="superscript"/>
              </w:rPr>
              <w:t>(3)</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100" w:type="dxa"/>
            <w:vAlign w:val="bottom"/>
            <w:vMerge w:val="restart"/>
          </w:tcPr>
          <w:p>
            <w:pPr>
              <w:ind w:left="320"/>
              <w:spacing w:after="0" w:line="134" w:lineRule="exact"/>
              <w:rPr>
                <w:sz w:val="20"/>
                <w:szCs w:val="20"/>
                <w:color w:val="auto"/>
              </w:rPr>
            </w:pPr>
            <w:r>
              <w:rPr>
                <w:rFonts w:ascii="Arial" w:cs="Arial" w:eastAsia="Arial" w:hAnsi="Arial"/>
                <w:sz w:val="12"/>
                <w:szCs w:val="12"/>
                <w:color w:val="0000FF"/>
              </w:rPr>
              <w:t>07/17/2020</w:t>
            </w: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restart"/>
          </w:tcPr>
          <w:p>
            <w:pPr>
              <w:ind w:left="140"/>
              <w:spacing w:after="0" w:line="134" w:lineRule="exact"/>
              <w:rPr>
                <w:sz w:val="20"/>
                <w:szCs w:val="20"/>
                <w:color w:val="auto"/>
              </w:rPr>
            </w:pPr>
            <w:r>
              <w:rPr>
                <w:rFonts w:ascii="Arial" w:cs="Arial" w:eastAsia="Arial" w:hAnsi="Arial"/>
                <w:sz w:val="12"/>
                <w:szCs w:val="12"/>
                <w:color w:val="0000FF"/>
              </w:rPr>
              <w:t>D</w:t>
            </w:r>
          </w:p>
        </w:tc>
        <w:tc>
          <w:tcPr>
            <w:tcW w:w="1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gridSpan w:val="2"/>
            <w:vMerge w:val="restart"/>
          </w:tcPr>
          <w:p>
            <w:pPr>
              <w:ind w:left="80"/>
              <w:spacing w:after="0" w:line="134" w:lineRule="exact"/>
              <w:rPr>
                <w:sz w:val="20"/>
                <w:szCs w:val="20"/>
                <w:color w:val="auto"/>
              </w:rPr>
            </w:pPr>
            <w:r>
              <w:rPr>
                <w:rFonts w:ascii="Arial" w:cs="Arial" w:eastAsia="Arial" w:hAnsi="Arial"/>
                <w:sz w:val="12"/>
                <w:szCs w:val="12"/>
                <w:color w:val="0000FF"/>
              </w:rPr>
              <w:t>Common</w:t>
            </w: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60" w:type="dxa"/>
            <w:vAlign w:val="bottom"/>
            <w:gridSpan w:val="2"/>
            <w:vMerge w:val="restart"/>
          </w:tcPr>
          <w:p>
            <w:pPr>
              <w:ind w:left="160"/>
              <w:spacing w:after="0" w:line="134" w:lineRule="exact"/>
              <w:rPr>
                <w:sz w:val="20"/>
                <w:szCs w:val="20"/>
                <w:color w:val="auto"/>
              </w:rPr>
            </w:pPr>
            <w:r>
              <w:rPr>
                <w:rFonts w:ascii="Arial" w:cs="Arial" w:eastAsia="Arial" w:hAnsi="Arial"/>
                <w:sz w:val="12"/>
                <w:szCs w:val="12"/>
                <w:color w:val="0000FF"/>
              </w:rPr>
              <w:t>92,677,981</w:t>
            </w:r>
          </w:p>
        </w:tc>
        <w:tc>
          <w:tcPr>
            <w:tcW w:w="620" w:type="dxa"/>
            <w:vAlign w:val="bottom"/>
            <w:vMerge w:val="restart"/>
          </w:tcPr>
          <w:p>
            <w:pPr>
              <w:ind w:left="320"/>
              <w:spacing w:after="0" w:line="134"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Interests</w:t>
            </w:r>
          </w:p>
        </w:tc>
        <w:tc>
          <w:tcPr>
            <w:tcW w:w="6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66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color w:val="0000FF"/>
              </w:rPr>
              <w:t>Stock</w:t>
            </w: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-2502535</wp:posOffset>
            </wp:positionV>
            <wp:extent cx="7037070" cy="2541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7070" cy="254190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1" w:lineRule="exact"/>
        <w:rPr>
          <w:sz w:val="24"/>
          <w:szCs w:val="24"/>
          <w:color w:val="auto"/>
        </w:rPr>
      </w:pPr>
    </w:p>
    <w:p>
      <w:pPr>
        <w:ind w:left="160" w:hanging="126"/>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the cancellation for no consideration of Class B Common Stock in connection with the redemption and conversion of the LLC Interests into shares of Class A Common Stock.</w:t>
      </w:r>
    </w:p>
    <w:p>
      <w:pPr>
        <w:spacing w:after="0" w:line="45" w:lineRule="exact"/>
        <w:rPr>
          <w:rFonts w:ascii="Arial" w:cs="Arial" w:eastAsia="Arial" w:hAnsi="Arial"/>
          <w:sz w:val="12"/>
          <w:szCs w:val="12"/>
          <w:color w:val="008000"/>
        </w:rPr>
      </w:pPr>
    </w:p>
    <w:p>
      <w:pPr>
        <w:ind w:left="160" w:hanging="126"/>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LLC Interests may be redeemed by the Reporting Person at any time on or following the closing of the Initial Public Offering for shares of Class A Common Stock on a 1-to-1 basis.</w:t>
      </w:r>
    </w:p>
    <w:p>
      <w:pPr>
        <w:spacing w:after="0" w:line="45" w:lineRule="exact"/>
        <w:rPr>
          <w:rFonts w:ascii="Arial" w:cs="Arial" w:eastAsia="Arial" w:hAnsi="Arial"/>
          <w:sz w:val="12"/>
          <w:szCs w:val="12"/>
          <w:color w:val="008000"/>
        </w:rPr>
      </w:pPr>
    </w:p>
    <w:p>
      <w:pPr>
        <w:ind w:left="40" w:right="480" w:hanging="6"/>
        <w:spacing w:after="0" w:line="262" w:lineRule="auto"/>
        <w:tabs>
          <w:tab w:leader="none" w:pos="16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described in the prospectus filed by the Issuer with the Securities and Exchange Commission, upon the closing of the offering, the Issuer redeemed the LLC Interests from the reporting person in exchange for an aggregate consideration of $19.95 per LLC Interest.</w:t>
      </w:r>
    </w:p>
    <w:p>
      <w:pPr>
        <w:spacing w:after="0" w:line="8"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9"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NVX Holdings, Inc., By: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-9525</wp:posOffset>
            </wp:positionV>
            <wp:extent cx="11334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347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Clinton P. Jones, Chief Executive 07/21/2020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-13335</wp:posOffset>
            </wp:positionV>
            <wp:extent cx="18542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54200"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-13335</wp:posOffset>
            </wp:positionV>
            <wp:extent cx="2889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8925" cy="7620"/>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4"/>
          <w:szCs w:val="24"/>
          <w:color w:val="auto"/>
        </w:rPr>
      </w:pPr>
    </w:p>
    <w:p>
      <w:pPr>
        <w:jc w:val="both"/>
        <w:ind w:left="40" w:right="4000" w:hanging="6"/>
        <w:spacing w:after="0" w:line="316" w:lineRule="auto"/>
        <w:tabs>
          <w:tab w:leader="none" w:pos="169"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18011" TargetMode="External"/><Relationship Id="rId14"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2020-07-21T18:46:17Z</dcterms:created>
  <dcterms:modified xsi:type="dcterms:W3CDTF">2020-07-21T18:46:17Z</dcterms:modified>
</cp:coreProperties>
</file>