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13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13753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Burd Brad</w:t>
              </w:r>
            </w:hyperlink>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0000EE"/>
            </w:tcBorders>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02/09/2024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0"/>
                <w:szCs w:val="10"/>
                <w:color w:val="auto"/>
              </w:rPr>
              <w:t>(Last)</w:t>
            </w:r>
          </w:p>
        </w:tc>
        <w:tc>
          <w:tcPr>
            <w:tcW w:w="1160" w:type="dxa"/>
            <w:vAlign w:val="bottom"/>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222 W MERCHANDISE MART PLAZA, SUITE 1750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2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CHICAGO</w:t>
            </w:r>
          </w:p>
        </w:tc>
        <w:tc>
          <w:tcPr>
            <w:tcW w:w="11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IL</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60654</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40" w:type="dxa"/>
            <w:vAlign w:val="bottom"/>
            <w:gridSpan w:val="5"/>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GoHealth,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GOCO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2C2C2C"/>
            </w:tcBorders>
          </w:tcPr>
          <w:p>
            <w:pPr>
              <w:spacing w:after="0"/>
              <w:rPr>
                <w:sz w:val="19"/>
                <w:szCs w:val="19"/>
                <w:color w:val="auto"/>
              </w:rPr>
            </w:pPr>
          </w:p>
        </w:tc>
        <w:tc>
          <w:tcPr>
            <w:tcW w:w="100" w:type="dxa"/>
            <w:vAlign w:val="bottom"/>
            <w:tcBorders>
              <w:top w:val="single" w:sz="8" w:color="0000EE"/>
              <w:bottom w:val="single" w:sz="8" w:color="2C2C2C"/>
            </w:tcBorders>
          </w:tcPr>
          <w:p>
            <w:pPr>
              <w:spacing w:after="0"/>
              <w:rPr>
                <w:sz w:val="19"/>
                <w:szCs w:val="19"/>
                <w:color w:val="auto"/>
              </w:rPr>
            </w:pPr>
          </w:p>
        </w:tc>
        <w:tc>
          <w:tcPr>
            <w:tcW w:w="320" w:type="dxa"/>
            <w:vAlign w:val="bottom"/>
            <w:tcBorders>
              <w:top w:val="single" w:sz="8" w:color="0000EE"/>
              <w:bottom w:val="single" w:sz="8" w:color="2C2C2C"/>
            </w:tcBorders>
          </w:tcPr>
          <w:p>
            <w:pPr>
              <w:spacing w:after="0"/>
              <w:rPr>
                <w:sz w:val="19"/>
                <w:szCs w:val="19"/>
                <w:color w:val="auto"/>
              </w:rPr>
            </w:pPr>
          </w:p>
        </w:tc>
        <w:tc>
          <w:tcPr>
            <w:tcW w:w="560" w:type="dxa"/>
            <w:vAlign w:val="bottom"/>
            <w:tcBorders>
              <w:top w:val="single" w:sz="8" w:color="0000EE"/>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11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6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0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gridSpan w:val="2"/>
          </w:tcPr>
          <w:p>
            <w:pPr>
              <w:ind w:left="10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Chief Legal Officer</w:t>
            </w:r>
          </w:p>
        </w:tc>
        <w:tc>
          <w:tcPr>
            <w:tcW w:w="140" w:type="dxa"/>
            <w:vAlign w:val="bottom"/>
          </w:tcPr>
          <w:p>
            <w:pPr>
              <w:spacing w:after="0"/>
              <w:rPr>
                <w:sz w:val="16"/>
                <w:szCs w:val="16"/>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80" w:lineRule="exact"/>
        <w:rPr>
          <w:sz w:val="24"/>
          <w:szCs w:val="24"/>
          <w:color w:val="auto"/>
        </w:rPr>
      </w:pPr>
    </w:p>
    <w:p>
      <w:pPr>
        <w:sectPr>
          <w:pgSz w:w="11900" w:h="16838" w:orient="portrait"/>
          <w:cols w:equalWidth="0" w:num="2">
            <w:col w:w="4660" w:space="300"/>
            <w:col w:w="606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30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jc w:val="right"/>
              <w:ind w:right="940"/>
              <w:spacing w:after="0"/>
              <w:rPr>
                <w:sz w:val="20"/>
                <w:szCs w:val="20"/>
                <w:color w:val="auto"/>
              </w:rPr>
            </w:pPr>
            <w:r>
              <w:rPr>
                <w:rFonts w:ascii="Times New Roman" w:cs="Times New Roman" w:eastAsia="Times New Roman" w:hAnsi="Times New Roman"/>
                <w:sz w:val="13"/>
                <w:szCs w:val="13"/>
                <w:color w:val="0000FF"/>
              </w:rPr>
              <w:t>15,910</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30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740" w:type="dxa"/>
            <w:vAlign w:val="bottom"/>
            <w:gridSpan w:val="5"/>
          </w:tcPr>
          <w:p>
            <w:pPr>
              <w:ind w:left="62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66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Blizzard Management Feeder LLC Interests</w:t>
            </w:r>
          </w:p>
        </w:tc>
        <w:tc>
          <w:tcPr>
            <w:tcW w:w="134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9"/>
                <w:szCs w:val="9"/>
                <w:color w:val="008000"/>
              </w:rPr>
              <w:t>(2)</w:t>
            </w: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LLC Interests</w:t>
            </w: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48,726</w:t>
            </w: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9"/>
                <w:szCs w:val="9"/>
                <w:color w:val="008000"/>
              </w:rPr>
              <w:t>(3)</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Options</w:t>
            </w:r>
          </w:p>
        </w:tc>
        <w:tc>
          <w:tcPr>
            <w:tcW w:w="134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(4)</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0000FF"/>
              </w:rPr>
              <w:t>02/11/2031</w:t>
            </w: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940</w:t>
            </w:r>
          </w:p>
        </w:tc>
        <w:tc>
          <w:tcPr>
            <w:tcW w:w="720" w:type="dxa"/>
            <w:vAlign w:val="bottom"/>
          </w:tcPr>
          <w:p>
            <w:pPr>
              <w:jc w:val="right"/>
              <w:ind w:right="147"/>
              <w:spacing w:after="0"/>
              <w:rPr>
                <w:sz w:val="20"/>
                <w:szCs w:val="20"/>
                <w:color w:val="auto"/>
              </w:rPr>
            </w:pPr>
            <w:r>
              <w:rPr>
                <w:rFonts w:ascii="Times New Roman" w:cs="Times New Roman" w:eastAsia="Times New Roman" w:hAnsi="Times New Roman"/>
                <w:sz w:val="13"/>
                <w:szCs w:val="13"/>
                <w:color w:val="0000FF"/>
              </w:rPr>
              <w:t>15.75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an aggregate 13,431 restricted stock units (RSUs), which vest as to: (i) 375 RSUs in one remaining installment vesting on February 11, 2024; (ii) 5,556 RSUs in two remaining equal annual installments, with the first such installment vesting on May 5, 2024; (iii) 7,500 RSUs in two equal annual installments, with the first such installment vesting on March 21, 2024, each of which is subject to the reporting person's continuous employment through the applicable vesting dates.</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46,506 of the Blizzard Management Feeder LLC Interests ("Feeder Interests") are currently vested and exercisable. The remaining Feeder Interests will vest in one remaining installment on September 13, 2024 and have no expiration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Feeder Interests are convertible at the option of the holder for LLC Interests on a 1-for-1 basis, which will be subsequently redeemed for an equal number of shares of Class A Common Stock.</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There are 626 stock options currently vested and exercisable, with the remaining 314 stock options vesting on February 11, 2024.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Katherine O'Halloran, Attorney-in-</w:t>
            </w:r>
          </w:p>
        </w:tc>
        <w:tc>
          <w:tcPr>
            <w:tcW w:w="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02/20/2024</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w w:val="92"/>
              </w:rPr>
              <w:t>fact</w:t>
            </w:r>
          </w:p>
        </w:tc>
        <w:tc>
          <w:tcPr>
            <w:tcW w:w="1920" w:type="dxa"/>
            <w:vAlign w:val="bottom"/>
            <w:gridSpan w:val="2"/>
            <w:vMerge w:val="restart"/>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012468"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2024-02-20T18:15:14Z</dcterms:created>
  <dcterms:modified xsi:type="dcterms:W3CDTF">2024-02-20T18:15:14Z</dcterms:modified>
</cp:coreProperties>
</file>