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-594995</wp:posOffset>
            </wp:positionV>
            <wp:extent cx="8255" cy="5956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-603250</wp:posOffset>
            </wp:positionV>
            <wp:extent cx="8255" cy="603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-579120</wp:posOffset>
            </wp:positionV>
            <wp:extent cx="1271905" cy="555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905" cy="5556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-1649730</wp:posOffset>
            </wp:positionH>
            <wp:positionV relativeFrom="paragraph">
              <wp:posOffset>26035</wp:posOffset>
            </wp:positionV>
            <wp:extent cx="6970395" cy="1585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585595"/>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Cruz Shane 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GoHealth,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GOCO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07/17/2020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34"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6"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4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786"/>
        <w:spacing w:after="0"/>
        <w:rPr>
          <w:sz w:val="20"/>
          <w:szCs w:val="20"/>
          <w:color w:val="auto"/>
        </w:rPr>
      </w:pPr>
      <w:r>
        <w:rPr>
          <w:rFonts w:ascii="Arial" w:cs="Arial" w:eastAsia="Arial" w:hAnsi="Arial"/>
          <w:sz w:val="16"/>
          <w:szCs w:val="16"/>
          <w:color w:val="0000FF"/>
        </w:rPr>
        <w:t>Chief Operating Officer</w:t>
      </w:r>
    </w:p>
    <w:p>
      <w:pPr>
        <w:spacing w:after="0" w:line="308" w:lineRule="exact"/>
        <w:rPr>
          <w:sz w:val="24"/>
          <w:szCs w:val="24"/>
          <w:color w:val="auto"/>
        </w:rPr>
      </w:pPr>
    </w:p>
    <w:p>
      <w:pPr>
        <w:sectPr>
          <w:pgSz w:w="11900" w:h="16838" w:orient="portrait"/>
          <w:cols w:equalWidth="0" w:num="3">
            <w:col w:w="3180" w:space="720"/>
            <w:col w:w="3114" w:space="720"/>
            <w:col w:w="3346"/>
          </w:cols>
          <w:pgMar w:left="460" w:top="220"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CHICAGO</w:t>
            </w:r>
          </w:p>
        </w:tc>
        <w:tc>
          <w:tcPr>
            <w:tcW w:w="1040" w:type="dxa"/>
            <w:vAlign w:val="bottom"/>
          </w:tcPr>
          <w:p>
            <w:pPr>
              <w:ind w:left="240"/>
              <w:spacing w:after="0"/>
              <w:rPr>
                <w:sz w:val="20"/>
                <w:szCs w:val="20"/>
                <w:color w:val="auto"/>
              </w:rPr>
            </w:pPr>
            <w:r>
              <w:rPr>
                <w:rFonts w:ascii="Arial" w:cs="Arial" w:eastAsia="Arial" w:hAnsi="Arial"/>
                <w:sz w:val="16"/>
                <w:szCs w:val="16"/>
                <w:color w:val="0000FF"/>
              </w:rPr>
              <w:t>IL</w:t>
            </w:r>
          </w:p>
        </w:tc>
        <w:tc>
          <w:tcPr>
            <w:tcW w:w="1620" w:type="dxa"/>
            <w:vAlign w:val="bottom"/>
          </w:tcPr>
          <w:p>
            <w:pPr>
              <w:ind w:left="420"/>
              <w:spacing w:after="0"/>
              <w:rPr>
                <w:sz w:val="20"/>
                <w:szCs w:val="20"/>
                <w:color w:val="auto"/>
              </w:rPr>
            </w:pPr>
            <w:r>
              <w:rPr>
                <w:rFonts w:ascii="Arial" w:cs="Arial" w:eastAsia="Arial" w:hAnsi="Arial"/>
                <w:sz w:val="16"/>
                <w:szCs w:val="16"/>
                <w:color w:val="0000FF"/>
              </w:rPr>
              <w:t>60654</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5"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146685</wp:posOffset>
            </wp:positionV>
            <wp:extent cx="6970395" cy="861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0395" cy="861060"/>
                    </a:xfrm>
                    <a:prstGeom prst="rect">
                      <a:avLst/>
                    </a:prstGeom>
                    <a:noFill/>
                  </pic:spPr>
                </pic:pic>
              </a:graphicData>
            </a:graphic>
          </wp:anchor>
        </w:drawing>
      </w:r>
    </w:p>
    <w:p>
      <w:pPr>
        <w:spacing w:after="0" w:line="289"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035165" cy="2519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251968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780" w:type="dxa"/>
            <w:vAlign w:val="bottom"/>
          </w:tcPr>
          <w:p>
            <w:pPr>
              <w:ind w:left="60"/>
              <w:spacing w:after="0"/>
              <w:rPr>
                <w:sz w:val="20"/>
                <w:szCs w:val="20"/>
                <w:color w:val="auto"/>
              </w:rPr>
            </w:pPr>
            <w:r>
              <w:rPr>
                <w:rFonts w:ascii="Arial" w:cs="Arial" w:eastAsia="Arial" w:hAnsi="Arial"/>
                <w:sz w:val="13"/>
                <w:szCs w:val="13"/>
                <w:color w:val="0000FF"/>
              </w:rPr>
              <w:t>Blizzard</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80" w:type="dxa"/>
            <w:vAlign w:val="bottom"/>
          </w:tcPr>
          <w:p>
            <w:pPr>
              <w:ind w:left="60"/>
              <w:spacing w:after="0" w:line="139" w:lineRule="exact"/>
              <w:rPr>
                <w:sz w:val="20"/>
                <w:szCs w:val="20"/>
                <w:color w:val="auto"/>
              </w:rPr>
            </w:pPr>
            <w:r>
              <w:rPr>
                <w:rFonts w:ascii="Arial" w:cs="Arial" w:eastAsia="Arial" w:hAnsi="Arial"/>
                <w:sz w:val="13"/>
                <w:szCs w:val="13"/>
                <w:color w:val="0000FF"/>
                <w:w w:val="92"/>
              </w:rPr>
              <w:t>Management</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60" w:type="dxa"/>
            <w:vAlign w:val="bottom"/>
            <w:vMerge w:val="restart"/>
          </w:tcPr>
          <w:p>
            <w:pPr>
              <w:jc w:val="right"/>
              <w:ind w:right="180"/>
              <w:spacing w:after="0"/>
              <w:rPr>
                <w:sz w:val="20"/>
                <w:szCs w:val="20"/>
                <w:color w:val="auto"/>
              </w:rPr>
            </w:pPr>
            <w:r>
              <w:rPr>
                <w:rFonts w:ascii="Arial" w:cs="Arial" w:eastAsia="Arial" w:hAnsi="Arial"/>
                <w:sz w:val="13"/>
                <w:szCs w:val="13"/>
                <w:color w:val="0000FF"/>
              </w:rPr>
              <w:t>07/17/2020</w:t>
            </w:r>
          </w:p>
        </w:tc>
        <w:tc>
          <w:tcPr>
            <w:tcW w:w="1060" w:type="dxa"/>
            <w:vAlign w:val="bottom"/>
          </w:tcPr>
          <w:p>
            <w:pPr>
              <w:spacing w:after="0"/>
              <w:rPr>
                <w:sz w:val="12"/>
                <w:szCs w:val="12"/>
                <w:color w:val="auto"/>
              </w:rPr>
            </w:pPr>
          </w:p>
        </w:tc>
        <w:tc>
          <w:tcPr>
            <w:tcW w:w="780" w:type="dxa"/>
            <w:vAlign w:val="bottom"/>
            <w:vMerge w:val="restart"/>
          </w:tcPr>
          <w:p>
            <w:pPr>
              <w:ind w:left="100"/>
              <w:spacing w:after="0" w:line="263"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860" w:type="dxa"/>
            <w:vAlign w:val="bottom"/>
            <w:vMerge w:val="restart"/>
          </w:tcPr>
          <w:p>
            <w:pPr>
              <w:jc w:val="right"/>
              <w:ind w:right="42"/>
              <w:spacing w:after="0"/>
              <w:rPr>
                <w:sz w:val="20"/>
                <w:szCs w:val="20"/>
                <w:color w:val="auto"/>
              </w:rPr>
            </w:pPr>
            <w:r>
              <w:rPr>
                <w:rFonts w:ascii="Arial" w:cs="Arial" w:eastAsia="Arial" w:hAnsi="Arial"/>
                <w:sz w:val="13"/>
                <w:szCs w:val="13"/>
                <w:color w:val="0000FF"/>
              </w:rPr>
              <w:t>86,220</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560" w:type="dxa"/>
            <w:vAlign w:val="bottom"/>
          </w:tcPr>
          <w:p>
            <w:pPr>
              <w:ind w:left="160"/>
              <w:spacing w:after="0" w:line="139" w:lineRule="exact"/>
              <w:rPr>
                <w:sz w:val="20"/>
                <w:szCs w:val="20"/>
                <w:color w:val="auto"/>
              </w:rPr>
            </w:pPr>
            <w:r>
              <w:rPr>
                <w:rFonts w:ascii="Arial" w:cs="Arial" w:eastAsia="Arial" w:hAnsi="Arial"/>
                <w:sz w:val="13"/>
                <w:szCs w:val="13"/>
                <w:color w:val="0000FF"/>
              </w:rPr>
              <w:t>LLC</w:t>
            </w:r>
          </w:p>
        </w:tc>
        <w:tc>
          <w:tcPr>
            <w:tcW w:w="660" w:type="dxa"/>
            <w:vAlign w:val="bottom"/>
            <w:vMerge w:val="restart"/>
          </w:tcPr>
          <w:p>
            <w:pPr>
              <w:jc w:val="right"/>
              <w:ind w:right="35"/>
              <w:spacing w:after="0"/>
              <w:rPr>
                <w:sz w:val="20"/>
                <w:szCs w:val="20"/>
                <w:color w:val="auto"/>
              </w:rPr>
            </w:pPr>
            <w:r>
              <w:rPr>
                <w:rFonts w:ascii="Arial" w:cs="Arial" w:eastAsia="Arial" w:hAnsi="Arial"/>
                <w:sz w:val="16"/>
                <w:szCs w:val="16"/>
                <w:color w:val="0000FF"/>
              </w:rPr>
              <w:t>86,220</w:t>
            </w:r>
          </w:p>
        </w:tc>
        <w:tc>
          <w:tcPr>
            <w:tcW w:w="68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19.95</w:t>
            </w:r>
            <w:r>
              <w:rPr>
                <w:rFonts w:ascii="Arial" w:cs="Arial" w:eastAsia="Arial" w:hAnsi="Arial"/>
                <w:sz w:val="21"/>
                <w:szCs w:val="21"/>
                <w:color w:val="008000"/>
                <w:vertAlign w:val="superscript"/>
              </w:rPr>
              <w:t>(2)</w:t>
            </w:r>
          </w:p>
        </w:tc>
        <w:tc>
          <w:tcPr>
            <w:tcW w:w="920" w:type="dxa"/>
            <w:vAlign w:val="bottom"/>
            <w:vMerge w:val="restart"/>
          </w:tcPr>
          <w:p>
            <w:pPr>
              <w:jc w:val="right"/>
              <w:ind w:right="142"/>
              <w:spacing w:after="0"/>
              <w:rPr>
                <w:sz w:val="20"/>
                <w:szCs w:val="20"/>
                <w:color w:val="auto"/>
              </w:rPr>
            </w:pPr>
            <w:r>
              <w:rPr>
                <w:rFonts w:ascii="Arial" w:cs="Arial" w:eastAsia="Arial" w:hAnsi="Arial"/>
                <w:sz w:val="13"/>
                <w:szCs w:val="13"/>
                <w:color w:val="0000FF"/>
              </w:rPr>
              <w:t>1,976,690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0" w:type="dxa"/>
            <w:vAlign w:val="bottom"/>
          </w:tcPr>
          <w:p>
            <w:pPr>
              <w:ind w:left="60"/>
              <w:spacing w:after="0" w:line="139" w:lineRule="exact"/>
              <w:rPr>
                <w:sz w:val="20"/>
                <w:szCs w:val="20"/>
                <w:color w:val="auto"/>
              </w:rPr>
            </w:pPr>
            <w:r>
              <w:rPr>
                <w:rFonts w:ascii="Arial" w:cs="Arial" w:eastAsia="Arial" w:hAnsi="Arial"/>
                <w:sz w:val="13"/>
                <w:szCs w:val="13"/>
                <w:color w:val="0000FF"/>
              </w:rPr>
              <w:t>LLC</w:t>
            </w:r>
          </w:p>
        </w:tc>
        <w:tc>
          <w:tcPr>
            <w:tcW w:w="7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60" w:type="dxa"/>
            <w:vAlign w:val="bottom"/>
          </w:tcPr>
          <w:p>
            <w:pPr>
              <w:ind w:left="80"/>
              <w:spacing w:after="0" w:line="139" w:lineRule="exact"/>
              <w:rPr>
                <w:sz w:val="20"/>
                <w:szCs w:val="20"/>
                <w:color w:val="auto"/>
              </w:rPr>
            </w:pPr>
            <w:r>
              <w:rPr>
                <w:rFonts w:ascii="Arial" w:cs="Arial" w:eastAsia="Arial" w:hAnsi="Arial"/>
                <w:sz w:val="13"/>
                <w:szCs w:val="13"/>
                <w:color w:val="0000FF"/>
                <w:w w:val="92"/>
              </w:rPr>
              <w:t>Interests</w:t>
            </w:r>
          </w:p>
        </w:tc>
        <w:tc>
          <w:tcPr>
            <w:tcW w:w="6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80" w:type="dxa"/>
            <w:vAlign w:val="bottom"/>
          </w:tcPr>
          <w:p>
            <w:pPr>
              <w:ind w:left="60"/>
              <w:spacing w:after="0"/>
              <w:rPr>
                <w:sz w:val="20"/>
                <w:szCs w:val="20"/>
                <w:color w:val="auto"/>
              </w:rPr>
            </w:pPr>
            <w:r>
              <w:rPr>
                <w:rFonts w:ascii="Arial" w:cs="Arial" w:eastAsia="Arial" w:hAnsi="Arial"/>
                <w:sz w:val="13"/>
                <w:szCs w:val="13"/>
                <w:color w:val="0000FF"/>
              </w:rPr>
              <w:t>Interests</w:t>
            </w: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By: Shane</w:t>
            </w:r>
          </w:p>
        </w:tc>
        <w:tc>
          <w:tcPr>
            <w:tcW w:w="0" w:type="dxa"/>
            <w:vAlign w:val="bottom"/>
          </w:tcPr>
          <w:p>
            <w:pPr>
              <w:spacing w:after="0"/>
              <w:rPr>
                <w:sz w:val="1"/>
                <w:szCs w:val="1"/>
                <w:color w:val="auto"/>
              </w:rPr>
            </w:pPr>
          </w:p>
        </w:tc>
      </w:tr>
      <w:tr>
        <w:trPr>
          <w:trHeight w:val="139"/>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Blizzard</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ind w:left="60"/>
              <w:spacing w:after="0" w:line="139" w:lineRule="exact"/>
              <w:rPr>
                <w:sz w:val="20"/>
                <w:szCs w:val="20"/>
                <w:color w:val="auto"/>
              </w:rPr>
            </w:pPr>
            <w:r>
              <w:rPr>
                <w:rFonts w:ascii="Arial" w:cs="Arial" w:eastAsia="Arial" w:hAnsi="Arial"/>
                <w:sz w:val="13"/>
                <w:szCs w:val="13"/>
                <w:color w:val="0000FF"/>
              </w:rPr>
              <w:t>E. Cruz</w:t>
            </w:r>
          </w:p>
        </w:tc>
        <w:tc>
          <w:tcPr>
            <w:tcW w:w="0" w:type="dxa"/>
            <w:vAlign w:val="bottom"/>
          </w:tcPr>
          <w:p>
            <w:pPr>
              <w:spacing w:after="0"/>
              <w:rPr>
                <w:sz w:val="1"/>
                <w:szCs w:val="1"/>
                <w:color w:val="auto"/>
              </w:rPr>
            </w:pPr>
          </w:p>
        </w:tc>
      </w:tr>
      <w:tr>
        <w:trPr>
          <w:trHeight w:val="63"/>
        </w:trPr>
        <w:tc>
          <w:tcPr>
            <w:tcW w:w="7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2020</w:t>
            </w:r>
          </w:p>
        </w:tc>
        <w:tc>
          <w:tcPr>
            <w:tcW w:w="0" w:type="dxa"/>
            <w:vAlign w:val="bottom"/>
          </w:tcPr>
          <w:p>
            <w:pPr>
              <w:spacing w:after="0"/>
              <w:rPr>
                <w:sz w:val="1"/>
                <w:szCs w:val="1"/>
                <w:color w:val="auto"/>
              </w:rPr>
            </w:pPr>
          </w:p>
        </w:tc>
      </w:tr>
      <w:tr>
        <w:trPr>
          <w:trHeight w:val="76"/>
        </w:trPr>
        <w:tc>
          <w:tcPr>
            <w:tcW w:w="78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w w:val="92"/>
              </w:rPr>
              <w:t>Management</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restart"/>
          </w:tcPr>
          <w:p>
            <w:pPr>
              <w:ind w:left="100"/>
              <w:spacing w:after="0" w:line="216"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(2)</w:t>
            </w:r>
          </w:p>
        </w:tc>
        <w:tc>
          <w:tcPr>
            <w:tcW w:w="86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56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LLC</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0000FF"/>
              </w:rPr>
              <w:t>117,258</w:t>
            </w:r>
          </w:p>
        </w:tc>
        <w:tc>
          <w:tcPr>
            <w:tcW w:w="680" w:type="dxa"/>
            <w:vAlign w:val="bottom"/>
            <w:vMerge w:val="restart"/>
          </w:tcPr>
          <w:p>
            <w:pPr>
              <w:ind w:left="120"/>
              <w:spacing w:after="0" w:line="21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19.95</w:t>
            </w:r>
            <w:r>
              <w:rPr>
                <w:rFonts w:ascii="Arial" w:cs="Arial" w:eastAsia="Arial" w:hAnsi="Arial"/>
                <w:sz w:val="21"/>
                <w:szCs w:val="21"/>
                <w:color w:val="008000"/>
                <w:vertAlign w:val="superscript"/>
              </w:rPr>
              <w:t>(2)</w:t>
            </w: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60" w:type="dxa"/>
            <w:vAlign w:val="bottom"/>
            <w:vMerge w:val="restart"/>
          </w:tcPr>
          <w:p>
            <w:pPr>
              <w:jc w:val="right"/>
              <w:ind w:right="180"/>
              <w:spacing w:after="0" w:line="139" w:lineRule="exact"/>
              <w:rPr>
                <w:sz w:val="20"/>
                <w:szCs w:val="20"/>
                <w:color w:val="auto"/>
              </w:rPr>
            </w:pPr>
            <w:r>
              <w:rPr>
                <w:rFonts w:ascii="Arial" w:cs="Arial" w:eastAsia="Arial" w:hAnsi="Arial"/>
                <w:sz w:val="13"/>
                <w:szCs w:val="13"/>
                <w:color w:val="0000FF"/>
              </w:rPr>
              <w:t>07/17/2020</w:t>
            </w:r>
          </w:p>
        </w:tc>
        <w:tc>
          <w:tcPr>
            <w:tcW w:w="10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60" w:type="dxa"/>
            <w:vAlign w:val="bottom"/>
            <w:vMerge w:val="restart"/>
          </w:tcPr>
          <w:p>
            <w:pPr>
              <w:jc w:val="right"/>
              <w:ind w:right="22"/>
              <w:spacing w:after="0" w:line="139" w:lineRule="exact"/>
              <w:rPr>
                <w:sz w:val="20"/>
                <w:szCs w:val="20"/>
                <w:color w:val="auto"/>
              </w:rPr>
            </w:pPr>
            <w:r>
              <w:rPr>
                <w:rFonts w:ascii="Arial" w:cs="Arial" w:eastAsia="Arial" w:hAnsi="Arial"/>
                <w:sz w:val="13"/>
                <w:szCs w:val="13"/>
                <w:color w:val="0000FF"/>
              </w:rPr>
              <w:t>117,258</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restart"/>
          </w:tcPr>
          <w:p>
            <w:pPr>
              <w:jc w:val="right"/>
              <w:ind w:right="182"/>
              <w:spacing w:after="0" w:line="139" w:lineRule="exact"/>
              <w:rPr>
                <w:sz w:val="20"/>
                <w:szCs w:val="20"/>
                <w:color w:val="auto"/>
              </w:rPr>
            </w:pPr>
            <w:r>
              <w:rPr>
                <w:rFonts w:ascii="Arial" w:cs="Arial" w:eastAsia="Arial" w:hAnsi="Arial"/>
                <w:sz w:val="13"/>
                <w:szCs w:val="13"/>
                <w:color w:val="0000FF"/>
              </w:rPr>
              <w:t>989,643</w:t>
            </w:r>
          </w:p>
        </w:tc>
        <w:tc>
          <w:tcPr>
            <w:tcW w:w="72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72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w w:val="99"/>
              </w:rPr>
              <w:t>Irrevocable</w:t>
            </w:r>
          </w:p>
        </w:tc>
        <w:tc>
          <w:tcPr>
            <w:tcW w:w="0" w:type="dxa"/>
            <w:vAlign w:val="bottom"/>
          </w:tcPr>
          <w:p>
            <w:pPr>
              <w:spacing w:after="0"/>
              <w:rPr>
                <w:sz w:val="1"/>
                <w:szCs w:val="1"/>
                <w:color w:val="auto"/>
              </w:rPr>
            </w:pPr>
          </w:p>
        </w:tc>
      </w:tr>
      <w:tr>
        <w:trPr>
          <w:trHeight w:val="76"/>
        </w:trPr>
        <w:tc>
          <w:tcPr>
            <w:tcW w:w="78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LLC</w:t>
            </w:r>
          </w:p>
        </w:tc>
        <w:tc>
          <w:tcPr>
            <w:tcW w:w="7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80"/>
              <w:spacing w:after="0" w:line="139" w:lineRule="exact"/>
              <w:rPr>
                <w:sz w:val="20"/>
                <w:szCs w:val="20"/>
                <w:color w:val="auto"/>
              </w:rPr>
            </w:pPr>
            <w:r>
              <w:rPr>
                <w:rFonts w:ascii="Arial" w:cs="Arial" w:eastAsia="Arial" w:hAnsi="Arial"/>
                <w:sz w:val="13"/>
                <w:szCs w:val="13"/>
                <w:color w:val="0000FF"/>
                <w:w w:val="92"/>
              </w:rPr>
              <w:t>Interests</w:t>
            </w:r>
          </w:p>
        </w:tc>
        <w:tc>
          <w:tcPr>
            <w:tcW w:w="6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7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w w:val="97"/>
              </w:rPr>
              <w:t>Trust dated</w:t>
            </w:r>
          </w:p>
        </w:tc>
        <w:tc>
          <w:tcPr>
            <w:tcW w:w="0" w:type="dxa"/>
            <w:vAlign w:val="bottom"/>
          </w:tcPr>
          <w:p>
            <w:pPr>
              <w:spacing w:after="0"/>
              <w:rPr>
                <w:sz w:val="1"/>
                <w:szCs w:val="1"/>
                <w:color w:val="auto"/>
              </w:rPr>
            </w:pPr>
          </w:p>
        </w:tc>
      </w:tr>
      <w:tr>
        <w:trPr>
          <w:trHeight w:val="76"/>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Interests</w:t>
            </w: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7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June 16,</w:t>
            </w:r>
          </w:p>
        </w:tc>
        <w:tc>
          <w:tcPr>
            <w:tcW w:w="0" w:type="dxa"/>
            <w:vAlign w:val="bottom"/>
          </w:tcPr>
          <w:p>
            <w:pPr>
              <w:spacing w:after="0"/>
              <w:rPr>
                <w:sz w:val="1"/>
                <w:szCs w:val="1"/>
                <w:color w:val="auto"/>
              </w:rPr>
            </w:pPr>
          </w:p>
        </w:tc>
      </w:tr>
      <w:tr>
        <w:trPr>
          <w:trHeight w:val="55"/>
        </w:trPr>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2020</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320" w:hanging="1"/>
        <w:spacing w:after="0" w:line="242"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Blizzard Management Feeder Interests ("Feeder Interests") are convertible at the option of the holder for LLC Interests on a 1-for-1 basis, which will be subsequently redeemed for an equal number of shares of Class A Common Stock.</w:t>
      </w:r>
    </w:p>
    <w:p>
      <w:pPr>
        <w:spacing w:after="0" w:line="28" w:lineRule="exact"/>
        <w:rPr>
          <w:rFonts w:ascii="Arial" w:cs="Arial" w:eastAsia="Arial" w:hAnsi="Arial"/>
          <w:sz w:val="13"/>
          <w:szCs w:val="13"/>
          <w:color w:val="008000"/>
        </w:rPr>
      </w:pPr>
    </w:p>
    <w:p>
      <w:pPr>
        <w:ind w:left="40" w:right="300" w:hanging="1"/>
        <w:spacing w:after="0" w:line="242"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described in the prospectus filed by the Issuer with the Securities and Exchange Commission, upon the closing of the offering, the Issuer redeemed the Feeder Interests from the reporting person in exchange for an aggregate consideration of $19.95 per Feeder Interest.</w:t>
      </w:r>
    </w:p>
    <w:p>
      <w:pPr>
        <w:spacing w:after="0" w:line="28"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1,560,356 Feeder Interests are currently vested. The remaining Feeder Interests will vest in five equal annual installments beginning on September 13, 2020 and have no expiration date.</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Feeder Interests are fully vested and currently exercisable.</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2"/>
              </w:rPr>
              <w:t>/s/ Clinton P. Jones, Attorney-</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07/21/2020</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3" w:lineRule="exact"/>
              <w:rPr>
                <w:sz w:val="20"/>
                <w:szCs w:val="20"/>
                <w:color w:val="auto"/>
              </w:rPr>
            </w:pPr>
            <w:r>
              <w:rPr>
                <w:rFonts w:ascii="Arial" w:cs="Arial" w:eastAsia="Arial" w:hAnsi="Arial"/>
                <w:sz w:val="16"/>
                <w:szCs w:val="16"/>
                <w:color w:val="0000FF"/>
              </w:rPr>
              <w:t>in-fact for Shane E. Cruz</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27"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15988" TargetMode="External"/><Relationship Id="rId14"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2020-07-21T18:48:24Z</dcterms:created>
  <dcterms:modified xsi:type="dcterms:W3CDTF">2020-07-21T18:48:24Z</dcterms:modified>
</cp:coreProperties>
</file>