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gridSpan w:val="2"/>
          </w:tcPr>
          <w:p>
            <w:pPr>
              <w:jc w:val="right"/>
              <w:ind w:right="200"/>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020" w:type="dxa"/>
            <w:vAlign w:val="bottom"/>
            <w:gridSpan w:val="4"/>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CB Blizzard Lower Holdings</w:t>
              </w:r>
            </w:hyperlink>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20" w:type="dxa"/>
            <w:vAlign w:val="bottom"/>
            <w:gridSpan w:val="4"/>
            <w:vMerge w:val="continue"/>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780" w:type="dxa"/>
            <w:vAlign w:val="bottom"/>
            <w:tcBorders>
              <w:top w:val="single" w:sz="8" w:color="0000EE"/>
            </w:tcBorders>
            <w:gridSpan w:val="2"/>
          </w:tcPr>
          <w:p>
            <w:pPr>
              <w:spacing w:after="0" w:line="250" w:lineRule="exact"/>
              <w:rPr>
                <w:rFonts w:ascii="Arial" w:cs="Arial" w:eastAsia="Arial" w:hAnsi="Arial"/>
                <w:sz w:val="24"/>
                <w:szCs w:val="24"/>
                <w:color w:val="0000EE"/>
              </w:rPr>
            </w:pPr>
            <w:hyperlink r:id="rId10">
              <w:r>
                <w:rPr>
                  <w:rFonts w:ascii="Arial" w:cs="Arial" w:eastAsia="Arial" w:hAnsi="Arial"/>
                  <w:sz w:val="24"/>
                  <w:szCs w:val="24"/>
                  <w:color w:val="0000EE"/>
                </w:rPr>
                <w:t>GP A, LLC</w:t>
              </w:r>
            </w:hyperlink>
          </w:p>
        </w:tc>
        <w:tc>
          <w:tcPr>
            <w:tcW w:w="40" w:type="dxa"/>
            <w:vAlign w:val="bottom"/>
            <w:tcBorders>
              <w:top w:val="single" w:sz="8" w:color="0000EE"/>
            </w:tcBorders>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Arial" w:cs="Arial" w:eastAsia="Arial" w:hAnsi="Arial"/>
                <w:sz w:val="20"/>
                <w:szCs w:val="20"/>
                <w:color w:val="0000FF"/>
              </w:rPr>
              <w:t>03/09/2021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0"/>
          <w:szCs w:val="20"/>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GoHealth,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GOCO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0"/>
          <w:szCs w:val="20"/>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315"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6"/>
              </w:rPr>
              <w:t>375 PARK AVENUE, 11TH FLOOR</w:t>
            </w: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94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340" w:type="dxa"/>
            <w:vAlign w:val="bottom"/>
            <w:vMerge w:val="restart"/>
          </w:tcPr>
          <w:p>
            <w:pPr>
              <w:ind w:left="340"/>
              <w:spacing w:after="0"/>
              <w:rPr>
                <w:sz w:val="20"/>
                <w:szCs w:val="20"/>
                <w:color w:val="auto"/>
              </w:rPr>
            </w:pPr>
            <w:r>
              <w:rPr>
                <w:rFonts w:ascii="Arial" w:cs="Arial" w:eastAsia="Arial" w:hAnsi="Arial"/>
                <w:sz w:val="20"/>
                <w:szCs w:val="20"/>
                <w:color w:val="0000FF"/>
              </w:rPr>
              <w:t>10152</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6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0"/>
          <w:szCs w:val="20"/>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60" w:lineRule="exact"/>
        <w:rPr>
          <w:sz w:val="20"/>
          <w:szCs w:val="20"/>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20" w:type="dxa"/>
            <w:vAlign w:val="bottom"/>
          </w:tcPr>
          <w:p>
            <w:pPr>
              <w:spacing w:after="0"/>
              <w:rPr>
                <w:sz w:val="24"/>
                <w:szCs w:val="24"/>
                <w:color w:val="auto"/>
              </w:rPr>
            </w:pPr>
          </w:p>
        </w:tc>
        <w:tc>
          <w:tcPr>
            <w:tcW w:w="266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Class A Common Stock</w:t>
            </w:r>
          </w:p>
        </w:tc>
        <w:tc>
          <w:tcPr>
            <w:tcW w:w="1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ind w:left="720"/>
              <w:spacing w:after="0"/>
              <w:rPr>
                <w:sz w:val="20"/>
                <w:szCs w:val="20"/>
                <w:color w:val="auto"/>
              </w:rPr>
            </w:pPr>
            <w:r>
              <w:rPr>
                <w:rFonts w:ascii="Arial" w:cs="Arial" w:eastAsia="Arial" w:hAnsi="Arial"/>
                <w:sz w:val="20"/>
                <w:szCs w:val="20"/>
                <w:color w:val="0000FF"/>
                <w:w w:val="95"/>
              </w:rPr>
              <w:t>40,682,961</w:t>
            </w:r>
          </w:p>
        </w:tc>
        <w:tc>
          <w:tcPr>
            <w:tcW w:w="10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gridSpan w:val="2"/>
          </w:tcPr>
          <w:p>
            <w:pPr>
              <w:ind w:left="40"/>
              <w:spacing w:after="0"/>
              <w:rPr>
                <w:sz w:val="20"/>
                <w:szCs w:val="20"/>
                <w:color w:val="auto"/>
              </w:rPr>
            </w:pPr>
            <w:r>
              <w:rPr>
                <w:rFonts w:ascii="Arial" w:cs="Arial" w:eastAsia="Arial" w:hAnsi="Arial"/>
                <w:sz w:val="20"/>
                <w:szCs w:val="20"/>
                <w:color w:val="0000FF"/>
              </w:rPr>
              <w:t>I</w:t>
            </w:r>
          </w:p>
        </w:tc>
        <w:tc>
          <w:tcPr>
            <w:tcW w:w="3380" w:type="dxa"/>
            <w:vAlign w:val="bottom"/>
            <w:tcBorders>
              <w:bottom w:val="single" w:sz="8" w:color="2C2C2C"/>
            </w:tcBorders>
            <w:gridSpan w:val="3"/>
          </w:tcPr>
          <w:p>
            <w:pPr>
              <w:jc w:val="center"/>
              <w:ind w:right="563"/>
              <w:spacing w:after="0"/>
              <w:rPr>
                <w:sz w:val="20"/>
                <w:szCs w:val="20"/>
                <w:color w:val="auto"/>
              </w:rPr>
            </w:pPr>
            <w:r>
              <w:rPr>
                <w:rFonts w:ascii="Arial" w:cs="Arial" w:eastAsia="Arial" w:hAnsi="Arial"/>
                <w:sz w:val="20"/>
                <w:szCs w:val="20"/>
                <w:color w:val="0000FF"/>
                <w:w w:val="81"/>
              </w:rPr>
              <w:t>See footnotes</w:t>
            </w:r>
            <w:r>
              <w:rPr>
                <w:rFonts w:ascii="Arial" w:cs="Arial" w:eastAsia="Arial" w:hAnsi="Arial"/>
                <w:sz w:val="25"/>
                <w:szCs w:val="25"/>
                <w:color w:val="008000"/>
                <w:w w:val="81"/>
                <w:vertAlign w:val="superscript"/>
              </w:rPr>
              <w:t>(1)(3)(4)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4"/>
          </w:tcPr>
          <w:p>
            <w:pPr>
              <w:ind w:left="80"/>
              <w:spacing w:after="0"/>
              <w:rPr>
                <w:sz w:val="20"/>
                <w:szCs w:val="20"/>
                <w:color w:val="auto"/>
              </w:rPr>
            </w:pPr>
            <w:r>
              <w:rPr>
                <w:rFonts w:ascii="Arial" w:cs="Arial" w:eastAsia="Arial" w:hAnsi="Arial"/>
                <w:sz w:val="20"/>
                <w:szCs w:val="20"/>
                <w:color w:val="0000FF"/>
              </w:rPr>
              <w:t>Class B Common Stock</w:t>
            </w:r>
          </w:p>
        </w:tc>
        <w:tc>
          <w:tcPr>
            <w:tcW w:w="1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ind w:left="720"/>
              <w:spacing w:after="0"/>
              <w:rPr>
                <w:sz w:val="20"/>
                <w:szCs w:val="20"/>
                <w:color w:val="auto"/>
              </w:rPr>
            </w:pPr>
            <w:r>
              <w:rPr>
                <w:rFonts w:ascii="Arial" w:cs="Arial" w:eastAsia="Arial" w:hAnsi="Arial"/>
                <w:sz w:val="20"/>
                <w:szCs w:val="20"/>
                <w:color w:val="0000FF"/>
                <w:w w:val="95"/>
              </w:rPr>
              <w:t>80,792,677</w:t>
            </w:r>
          </w:p>
        </w:tc>
        <w:tc>
          <w:tcPr>
            <w:tcW w:w="10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gridSpan w:val="2"/>
          </w:tcPr>
          <w:p>
            <w:pPr>
              <w:ind w:left="40"/>
              <w:spacing w:after="0"/>
              <w:rPr>
                <w:sz w:val="20"/>
                <w:szCs w:val="20"/>
                <w:color w:val="auto"/>
              </w:rPr>
            </w:pPr>
            <w:r>
              <w:rPr>
                <w:rFonts w:ascii="Arial" w:cs="Arial" w:eastAsia="Arial" w:hAnsi="Arial"/>
                <w:sz w:val="20"/>
                <w:szCs w:val="20"/>
                <w:color w:val="0000FF"/>
              </w:rPr>
              <w:t>I</w:t>
            </w:r>
          </w:p>
        </w:tc>
        <w:tc>
          <w:tcPr>
            <w:tcW w:w="3400" w:type="dxa"/>
            <w:vAlign w:val="bottom"/>
            <w:tcBorders>
              <w:bottom w:val="single" w:sz="8" w:color="2C2C2C"/>
            </w:tcBorders>
            <w:gridSpan w:val="4"/>
          </w:tcPr>
          <w:p>
            <w:pPr>
              <w:jc w:val="center"/>
              <w:ind w:right="660"/>
              <w:spacing w:after="0"/>
              <w:rPr>
                <w:sz w:val="20"/>
                <w:szCs w:val="20"/>
                <w:color w:val="auto"/>
              </w:rPr>
            </w:pPr>
            <w:r>
              <w:rPr>
                <w:rFonts w:ascii="Arial" w:cs="Arial" w:eastAsia="Arial" w:hAnsi="Arial"/>
                <w:sz w:val="20"/>
                <w:szCs w:val="20"/>
                <w:color w:val="0000FF"/>
                <w:w w:val="81"/>
              </w:rPr>
              <w:t>See footnotes</w:t>
            </w:r>
            <w:r>
              <w:rPr>
                <w:rFonts w:ascii="Arial" w:cs="Arial" w:eastAsia="Arial" w:hAnsi="Arial"/>
                <w:sz w:val="25"/>
                <w:szCs w:val="25"/>
                <w:color w:val="008000"/>
                <w:w w:val="81"/>
                <w:vertAlign w:val="superscript"/>
              </w:rPr>
              <w:t>(2)(3)(4)</w:t>
            </w: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5640" w:type="dxa"/>
            <w:vAlign w:val="bottom"/>
            <w:tcBorders>
              <w:top w:val="single" w:sz="8" w:color="2C2C2C"/>
            </w:tcBorders>
            <w:gridSpan w:val="10"/>
          </w:tcPr>
          <w:p>
            <w:pPr>
              <w:ind w:left="3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5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780" w:type="dxa"/>
            <w:vAlign w:val="bottom"/>
            <w:gridSpan w:val="11"/>
          </w:tcPr>
          <w:p>
            <w:pPr>
              <w:ind w:left="10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6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40" w:type="dxa"/>
            <w:vAlign w:val="bottom"/>
          </w:tcPr>
          <w:p>
            <w:pPr>
              <w:spacing w:after="0"/>
              <w:rPr>
                <w:sz w:val="17"/>
                <w:szCs w:val="17"/>
                <w:color w:val="auto"/>
              </w:rPr>
            </w:pPr>
          </w:p>
        </w:tc>
        <w:tc>
          <w:tcPr>
            <w:tcW w:w="1880" w:type="dxa"/>
            <w:vAlign w:val="bottom"/>
            <w:gridSpan w:val="5"/>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1340" w:type="dxa"/>
            <w:vAlign w:val="bottom"/>
            <w:gridSpan w:val="4"/>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2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2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Amount or</w:t>
            </w: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4"/>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1020" w:type="dxa"/>
            <w:vAlign w:val="bottom"/>
          </w:tcPr>
          <w:p>
            <w:pPr>
              <w:ind w:left="12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320" w:type="dxa"/>
            <w:vAlign w:val="bottom"/>
            <w:gridSpan w:val="3"/>
            <w:vMerge w:val="restart"/>
          </w:tcPr>
          <w:p>
            <w:pPr>
              <w:ind w:left="80"/>
              <w:spacing w:after="0"/>
              <w:rPr>
                <w:sz w:val="20"/>
                <w:szCs w:val="20"/>
                <w:color w:val="auto"/>
              </w:rPr>
            </w:pPr>
            <w:r>
              <w:rPr>
                <w:rFonts w:ascii="Arial" w:cs="Arial" w:eastAsia="Arial" w:hAnsi="Arial"/>
                <w:sz w:val="20"/>
                <w:szCs w:val="20"/>
                <w:color w:val="0000FF"/>
              </w:rPr>
              <w:t>LLC Interests</w:t>
            </w:r>
          </w:p>
        </w:tc>
        <w:tc>
          <w:tcPr>
            <w:tcW w:w="1340" w:type="dxa"/>
            <w:vAlign w:val="bottom"/>
          </w:tcPr>
          <w:p>
            <w:pPr>
              <w:spacing w:after="0"/>
              <w:rPr>
                <w:sz w:val="24"/>
                <w:szCs w:val="24"/>
                <w:color w:val="auto"/>
              </w:rPr>
            </w:pPr>
          </w:p>
        </w:tc>
        <w:tc>
          <w:tcPr>
            <w:tcW w:w="1120" w:type="dxa"/>
            <w:vAlign w:val="bottom"/>
            <w:gridSpan w:val="2"/>
            <w:vMerge w:val="restart"/>
          </w:tcPr>
          <w:p>
            <w:pPr>
              <w:jc w:val="right"/>
              <w:ind w:right="342"/>
              <w:spacing w:after="0"/>
              <w:rPr>
                <w:sz w:val="20"/>
                <w:szCs w:val="20"/>
                <w:color w:val="auto"/>
              </w:rPr>
            </w:pPr>
            <w:r>
              <w:rPr>
                <w:rFonts w:ascii="Arial" w:cs="Arial" w:eastAsia="Arial" w:hAnsi="Arial"/>
                <w:sz w:val="13"/>
                <w:szCs w:val="13"/>
                <w:color w:val="008000"/>
              </w:rPr>
              <w:t>(5)</w:t>
            </w:r>
          </w:p>
        </w:tc>
        <w:tc>
          <w:tcPr>
            <w:tcW w:w="560" w:type="dxa"/>
            <w:vAlign w:val="bottom"/>
            <w:gridSpan w:val="3"/>
            <w:vMerge w:val="restart"/>
          </w:tcPr>
          <w:p>
            <w:pPr>
              <w:jc w:val="right"/>
              <w:ind w:right="40"/>
              <w:spacing w:after="0"/>
              <w:rPr>
                <w:sz w:val="20"/>
                <w:szCs w:val="20"/>
                <w:color w:val="auto"/>
              </w:rPr>
            </w:pPr>
            <w:r>
              <w:rPr>
                <w:rFonts w:ascii="Arial" w:cs="Arial" w:eastAsia="Arial" w:hAnsi="Arial"/>
                <w:sz w:val="13"/>
                <w:szCs w:val="13"/>
                <w:color w:val="008000"/>
              </w:rPr>
              <w:t>(5)</w:t>
            </w:r>
          </w:p>
        </w:tc>
        <w:tc>
          <w:tcPr>
            <w:tcW w:w="340" w:type="dxa"/>
            <w:vAlign w:val="bottom"/>
          </w:tcPr>
          <w:p>
            <w:pPr>
              <w:spacing w:after="0"/>
              <w:rPr>
                <w:sz w:val="24"/>
                <w:szCs w:val="24"/>
                <w:color w:val="auto"/>
              </w:rPr>
            </w:pPr>
          </w:p>
        </w:tc>
        <w:tc>
          <w:tcPr>
            <w:tcW w:w="1700" w:type="dxa"/>
            <w:vAlign w:val="bottom"/>
          </w:tcPr>
          <w:p>
            <w:pPr>
              <w:ind w:left="180"/>
              <w:spacing w:after="0"/>
              <w:rPr>
                <w:sz w:val="20"/>
                <w:szCs w:val="20"/>
                <w:color w:val="auto"/>
              </w:rPr>
            </w:pPr>
            <w:r>
              <w:rPr>
                <w:rFonts w:ascii="Arial" w:cs="Arial" w:eastAsia="Arial" w:hAnsi="Arial"/>
                <w:sz w:val="20"/>
                <w:szCs w:val="20"/>
                <w:color w:val="0000FF"/>
                <w:w w:val="96"/>
              </w:rPr>
              <w:t>Class A Common</w:t>
            </w:r>
          </w:p>
        </w:tc>
        <w:tc>
          <w:tcPr>
            <w:tcW w:w="1020" w:type="dxa"/>
            <w:vAlign w:val="bottom"/>
            <w:vMerge w:val="restart"/>
          </w:tcPr>
          <w:p>
            <w:pPr>
              <w:ind w:left="120"/>
              <w:spacing w:after="0"/>
              <w:rPr>
                <w:sz w:val="20"/>
                <w:szCs w:val="20"/>
                <w:color w:val="auto"/>
              </w:rPr>
            </w:pPr>
            <w:r>
              <w:rPr>
                <w:rFonts w:ascii="Arial" w:cs="Arial" w:eastAsia="Arial" w:hAnsi="Arial"/>
                <w:sz w:val="20"/>
                <w:szCs w:val="20"/>
                <w:color w:val="0000FF"/>
                <w:w w:val="87"/>
              </w:rPr>
              <w:t>80,792,677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vMerge w:val="restart"/>
          </w:tcPr>
          <w:p>
            <w:pPr>
              <w:ind w:left="360"/>
              <w:spacing w:after="0"/>
              <w:rPr>
                <w:sz w:val="20"/>
                <w:szCs w:val="20"/>
                <w:color w:val="auto"/>
              </w:rPr>
            </w:pPr>
            <w:r>
              <w:rPr>
                <w:rFonts w:ascii="Arial" w:cs="Arial" w:eastAsia="Arial" w:hAnsi="Arial"/>
                <w:sz w:val="13"/>
                <w:szCs w:val="13"/>
                <w:color w:val="008000"/>
              </w:rPr>
              <w:t>(5)</w:t>
            </w:r>
          </w:p>
        </w:tc>
        <w:tc>
          <w:tcPr>
            <w:tcW w:w="940" w:type="dxa"/>
            <w:vAlign w:val="bottom"/>
            <w:vMerge w:val="restart"/>
          </w:tcPr>
          <w:p>
            <w:pPr>
              <w:jc w:val="center"/>
              <w:spacing w:after="0"/>
              <w:rPr>
                <w:sz w:val="20"/>
                <w:szCs w:val="20"/>
                <w:color w:val="auto"/>
              </w:rPr>
            </w:pPr>
            <w:r>
              <w:rPr>
                <w:rFonts w:ascii="Arial" w:cs="Arial" w:eastAsia="Arial" w:hAnsi="Arial"/>
                <w:sz w:val="20"/>
                <w:szCs w:val="20"/>
                <w:color w:val="0000FF"/>
              </w:rPr>
              <w:t>I</w:t>
            </w:r>
          </w:p>
        </w:tc>
        <w:tc>
          <w:tcPr>
            <w:tcW w:w="1540" w:type="dxa"/>
            <w:vAlign w:val="bottom"/>
            <w:gridSpan w:val="2"/>
          </w:tcPr>
          <w:p>
            <w:pPr>
              <w:ind w:left="60"/>
              <w:spacing w:after="0"/>
              <w:rPr>
                <w:sz w:val="20"/>
                <w:szCs w:val="20"/>
                <w:color w:val="auto"/>
              </w:rPr>
            </w:pPr>
            <w:r>
              <w:rPr>
                <w:rFonts w:ascii="Arial" w:cs="Arial" w:eastAsia="Arial" w:hAnsi="Arial"/>
                <w:sz w:val="20"/>
                <w:szCs w:val="20"/>
                <w:color w:val="0000FF"/>
                <w:w w:val="88"/>
              </w:rPr>
              <w:t>See footnotes</w:t>
            </w:r>
            <w:r>
              <w:rPr>
                <w:rFonts w:ascii="Arial" w:cs="Arial" w:eastAsia="Arial" w:hAnsi="Arial"/>
                <w:sz w:val="25"/>
                <w:szCs w:val="25"/>
                <w:color w:val="008000"/>
                <w:w w:val="88"/>
                <w:vertAlign w:val="superscript"/>
              </w:rPr>
              <w:t>(2)(3)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3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vMerge w:val="restart"/>
          </w:tcPr>
          <w:p>
            <w:pPr>
              <w:ind w:left="640"/>
              <w:spacing w:after="0"/>
              <w:rPr>
                <w:sz w:val="20"/>
                <w:szCs w:val="20"/>
                <w:color w:val="auto"/>
              </w:rPr>
            </w:pPr>
            <w:r>
              <w:rPr>
                <w:rFonts w:ascii="Arial" w:cs="Arial" w:eastAsia="Arial" w:hAnsi="Arial"/>
                <w:sz w:val="20"/>
                <w:szCs w:val="20"/>
                <w:color w:val="0000FF"/>
              </w:rPr>
              <w:t>Stock</w:t>
            </w:r>
          </w:p>
        </w:tc>
        <w:tc>
          <w:tcPr>
            <w:tcW w:w="10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520" w:type="dxa"/>
            <w:vAlign w:val="bottom"/>
            <w:vMerge w:val="restart"/>
          </w:tcPr>
          <w:p>
            <w:pPr>
              <w:ind w:left="60"/>
              <w:spacing w:after="0"/>
              <w:rPr>
                <w:sz w:val="20"/>
                <w:szCs w:val="20"/>
                <w:color w:val="auto"/>
              </w:rPr>
            </w:pPr>
            <w:r>
              <w:rPr>
                <w:rFonts w:ascii="Arial" w:cs="Arial" w:eastAsia="Arial" w:hAnsi="Arial"/>
                <w:sz w:val="13"/>
                <w:szCs w:val="13"/>
                <w:color w:val="008000"/>
              </w:rPr>
              <w:t>(4)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680" w:type="dxa"/>
            <w:vAlign w:val="bottom"/>
            <w:tcBorders>
              <w:bottom w:val="single" w:sz="8" w:color="2C2C2C"/>
            </w:tcBorders>
            <w:gridSpan w:val="3"/>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0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5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3780" w:type="dxa"/>
            <w:vAlign w:val="bottom"/>
            <w:tcBorders>
              <w:top w:val="single" w:sz="8" w:color="2C2C2C"/>
            </w:tcBorders>
            <w:gridSpan w:val="6"/>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60" w:type="dxa"/>
            <w:vAlign w:val="bottom"/>
            <w:gridSpan w:val="8"/>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CB Blizzard Lower Holdings GP A, LLC</w:t>
              </w:r>
            </w:hyperlink>
          </w:p>
        </w:tc>
        <w:tc>
          <w:tcPr>
            <w:tcW w:w="1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40" w:type="dxa"/>
            <w:vAlign w:val="bottom"/>
            <w:tcBorders>
              <w:top w:val="single" w:sz="8" w:color="0000EE"/>
              <w:bottom w:val="single" w:sz="8" w:color="9A9A9A"/>
            </w:tcBorders>
          </w:tcPr>
          <w:p>
            <w:pPr>
              <w:spacing w:after="0"/>
              <w:rPr>
                <w:sz w:val="17"/>
                <w:szCs w:val="17"/>
                <w:color w:val="auto"/>
              </w:rPr>
            </w:pPr>
          </w:p>
        </w:tc>
        <w:tc>
          <w:tcPr>
            <w:tcW w:w="980" w:type="dxa"/>
            <w:vAlign w:val="bottom"/>
            <w:tcBorders>
              <w:top w:val="single" w:sz="8" w:color="0000EE"/>
              <w:bottom w:val="single" w:sz="8" w:color="9A9A9A"/>
            </w:tcBorders>
          </w:tcPr>
          <w:p>
            <w:pPr>
              <w:spacing w:after="0"/>
              <w:rPr>
                <w:sz w:val="17"/>
                <w:szCs w:val="17"/>
                <w:color w:val="auto"/>
              </w:rPr>
            </w:pPr>
          </w:p>
        </w:tc>
        <w:tc>
          <w:tcPr>
            <w:tcW w:w="320" w:type="dxa"/>
            <w:vAlign w:val="bottom"/>
            <w:tcBorders>
              <w:top w:val="single" w:sz="8" w:color="0000EE"/>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340" w:type="dxa"/>
            <w:vAlign w:val="bottom"/>
          </w:tcPr>
          <w:p>
            <w:pPr>
              <w:ind w:left="180"/>
              <w:spacing w:after="0"/>
              <w:rPr>
                <w:sz w:val="20"/>
                <w:szCs w:val="20"/>
                <w:color w:val="auto"/>
              </w:rPr>
            </w:pPr>
            <w:r>
              <w:rPr>
                <w:rFonts w:ascii="Arial" w:cs="Arial" w:eastAsia="Arial" w:hAnsi="Arial"/>
                <w:sz w:val="15"/>
                <w:szCs w:val="15"/>
                <w:color w:val="auto"/>
              </w:rPr>
              <w:t>(First)</w:t>
            </w:r>
          </w:p>
        </w:tc>
        <w:tc>
          <w:tcPr>
            <w:tcW w:w="140" w:type="dxa"/>
            <w:vAlign w:val="bottom"/>
          </w:tcPr>
          <w:p>
            <w:pPr>
              <w:spacing w:after="0"/>
              <w:rPr>
                <w:sz w:val="24"/>
                <w:szCs w:val="24"/>
                <w:color w:val="auto"/>
              </w:rPr>
            </w:pPr>
          </w:p>
        </w:tc>
        <w:tc>
          <w:tcPr>
            <w:tcW w:w="980" w:type="dxa"/>
            <w:vAlign w:val="bottom"/>
          </w:tcPr>
          <w:p>
            <w:pPr>
              <w:ind w:left="80"/>
              <w:spacing w:after="0"/>
              <w:rPr>
                <w:sz w:val="20"/>
                <w:szCs w:val="20"/>
                <w:color w:val="auto"/>
              </w:rPr>
            </w:pPr>
            <w:r>
              <w:rPr>
                <w:rFonts w:ascii="Arial" w:cs="Arial" w:eastAsia="Arial" w:hAnsi="Arial"/>
                <w:sz w:val="15"/>
                <w:szCs w:val="15"/>
                <w:color w:val="auto"/>
              </w:rPr>
              <w:t>(Middle)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gridSpan w:val="4"/>
          </w:tcPr>
          <w:p>
            <w:pPr>
              <w:spacing w:after="0"/>
              <w:rPr>
                <w:sz w:val="20"/>
                <w:szCs w:val="20"/>
                <w:color w:val="auto"/>
              </w:rPr>
            </w:pPr>
            <w:r>
              <w:rPr>
                <w:rFonts w:ascii="Arial" w:cs="Arial" w:eastAsia="Arial" w:hAnsi="Arial"/>
                <w:sz w:val="20"/>
                <w:szCs w:val="20"/>
                <w:color w:val="0000FF"/>
              </w:rPr>
              <w:t>375 PARK AVENUE, 11TH FLOOR</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1340" w:type="dxa"/>
            <w:vAlign w:val="bottom"/>
          </w:tcPr>
          <w:p>
            <w:pPr>
              <w:ind w:left="180"/>
              <w:spacing w:after="0"/>
              <w:rPr>
                <w:sz w:val="20"/>
                <w:szCs w:val="20"/>
                <w:color w:val="auto"/>
              </w:rPr>
            </w:pPr>
            <w:r>
              <w:rPr>
                <w:rFonts w:ascii="Arial" w:cs="Arial" w:eastAsia="Arial" w:hAnsi="Arial"/>
                <w:sz w:val="20"/>
                <w:szCs w:val="20"/>
                <w:color w:val="0000FF"/>
              </w:rPr>
              <w:t>NY</w:t>
            </w:r>
          </w:p>
        </w:tc>
        <w:tc>
          <w:tcPr>
            <w:tcW w:w="1120" w:type="dxa"/>
            <w:vAlign w:val="bottom"/>
            <w:gridSpan w:val="2"/>
          </w:tcPr>
          <w:p>
            <w:pPr>
              <w:jc w:val="right"/>
              <w:ind w:right="342"/>
              <w:spacing w:after="0"/>
              <w:rPr>
                <w:sz w:val="20"/>
                <w:szCs w:val="20"/>
                <w:color w:val="auto"/>
              </w:rPr>
            </w:pPr>
            <w:r>
              <w:rPr>
                <w:rFonts w:ascii="Arial" w:cs="Arial" w:eastAsia="Arial" w:hAnsi="Arial"/>
                <w:sz w:val="20"/>
                <w:szCs w:val="20"/>
                <w:color w:val="0000FF"/>
              </w:rPr>
              <w:t>10152</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340" w:type="dxa"/>
            <w:vAlign w:val="bottom"/>
          </w:tcPr>
          <w:p>
            <w:pPr>
              <w:ind w:left="180"/>
              <w:spacing w:after="0"/>
              <w:rPr>
                <w:sz w:val="20"/>
                <w:szCs w:val="20"/>
                <w:color w:val="auto"/>
              </w:rPr>
            </w:pPr>
            <w:r>
              <w:rPr>
                <w:rFonts w:ascii="Arial" w:cs="Arial" w:eastAsia="Arial" w:hAnsi="Arial"/>
                <w:sz w:val="15"/>
                <w:szCs w:val="15"/>
                <w:color w:val="auto"/>
              </w:rPr>
              <w:t>(State)</w:t>
            </w:r>
          </w:p>
        </w:tc>
        <w:tc>
          <w:tcPr>
            <w:tcW w:w="140" w:type="dxa"/>
            <w:vAlign w:val="bottom"/>
          </w:tcPr>
          <w:p>
            <w:pPr>
              <w:spacing w:after="0"/>
              <w:rPr>
                <w:sz w:val="24"/>
                <w:szCs w:val="24"/>
                <w:color w:val="auto"/>
              </w:rPr>
            </w:pPr>
          </w:p>
        </w:tc>
        <w:tc>
          <w:tcPr>
            <w:tcW w:w="980" w:type="dxa"/>
            <w:vAlign w:val="bottom"/>
          </w:tcPr>
          <w:p>
            <w:pPr>
              <w:ind w:left="80"/>
              <w:spacing w:after="0"/>
              <w:rPr>
                <w:sz w:val="20"/>
                <w:szCs w:val="20"/>
                <w:color w:val="auto"/>
              </w:rPr>
            </w:pPr>
            <w:r>
              <w:rPr>
                <w:rFonts w:ascii="Arial" w:cs="Arial" w:eastAsia="Arial" w:hAnsi="Arial"/>
                <w:sz w:val="15"/>
                <w:szCs w:val="15"/>
                <w:color w:val="auto"/>
              </w:rPr>
              <w:t>(Zip)</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660" w:type="dxa"/>
            <w:vAlign w:val="bottom"/>
            <w:tcBorders>
              <w:bottom w:val="single" w:sz="8" w:color="2C2C2C"/>
            </w:tcBorders>
            <w:gridSpan w:val="4"/>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3780" w:type="dxa"/>
            <w:vAlign w:val="bottom"/>
            <w:gridSpan w:val="6"/>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560" w:type="dxa"/>
            <w:vAlign w:val="bottom"/>
            <w:gridSpan w:val="8"/>
          </w:tcPr>
          <w:p>
            <w:pPr>
              <w:spacing w:after="0" w:line="249" w:lineRule="exact"/>
              <w:rPr>
                <w:rFonts w:ascii="Arial" w:cs="Arial" w:eastAsia="Arial" w:hAnsi="Arial"/>
                <w:sz w:val="24"/>
                <w:szCs w:val="24"/>
                <w:color w:val="0000EE"/>
              </w:rPr>
            </w:pPr>
            <w:hyperlink r:id="rId12">
              <w:r>
                <w:rPr>
                  <w:rFonts w:ascii="Arial" w:cs="Arial" w:eastAsia="Arial" w:hAnsi="Arial"/>
                  <w:sz w:val="24"/>
                  <w:szCs w:val="24"/>
                  <w:color w:val="0000EE"/>
                </w:rPr>
                <w:t>CB Blizzard Lower Holdings GP B, LLC</w:t>
              </w:r>
            </w:hyperlink>
          </w:p>
        </w:tc>
        <w:tc>
          <w:tcPr>
            <w:tcW w:w="17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40" w:type="dxa"/>
            <w:vAlign w:val="bottom"/>
            <w:tcBorders>
              <w:top w:val="single" w:sz="8" w:color="0000EE"/>
              <w:bottom w:val="single" w:sz="8" w:color="9A9A9A"/>
            </w:tcBorders>
          </w:tcPr>
          <w:p>
            <w:pPr>
              <w:spacing w:after="0"/>
              <w:rPr>
                <w:sz w:val="17"/>
                <w:szCs w:val="17"/>
                <w:color w:val="auto"/>
              </w:rPr>
            </w:pPr>
          </w:p>
        </w:tc>
        <w:tc>
          <w:tcPr>
            <w:tcW w:w="980" w:type="dxa"/>
            <w:vAlign w:val="bottom"/>
            <w:tcBorders>
              <w:top w:val="single" w:sz="8" w:color="0000EE"/>
              <w:bottom w:val="single" w:sz="8" w:color="9A9A9A"/>
            </w:tcBorders>
          </w:tcPr>
          <w:p>
            <w:pPr>
              <w:spacing w:after="0"/>
              <w:rPr>
                <w:sz w:val="17"/>
                <w:szCs w:val="17"/>
                <w:color w:val="auto"/>
              </w:rPr>
            </w:pPr>
          </w:p>
        </w:tc>
        <w:tc>
          <w:tcPr>
            <w:tcW w:w="320" w:type="dxa"/>
            <w:vAlign w:val="bottom"/>
            <w:tcBorders>
              <w:top w:val="single" w:sz="8" w:color="0000EE"/>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340" w:type="dxa"/>
            <w:vAlign w:val="bottom"/>
          </w:tcPr>
          <w:p>
            <w:pPr>
              <w:ind w:left="180"/>
              <w:spacing w:after="0"/>
              <w:rPr>
                <w:sz w:val="20"/>
                <w:szCs w:val="20"/>
                <w:color w:val="auto"/>
              </w:rPr>
            </w:pPr>
            <w:r>
              <w:rPr>
                <w:rFonts w:ascii="Arial" w:cs="Arial" w:eastAsia="Arial" w:hAnsi="Arial"/>
                <w:sz w:val="15"/>
                <w:szCs w:val="15"/>
                <w:color w:val="auto"/>
              </w:rPr>
              <w:t>(First)</w:t>
            </w:r>
          </w:p>
        </w:tc>
        <w:tc>
          <w:tcPr>
            <w:tcW w:w="140" w:type="dxa"/>
            <w:vAlign w:val="bottom"/>
          </w:tcPr>
          <w:p>
            <w:pPr>
              <w:spacing w:after="0"/>
              <w:rPr>
                <w:sz w:val="24"/>
                <w:szCs w:val="24"/>
                <w:color w:val="auto"/>
              </w:rPr>
            </w:pPr>
          </w:p>
        </w:tc>
        <w:tc>
          <w:tcPr>
            <w:tcW w:w="980" w:type="dxa"/>
            <w:vAlign w:val="bottom"/>
          </w:tcPr>
          <w:p>
            <w:pPr>
              <w:ind w:left="80"/>
              <w:spacing w:after="0"/>
              <w:rPr>
                <w:sz w:val="20"/>
                <w:szCs w:val="20"/>
                <w:color w:val="auto"/>
              </w:rPr>
            </w:pPr>
            <w:r>
              <w:rPr>
                <w:rFonts w:ascii="Arial" w:cs="Arial" w:eastAsia="Arial" w:hAnsi="Arial"/>
                <w:sz w:val="15"/>
                <w:szCs w:val="15"/>
                <w:color w:val="auto"/>
              </w:rPr>
              <w:t>(Middle)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gridSpan w:val="4"/>
          </w:tcPr>
          <w:p>
            <w:pPr>
              <w:spacing w:after="0"/>
              <w:rPr>
                <w:sz w:val="20"/>
                <w:szCs w:val="20"/>
                <w:color w:val="auto"/>
              </w:rPr>
            </w:pPr>
            <w:r>
              <w:rPr>
                <w:rFonts w:ascii="Arial" w:cs="Arial" w:eastAsia="Arial" w:hAnsi="Arial"/>
                <w:sz w:val="20"/>
                <w:szCs w:val="20"/>
                <w:color w:val="0000FF"/>
              </w:rPr>
              <w:t>375 PARK AVENUE, 11TH FLOOR</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14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32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1340" w:type="dxa"/>
            <w:vAlign w:val="bottom"/>
          </w:tcPr>
          <w:p>
            <w:pPr>
              <w:ind w:left="180"/>
              <w:spacing w:after="0"/>
              <w:rPr>
                <w:sz w:val="20"/>
                <w:szCs w:val="20"/>
                <w:color w:val="auto"/>
              </w:rPr>
            </w:pPr>
            <w:r>
              <w:rPr>
                <w:rFonts w:ascii="Arial" w:cs="Arial" w:eastAsia="Arial" w:hAnsi="Arial"/>
                <w:sz w:val="20"/>
                <w:szCs w:val="20"/>
                <w:color w:val="0000FF"/>
              </w:rPr>
              <w:t>NY</w:t>
            </w:r>
          </w:p>
        </w:tc>
        <w:tc>
          <w:tcPr>
            <w:tcW w:w="1120" w:type="dxa"/>
            <w:vAlign w:val="bottom"/>
            <w:gridSpan w:val="2"/>
          </w:tcPr>
          <w:p>
            <w:pPr>
              <w:jc w:val="right"/>
              <w:ind w:right="342"/>
              <w:spacing w:after="0"/>
              <w:rPr>
                <w:sz w:val="20"/>
                <w:szCs w:val="20"/>
                <w:color w:val="auto"/>
              </w:rPr>
            </w:pPr>
            <w:r>
              <w:rPr>
                <w:rFonts w:ascii="Arial" w:cs="Arial" w:eastAsia="Arial" w:hAnsi="Arial"/>
                <w:sz w:val="20"/>
                <w:szCs w:val="20"/>
                <w:color w:val="0000FF"/>
              </w:rPr>
              <w:t>10152</w:t>
            </w: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480" w:top="236" w:right="479" w:bottom="0" w:gutter="0" w:footer="0" w:header="0"/>
          <w:type w:val="continuous"/>
        </w:sectPr>
      </w:pPr>
    </w:p>
    <w:p>
      <w:pPr>
        <w:spacing w:after="0" w:line="161"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838" w:orient="portrait"/>
          <w:cols w:equalWidth="0" w:num="1">
            <w:col w:w="10940"/>
          </w:cols>
          <w:pgMar w:left="480" w:top="236" w:right="47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3700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3700780"/>
                    </a:xfrm>
                    <a:prstGeom prst="rect">
                      <a:avLst/>
                    </a:prstGeom>
                    <a:noFill/>
                  </pic:spPr>
                </pic:pic>
              </a:graphicData>
            </a:graphic>
          </wp:anchor>
        </w:drawing>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CB Blizzard Lower Holdings A, L.P.</w:t>
        </w:r>
      </w:hyperlink>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100" w:type="dxa"/>
            <w:vAlign w:val="bottom"/>
          </w:tcPr>
          <w:p>
            <w:pPr>
              <w:ind w:left="18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375 PARK AVENUE, 11TH FLOOR</w:t>
            </w:r>
          </w:p>
        </w:tc>
      </w:tr>
      <w:tr>
        <w:trPr>
          <w:trHeight w:val="237"/>
        </w:trPr>
        <w:tc>
          <w:tcPr>
            <w:tcW w:w="2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299"/>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100" w:type="dxa"/>
            <w:vAlign w:val="bottom"/>
          </w:tcPr>
          <w:p>
            <w:pPr>
              <w:ind w:left="180"/>
              <w:spacing w:after="0"/>
              <w:rPr>
                <w:sz w:val="20"/>
                <w:szCs w:val="20"/>
                <w:color w:val="auto"/>
              </w:rPr>
            </w:pPr>
            <w:r>
              <w:rPr>
                <w:rFonts w:ascii="Arial" w:cs="Arial" w:eastAsia="Arial" w:hAnsi="Arial"/>
                <w:sz w:val="20"/>
                <w:szCs w:val="20"/>
                <w:color w:val="0000FF"/>
              </w:rPr>
              <w:t>NY</w:t>
            </w:r>
          </w:p>
        </w:tc>
        <w:tc>
          <w:tcPr>
            <w:tcW w:w="1800" w:type="dxa"/>
            <w:vAlign w:val="bottom"/>
          </w:tcPr>
          <w:p>
            <w:pPr>
              <w:ind w:left="460"/>
              <w:spacing w:after="0"/>
              <w:rPr>
                <w:sz w:val="20"/>
                <w:szCs w:val="20"/>
                <w:color w:val="auto"/>
              </w:rPr>
            </w:pPr>
            <w:r>
              <w:rPr>
                <w:rFonts w:ascii="Arial" w:cs="Arial" w:eastAsia="Arial" w:hAnsi="Arial"/>
                <w:sz w:val="20"/>
                <w:szCs w:val="20"/>
                <w:color w:val="0000FF"/>
              </w:rPr>
              <w:t>10152</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CB Blizzard Lower Holdings B, L.P.</w:t>
        </w:r>
      </w:hyperlink>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100" w:type="dxa"/>
            <w:vAlign w:val="bottom"/>
          </w:tcPr>
          <w:p>
            <w:pPr>
              <w:ind w:left="18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375 PARK AVENUE, 11TH FLOOR</w:t>
            </w:r>
          </w:p>
        </w:tc>
      </w:tr>
      <w:tr>
        <w:trPr>
          <w:trHeight w:val="237"/>
        </w:trPr>
        <w:tc>
          <w:tcPr>
            <w:tcW w:w="2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299"/>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100" w:type="dxa"/>
            <w:vAlign w:val="bottom"/>
          </w:tcPr>
          <w:p>
            <w:pPr>
              <w:ind w:left="180"/>
              <w:spacing w:after="0"/>
              <w:rPr>
                <w:sz w:val="20"/>
                <w:szCs w:val="20"/>
                <w:color w:val="auto"/>
              </w:rPr>
            </w:pPr>
            <w:r>
              <w:rPr>
                <w:rFonts w:ascii="Arial" w:cs="Arial" w:eastAsia="Arial" w:hAnsi="Arial"/>
                <w:sz w:val="20"/>
                <w:szCs w:val="20"/>
                <w:color w:val="0000FF"/>
              </w:rPr>
              <w:t>NY</w:t>
            </w:r>
          </w:p>
        </w:tc>
        <w:tc>
          <w:tcPr>
            <w:tcW w:w="1800" w:type="dxa"/>
            <w:vAlign w:val="bottom"/>
          </w:tcPr>
          <w:p>
            <w:pPr>
              <w:ind w:left="460"/>
              <w:spacing w:after="0"/>
              <w:rPr>
                <w:sz w:val="20"/>
                <w:szCs w:val="20"/>
                <w:color w:val="auto"/>
              </w:rPr>
            </w:pPr>
            <w:r>
              <w:rPr>
                <w:rFonts w:ascii="Arial" w:cs="Arial" w:eastAsia="Arial" w:hAnsi="Arial"/>
                <w:sz w:val="20"/>
                <w:szCs w:val="20"/>
                <w:color w:val="0000FF"/>
              </w:rPr>
              <w:t>10152</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right="40" w:firstLine="5"/>
        <w:spacing w:after="0" w:line="238"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Reflects securities held directly by CB Blizzard Lower Holdings A, L.P. Prior to March 9, 2021, 23,129,333 Class A shares were held of record by CCP III AIV VII Holdings, L.P. ("CCP III") and 17,553,628 Class A shares were held of record by CB Blizzard Co-Invest Holdings, L.P. ("CB Blizzard"). On March 9, 2021, each of CCP III and CB Blizzard contributed the Class A shares held by them to CB Blizzard Lower Holdings A, L.P. The general partner of CB Blizzard Lower Holdings A, L.P. is CB Blizzard Lower Holdings GP A, LLC, which is owned by CCP III and CB Blizzard.</w:t>
      </w:r>
    </w:p>
    <w:p>
      <w:pPr>
        <w:spacing w:after="0" w:line="36" w:lineRule="exact"/>
        <w:rPr>
          <w:rFonts w:ascii="Arial" w:cs="Arial" w:eastAsia="Arial" w:hAnsi="Arial"/>
          <w:sz w:val="15"/>
          <w:szCs w:val="15"/>
          <w:color w:val="008000"/>
        </w:rPr>
      </w:pPr>
    </w:p>
    <w:p>
      <w:pPr>
        <w:ind w:right="140" w:firstLine="5"/>
        <w:spacing w:after="0" w:line="241"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Reflects securities held directly by CB Blizzard Lower Holdings B, L.P. Prior to March 9, 2021, these securities were held of record by Blizzard Aggregator, LLC ("Blizzard Aggregator"). On March 9, 2021, Blizzard Aggregator contributed these securities to CB Blizzard Lower Holdings B, L.P. The general partner of CB Blizzard Lower Holdings B, L.P. is CB Blizzard Lower Holdings GP B, LLC, which is owned by Blizzard Aggregator.</w:t>
      </w:r>
    </w:p>
    <w:p>
      <w:pPr>
        <w:spacing w:after="0" w:line="35" w:lineRule="exact"/>
        <w:rPr>
          <w:rFonts w:ascii="Arial" w:cs="Arial" w:eastAsia="Arial" w:hAnsi="Arial"/>
          <w:sz w:val="15"/>
          <w:szCs w:val="15"/>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No securities of the Issuer were purchased, sold or otherwise transferred in connection with the contributions described herein.</w:t>
      </w:r>
    </w:p>
    <w:p>
      <w:pPr>
        <w:spacing w:after="0" w:line="52" w:lineRule="exact"/>
        <w:rPr>
          <w:rFonts w:ascii="Arial" w:cs="Arial" w:eastAsia="Arial" w:hAnsi="Arial"/>
          <w:sz w:val="15"/>
          <w:szCs w:val="15"/>
          <w:color w:val="008000"/>
        </w:rPr>
      </w:pPr>
    </w:p>
    <w:p>
      <w:pPr>
        <w:ind w:firstLine="5"/>
        <w:spacing w:after="0" w:line="281" w:lineRule="auto"/>
        <w:tabs>
          <w:tab w:leader="none" w:pos="15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CCP III Cayman GP Ltd. ("CCP GP") is the general partner of Centerbridge Associates III, L.P. ("Centerbridge Associates"), which is the general partner of each of CCP III and CB Blizzard and may be deemed to share beneficial ownership over the shares held of record by CCP III and CB Blizzard. CCP GP is the sole manager of Blizzard Aggregator and may be deemed to share beneficial ownership over the shares held of record by Blizzard Aggregator. As the director of CCP GP, Jeffrey H. Aronson may be deemed to share beneficial ownership with respect to the shares held by each of CCP III, CB Blizzard and Blizzard Aggregator. Such persons and entities disclaim beneficial ownership of the shares held by each of CB Blizzard Lower Holdings A, L.P. and CB Blizzard Lower Holdings B, L.P., except to the extent of any proportionate pecuniary interest therein.</w:t>
      </w:r>
    </w:p>
    <w:p>
      <w:pPr>
        <w:spacing w:after="0" w:line="10" w:lineRule="exact"/>
        <w:rPr>
          <w:rFonts w:ascii="Arial" w:cs="Arial" w:eastAsia="Arial" w:hAnsi="Arial"/>
          <w:sz w:val="13"/>
          <w:szCs w:val="13"/>
          <w:color w:val="008000"/>
        </w:rPr>
      </w:pPr>
    </w:p>
    <w:p>
      <w:pPr>
        <w:ind w:firstLine="5"/>
        <w:spacing w:after="0" w:line="253"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LLC Interests in GoHealth Holdings, LLC may be redeemed by the Reporting Person at any time on or following the closing of the Initial Public Offering for shares of Class A Common Stock on a 1-to-1 basis.</w:t>
      </w:r>
    </w:p>
    <w:p>
      <w:pPr>
        <w:sectPr>
          <w:pgSz w:w="11900" w:h="16838" w:orient="portrait"/>
          <w:cols w:equalWidth="0" w:num="1">
            <w:col w:w="10840"/>
          </w:cols>
          <w:pgMar w:left="520" w:top="118" w:right="539" w:bottom="0" w:gutter="0" w:footer="0" w:header="0"/>
        </w:sectPr>
      </w:pPr>
    </w:p>
    <w:p>
      <w:pPr>
        <w:spacing w:after="0" w:line="57"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28016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12801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HOLDINGS A,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4904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124904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028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97028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Holdings GP A,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3888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3888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GP, By: CCP III AIV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5920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592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Holdings, L.P., a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8841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8841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By: 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5661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8566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Associates III, L.P., its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2461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By:CCP III Cayman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0078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0078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Ltd., its GP, By:Susanne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4683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346835"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9471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8947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8196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28016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801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HOLDINGS GP B,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6301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2630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By: CCP III AIV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283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05283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Holdings, L.P., a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884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8841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By: 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566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8566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Associates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1823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1182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general partner, By: CCP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714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247140" cy="9525"/>
                    </a:xfrm>
                    <a:prstGeom prst="rect">
                      <a:avLst/>
                    </a:prstGeom>
                    <a:noFill/>
                  </pic:spPr>
                </pic:pic>
              </a:graphicData>
            </a:graphic>
          </wp:anchor>
        </w:drawing>
      </w:r>
    </w:p>
    <w:p>
      <w:pPr>
        <w:spacing w:after="0" w:line="13" w:lineRule="exact"/>
        <w:rPr>
          <w:sz w:val="20"/>
          <w:szCs w:val="20"/>
          <w:color w:val="auto"/>
        </w:rPr>
      </w:pPr>
    </w:p>
    <w:p>
      <w:pPr>
        <w:ind w:left="6540" w:right="280" w:hanging="7"/>
        <w:spacing w:after="0" w:line="291" w:lineRule="auto"/>
        <w:tabs>
          <w:tab w:leader="none" w:pos="6784" w:val="left"/>
        </w:tabs>
        <w:numPr>
          <w:ilvl w:val="0"/>
          <w:numId w:val="5"/>
        </w:numPr>
        <w:rPr>
          <w:rFonts w:ascii="Arial" w:cs="Arial" w:eastAsia="Arial" w:hAnsi="Arial"/>
          <w:sz w:val="18"/>
          <w:szCs w:val="18"/>
          <w:color w:val="0000FF"/>
        </w:rPr>
      </w:pPr>
      <w:r>
        <w:rPr>
          <w:rFonts w:ascii="Arial" w:cs="Arial" w:eastAsia="Arial" w:hAnsi="Arial"/>
          <w:sz w:val="18"/>
          <w:szCs w:val="18"/>
          <w:color w:val="0000FF"/>
        </w:rPr>
        <w:t>Cayman GP Ltd., its general partner, By: /s/ Susanne V. Clark,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-511810</wp:posOffset>
            </wp:positionV>
            <wp:extent cx="116967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6967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-359410</wp:posOffset>
            </wp:positionV>
            <wp:extent cx="113030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13030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-207010</wp:posOffset>
            </wp:positionV>
            <wp:extent cx="885190"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885190" cy="952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-53975</wp:posOffset>
            </wp:positionV>
            <wp:extent cx="106997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0000FF"/>
        </w:rPr>
        <w:t>03/19/2021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0000FF"/>
        </w:rPr>
        <w:t>03/19/2021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1305" w:lineRule="exact"/>
        <w:rPr>
          <w:sz w:val="20"/>
          <w:szCs w:val="20"/>
          <w:color w:val="auto"/>
        </w:rPr>
      </w:pPr>
    </w:p>
    <w:p>
      <w:pPr>
        <w:sectPr>
          <w:pgSz w:w="11900" w:h="16838" w:orient="portrait"/>
          <w:cols w:equalWidth="0" w:num="2">
            <w:col w:w="8660" w:space="60"/>
            <w:col w:w="2120"/>
          </w:cols>
          <w:pgMar w:left="520" w:top="118" w:right="539" w:bottom="0" w:gutter="0" w:footer="0" w:header="0"/>
          <w:type w:val="continuous"/>
        </w:sectPr>
      </w:pPr>
    </w:p>
    <w:p>
      <w:pPr>
        <w:ind w:left="6540"/>
        <w:spacing w:after="0"/>
        <w:tabs>
          <w:tab w:leader="none" w:pos="8700" w:val="left"/>
        </w:tabs>
        <w:rPr>
          <w:sz w:val="20"/>
          <w:szCs w:val="20"/>
          <w:color w:val="auto"/>
        </w:rPr>
      </w:pPr>
      <w:r>
        <w:rPr>
          <w:rFonts w:ascii="Arial" w:cs="Arial" w:eastAsia="Arial" w:hAnsi="Arial"/>
          <w:sz w:val="20"/>
          <w:szCs w:val="20"/>
          <w:color w:val="0000FF"/>
        </w:rPr>
        <w:t>CB BLIZZARD LOWER</w:t>
      </w:r>
      <w:r>
        <w:rPr>
          <w:sz w:val="20"/>
          <w:szCs w:val="20"/>
          <w:color w:val="auto"/>
        </w:rPr>
        <w:tab/>
      </w:r>
      <w:r>
        <w:rPr>
          <w:rFonts w:ascii="Arial" w:cs="Arial" w:eastAsia="Arial" w:hAnsi="Arial"/>
          <w:sz w:val="17"/>
          <w:szCs w:val="17"/>
          <w:color w:val="0000FF"/>
        </w:rPr>
        <w:t>03/19/2021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955800"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HOLDINGS GP 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70000"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2700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By: CCP III AIV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283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105283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Holdings, L.P., a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8841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12884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By: Centerbridge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5661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8566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Associates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1823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11182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partner, By: CCP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47140"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12471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III Cayman GP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6967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1169670" cy="9525"/>
                    </a:xfrm>
                    <a:prstGeom prst="rect">
                      <a:avLst/>
                    </a:prstGeom>
                    <a:noFill/>
                  </pic:spPr>
                </pic:pic>
              </a:graphicData>
            </a:graphic>
          </wp:anchor>
        </w:drawing>
      </w:r>
    </w:p>
    <w:p>
      <w:pPr>
        <w:sectPr>
          <w:pgSz w:w="11900" w:h="16838" w:orient="portrait"/>
          <w:cols w:equalWidth="0" w:num="1">
            <w:col w:w="10840"/>
          </w:cols>
          <w:pgMar w:left="520" w:top="118" w:right="53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13030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11303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85190"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8851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997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280160"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12801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HOLDINGS B,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4206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CB Blizzard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70280"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97028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Holdings GP B,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31900"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12319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8234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98234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Blizzard Aggregator, LLC, 03/19/2021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55800"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its sole member, By: CCP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85240"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12852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III Cayman GP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69670"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116967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sole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40765"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104076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Susanne V.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85190"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8851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9975"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3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upperLetter"/>
      <w:start w:val="6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10" Type="http://schemas.openxmlformats.org/officeDocument/2006/relationships/hyperlink" Target="http://www.sec.gov/cgi-bin/browse-edgar?action=getcompany&amp;CIK=0001852144" TargetMode="External"/><Relationship Id="rId11" Type="http://schemas.openxmlformats.org/officeDocument/2006/relationships/hyperlink" Target="http://www.sec.gov/cgi-bin/browse-edgar?action=getcompany&amp;CIK=0001808220" TargetMode="External"/><Relationship Id="rId12" Type="http://schemas.openxmlformats.org/officeDocument/2006/relationships/hyperlink" Target="http://www.sec.gov/cgi-bin/browse-edgar?action=getcompany&amp;CIK=0001852159" TargetMode="External"/><Relationship Id="rId14" Type="http://schemas.openxmlformats.org/officeDocument/2006/relationships/hyperlink" Target="http://www.sec.gov/cgi-bin/browse-edgar?action=getcompany&amp;CIK=0001852252" TargetMode="External"/><Relationship Id="rId15" Type="http://schemas.openxmlformats.org/officeDocument/2006/relationships/hyperlink" Target="http://www.sec.gov/cgi-bin/browse-edgar?action=getcompany&amp;CIK=00018521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2021-03-19T19:44:00Z</dcterms:created>
  <dcterms:modified xsi:type="dcterms:W3CDTF">2021-03-19T19:44:00Z</dcterms:modified>
</cp:coreProperties>
</file>