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July 18, 2025</w:t>
      </w:r>
    </w:p>
    <w:p>
      <w:pPr>
        <w:spacing w:after="0" w:line="18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 UNDER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GoHealth,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1407" w:right="319" w:bottom="1440" w:gutter="0" w:footer="0" w:header="0"/>
        </w:sectPr>
      </w:pPr>
    </w:p>
    <w:p>
      <w:pPr>
        <w:spacing w:after="0" w:line="23" w:lineRule="exact"/>
        <w:rPr>
          <w:sz w:val="24"/>
          <w:szCs w:val="24"/>
          <w:color w:val="auto"/>
        </w:rPr>
      </w:pPr>
    </w:p>
    <w:p>
      <w:pPr>
        <w:jc w:val="center"/>
        <w:ind w:right="41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6" w:lineRule="exact"/>
        <w:rPr>
          <w:sz w:val="24"/>
          <w:szCs w:val="24"/>
          <w:color w:val="auto"/>
        </w:rPr>
      </w:pPr>
    </w:p>
    <w:p>
      <w:pPr>
        <w:jc w:val="center"/>
        <w:ind w:right="41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85-0563805</w:t>
      </w:r>
    </w:p>
    <w:p>
      <w:pPr>
        <w:spacing w:after="0" w:line="1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7820" w:space="720"/>
            <w:col w:w="2740"/>
          </w:cols>
          <w:pgMar w:left="300" w:top="1407" w:right="319" w:bottom="1440" w:gutter="0" w:footer="0" w:header="0"/>
          <w:type w:val="continuous"/>
        </w:sectPr>
      </w:pP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222 W Merchandise Mart Plaza, Suite 1750, Chicago, Illinois 60654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GOHEALTH, INC. SECOND AMENDED AND RESTATED 2020 INCENTIVE AWARD PLAN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BRADLEY BURD</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Legal Officer</w:t>
      </w:r>
    </w:p>
    <w:p>
      <w:pPr>
        <w:jc w:val="center"/>
        <w:spacing w:after="0" w:line="237" w:lineRule="auto"/>
        <w:rPr>
          <w:sz w:val="20"/>
          <w:szCs w:val="20"/>
          <w:color w:val="auto"/>
        </w:rPr>
      </w:pPr>
      <w:r>
        <w:rPr>
          <w:rFonts w:ascii="Times New Roman" w:cs="Times New Roman" w:eastAsia="Times New Roman" w:hAnsi="Times New Roman"/>
          <w:sz w:val="14"/>
          <w:szCs w:val="14"/>
          <w:b w:val="1"/>
          <w:bCs w:val="1"/>
          <w:color w:val="auto"/>
        </w:rPr>
        <w:t>GoHealth, Inc.</w:t>
      </w:r>
    </w:p>
    <w:p>
      <w:pPr>
        <w:jc w:val="center"/>
        <w:spacing w:after="0" w:line="237" w:lineRule="auto"/>
        <w:rPr>
          <w:sz w:val="20"/>
          <w:szCs w:val="20"/>
          <w:color w:val="auto"/>
        </w:rPr>
      </w:pPr>
      <w:r>
        <w:rPr>
          <w:rFonts w:ascii="Times New Roman" w:cs="Times New Roman" w:eastAsia="Times New Roman" w:hAnsi="Times New Roman"/>
          <w:sz w:val="14"/>
          <w:szCs w:val="14"/>
          <w:b w:val="1"/>
          <w:bCs w:val="1"/>
          <w:color w:val="auto"/>
        </w:rPr>
        <w:t>222 W Merchandise Mart Plaza, Suite 1750</w:t>
      </w:r>
    </w:p>
    <w:p>
      <w:pPr>
        <w:jc w:val="center"/>
        <w:spacing w:after="0" w:line="237" w:lineRule="auto"/>
        <w:rPr>
          <w:sz w:val="20"/>
          <w:szCs w:val="20"/>
          <w:color w:val="auto"/>
        </w:rPr>
      </w:pPr>
      <w:r>
        <w:rPr>
          <w:rFonts w:ascii="Times New Roman" w:cs="Times New Roman" w:eastAsia="Times New Roman" w:hAnsi="Times New Roman"/>
          <w:sz w:val="14"/>
          <w:szCs w:val="14"/>
          <w:b w:val="1"/>
          <w:bCs w:val="1"/>
          <w:color w:val="auto"/>
        </w:rPr>
        <w:t>Chicago, Illinois 60654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and address of agent for service)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(312) 386-8200</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number, including area code, of agent for service)</w:t>
      </w:r>
    </w:p>
    <w:p>
      <w:pPr>
        <w:spacing w:after="0" w:line="200" w:lineRule="exact"/>
        <w:rPr>
          <w:sz w:val="24"/>
          <w:szCs w:val="24"/>
          <w:color w:val="auto"/>
        </w:rPr>
      </w:pPr>
    </w:p>
    <w:p>
      <w:pPr>
        <w:spacing w:after="0" w:line="355"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w:t>
      </w:r>
    </w:p>
    <w:p>
      <w:pPr>
        <w:sectPr>
          <w:pgSz w:w="11900" w:h="16838" w:orient="portrait"/>
          <w:cols w:equalWidth="0" w:num="1">
            <w:col w:w="11280"/>
          </w:cols>
          <w:pgMar w:left="300" w:top="1407" w:right="31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02"/>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0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Accelerated filer</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2"/>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0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2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36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40"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80"/>
          </w:cols>
          <w:pgMar w:left="300" w:top="114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Registration Statement on Form S-8 is being filed by GoHealth, Inc. (the “Company”) with the Securities and Exchange Commission (the “Commission”) for the purpose of registering an</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additional 225,000 shares of the Company’s Class A Common Stock, par value $0.0001 per share (“Common Stock”), issuable under the Company’s Second Amended and Restated 2020 Incentive Award Plan.</w:t>
      </w:r>
    </w:p>
    <w:p>
      <w:pPr>
        <w:spacing w:after="0" w:line="156" w:lineRule="exact"/>
        <w:rPr>
          <w:sz w:val="20"/>
          <w:szCs w:val="20"/>
          <w:color w:val="auto"/>
        </w:rPr>
      </w:pPr>
    </w:p>
    <w:p>
      <w:pPr>
        <w:jc w:val="both"/>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Pursuant to Instruction E of Form S-8, the contents of the Registration Statements on Form S-8 filed with the Commission on </w:t>
      </w:r>
      <w:hyperlink r:id="rId8">
        <w:r>
          <w:rPr>
            <w:rFonts w:ascii="Times New Roman" w:cs="Times New Roman" w:eastAsia="Times New Roman" w:hAnsi="Times New Roman"/>
            <w:sz w:val="14"/>
            <w:szCs w:val="14"/>
            <w:u w:val="single" w:color="auto"/>
            <w:color w:val="0000FF"/>
          </w:rPr>
          <w:t>July 15, 2020</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333-239879), </w:t>
      </w:r>
      <w:hyperlink r:id="rId9">
        <w:r>
          <w:rPr>
            <w:rFonts w:ascii="Times New Roman" w:cs="Times New Roman" w:eastAsia="Times New Roman" w:hAnsi="Times New Roman"/>
            <w:sz w:val="14"/>
            <w:szCs w:val="14"/>
            <w:u w:val="single" w:color="auto"/>
            <w:color w:val="0000FF"/>
          </w:rPr>
          <w:t>February 10, 2021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333-252962), </w:t>
      </w:r>
      <w:hyperlink r:id="rId10">
        <w:r>
          <w:rPr>
            <w:rFonts w:ascii="Times New Roman" w:cs="Times New Roman" w:eastAsia="Times New Roman" w:hAnsi="Times New Roman"/>
            <w:sz w:val="14"/>
            <w:szCs w:val="14"/>
            <w:u w:val="single" w:color="auto"/>
            <w:color w:val="0000FF"/>
          </w:rPr>
          <w:t>March 23, 2022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333-263787), </w:t>
      </w:r>
      <w:hyperlink r:id="rId11">
        <w:r>
          <w:rPr>
            <w:rFonts w:ascii="Times New Roman" w:cs="Times New Roman" w:eastAsia="Times New Roman" w:hAnsi="Times New Roman"/>
            <w:sz w:val="14"/>
            <w:szCs w:val="14"/>
            <w:u w:val="single" w:color="auto"/>
            <w:color w:val="0000FF"/>
          </w:rPr>
          <w:t>June 6, 2022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333-265442), </w:t>
      </w:r>
      <w:hyperlink r:id="rId12">
        <w:r>
          <w:rPr>
            <w:rFonts w:ascii="Times New Roman" w:cs="Times New Roman" w:eastAsia="Times New Roman" w:hAnsi="Times New Roman"/>
            <w:sz w:val="14"/>
            <w:szCs w:val="14"/>
            <w:u w:val="single" w:color="auto"/>
            <w:color w:val="0000FF"/>
          </w:rPr>
          <w:t>January 13, 2023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333-269223), </w:t>
      </w:r>
      <w:hyperlink r:id="rId13">
        <w:r>
          <w:rPr>
            <w:rFonts w:ascii="Times New Roman" w:cs="Times New Roman" w:eastAsia="Times New Roman" w:hAnsi="Times New Roman"/>
            <w:sz w:val="14"/>
            <w:szCs w:val="14"/>
            <w:u w:val="single" w:color="auto"/>
            <w:color w:val="0000FF"/>
          </w:rPr>
          <w:t>March 20,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333-278112), and </w:t>
      </w:r>
      <w:hyperlink r:id="rId14">
        <w:r>
          <w:rPr>
            <w:rFonts w:ascii="Times New Roman" w:cs="Times New Roman" w:eastAsia="Times New Roman" w:hAnsi="Times New Roman"/>
            <w:sz w:val="14"/>
            <w:szCs w:val="14"/>
            <w:u w:val="single" w:color="auto"/>
            <w:color w:val="0000FF"/>
          </w:rPr>
          <w:t>March 6,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333-285605) are incorporated by reference herein; except for Items 3 and 8 which are being updated by this Registration Statement.</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6807835</wp:posOffset>
            </wp:positionH>
            <wp:positionV relativeFrom="paragraph">
              <wp:posOffset>-213360</wp:posOffset>
            </wp:positionV>
            <wp:extent cx="356870" cy="100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extLst>
                    </a:blip>
                    <a:srcRect/>
                    <a:stretch>
                      <a:fillRect/>
                    </a:stretch>
                  </pic:blipFill>
                  <pic:spPr bwMode="auto">
                    <a:xfrm>
                      <a:off x="0" y="0"/>
                      <a:ext cx="356870" cy="100965"/>
                    </a:xfrm>
                    <a:prstGeom prst="rect">
                      <a:avLst/>
                    </a:prstGeom>
                    <a:noFill/>
                  </pic:spPr>
                </pic:pic>
              </a:graphicData>
            </a:graphic>
          </wp:anchor>
        </w:drawing>
      </w:r>
    </w:p>
    <w:p>
      <w:pPr>
        <w:spacing w:after="0" w:line="13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REQUIRED IN THE REGISTRATION STATEMENT</w:t>
      </w:r>
    </w:p>
    <w:p>
      <w:pPr>
        <w:spacing w:after="0" w:line="17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Incorporation of Documents by Reference.</w:t>
      </w:r>
    </w:p>
    <w:p>
      <w:pPr>
        <w:spacing w:after="0" w:line="191" w:lineRule="exact"/>
        <w:rPr>
          <w:rFonts w:ascii="Times New Roman" w:cs="Times New Roman" w:eastAsia="Times New Roman" w:hAnsi="Times New Roman"/>
          <w:sz w:val="14"/>
          <w:szCs w:val="1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documents, which have been filed with the Commission by the Company are incorporated in this Registration Statement by reference (excluding any portions of such documents that have been “furnished” but not “filed” for purposes of the Securities Exchange Act of 1934, as amended (the “Exchange Act”)):</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Annual Report on Form 10-K for the fiscal year ended December 31, 2024, filed with the Commission on </w:t>
      </w:r>
      <w:hyperlink r:id="rId16">
        <w:r>
          <w:rPr>
            <w:rFonts w:ascii="Times New Roman" w:cs="Times New Roman" w:eastAsia="Times New Roman" w:hAnsi="Times New Roman"/>
            <w:sz w:val="14"/>
            <w:szCs w:val="14"/>
            <w:u w:val="single" w:color="auto"/>
            <w:color w:val="0000FF"/>
          </w:rPr>
          <w:t>February 27, 2025</w:t>
        </w:r>
      </w:hyperlink>
      <w:r>
        <w:rPr>
          <w:rFonts w:ascii="Times New Roman" w:cs="Times New Roman" w:eastAsia="Times New Roman" w:hAnsi="Times New Roman"/>
          <w:sz w:val="14"/>
          <w:szCs w:val="14"/>
          <w:color w:val="auto"/>
        </w:rPr>
        <w: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Quarterly Report on Form 10-Q for the quarter ended March 31, 2025, filed with the Commission on </w:t>
      </w:r>
      <w:hyperlink r:id="rId17">
        <w:r>
          <w:rPr>
            <w:rFonts w:ascii="Times New Roman" w:cs="Times New Roman" w:eastAsia="Times New Roman" w:hAnsi="Times New Roman"/>
            <w:sz w:val="14"/>
            <w:szCs w:val="14"/>
            <w:u w:val="single" w:color="auto"/>
            <w:color w:val="0000FF"/>
          </w:rPr>
          <w:t>May 16, 2025</w:t>
        </w:r>
      </w:hyperlink>
      <w:r>
        <w:rPr>
          <w:rFonts w:ascii="Times New Roman" w:cs="Times New Roman" w:eastAsia="Times New Roman" w:hAnsi="Times New Roman"/>
          <w:sz w:val="14"/>
          <w:szCs w:val="14"/>
          <w:color w:val="auto"/>
        </w:rPr>
        <w: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Current Reports on Form 8-K filed with the Commission on </w:t>
      </w:r>
      <w:hyperlink r:id="rId18">
        <w:r>
          <w:rPr>
            <w:rFonts w:ascii="Times New Roman" w:cs="Times New Roman" w:eastAsia="Times New Roman" w:hAnsi="Times New Roman"/>
            <w:sz w:val="14"/>
            <w:szCs w:val="14"/>
            <w:u w:val="single" w:color="auto"/>
            <w:color w:val="0000FF"/>
          </w:rPr>
          <w:t>April 7, 2025</w:t>
        </w:r>
      </w:hyperlink>
      <w:r>
        <w:rPr>
          <w:rFonts w:ascii="Times New Roman" w:cs="Times New Roman" w:eastAsia="Times New Roman" w:hAnsi="Times New Roman"/>
          <w:sz w:val="14"/>
          <w:szCs w:val="14"/>
          <w:color w:val="auto"/>
        </w:rPr>
        <w:t xml:space="preserve">, </w:t>
      </w:r>
      <w:hyperlink r:id="rId19">
        <w:r>
          <w:rPr>
            <w:rFonts w:ascii="Times New Roman" w:cs="Times New Roman" w:eastAsia="Times New Roman" w:hAnsi="Times New Roman"/>
            <w:sz w:val="14"/>
            <w:szCs w:val="14"/>
            <w:u w:val="single" w:color="auto"/>
            <w:color w:val="0000FF"/>
          </w:rPr>
          <w:t>June 20, 2025</w:t>
        </w:r>
      </w:hyperlink>
      <w:r>
        <w:rPr>
          <w:rFonts w:ascii="Times New Roman" w:cs="Times New Roman" w:eastAsia="Times New Roman" w:hAnsi="Times New Roman"/>
          <w:sz w:val="14"/>
          <w:szCs w:val="14"/>
          <w:color w:val="auto"/>
        </w:rPr>
        <w:t xml:space="preserve">, and </w:t>
      </w:r>
      <w:hyperlink r:id="rId20">
        <w:r>
          <w:rPr>
            <w:rFonts w:ascii="Times New Roman" w:cs="Times New Roman" w:eastAsia="Times New Roman" w:hAnsi="Times New Roman"/>
            <w:sz w:val="14"/>
            <w:szCs w:val="14"/>
            <w:u w:val="single" w:color="auto"/>
            <w:color w:val="0000FF"/>
          </w:rPr>
          <w:t>June 30, 2025</w:t>
        </w:r>
      </w:hyperlink>
      <w:r>
        <w:rPr>
          <w:rFonts w:ascii="Times New Roman" w:cs="Times New Roman" w:eastAsia="Times New Roman" w:hAnsi="Times New Roman"/>
          <w:sz w:val="14"/>
          <w:szCs w:val="14"/>
          <w:color w:val="auto"/>
        </w:rPr>
        <w:t>; and</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Company’s Common Stock contained in the Company’s Registration Statement on Form 8-A dated </w:t>
      </w:r>
      <w:hyperlink r:id="rId21">
        <w:r>
          <w:rPr>
            <w:rFonts w:ascii="Times New Roman" w:cs="Times New Roman" w:eastAsia="Times New Roman" w:hAnsi="Times New Roman"/>
            <w:sz w:val="14"/>
            <w:szCs w:val="14"/>
            <w:u w:val="single" w:color="auto"/>
            <w:color w:val="0000FF"/>
          </w:rPr>
          <w:t>July 15, 2020</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001-39390) filed under the Exchange Act, including any amendment or report filed for the purpose of updating such description.</w:t>
      </w:r>
    </w:p>
    <w:p>
      <w:pPr>
        <w:spacing w:after="0" w:line="146" w:lineRule="exact"/>
        <w:rPr>
          <w:rFonts w:ascii="Times New Roman" w:cs="Times New Roman" w:eastAsia="Times New Roman" w:hAnsi="Times New Roman"/>
          <w:sz w:val="14"/>
          <w:szCs w:val="14"/>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All documents subsequently filed by the Company with the Commission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respective dates of filing of such documents (such documents, and the documents enumerated above, being hereinafter referred to as “Incorporated Documents”).</w:t>
      </w:r>
    </w:p>
    <w:p>
      <w:pPr>
        <w:spacing w:after="0" w:line="162" w:lineRule="exact"/>
        <w:rPr>
          <w:rFonts w:ascii="Times New Roman" w:cs="Times New Roman" w:eastAsia="Times New Roman" w:hAnsi="Times New Roman"/>
          <w:sz w:val="14"/>
          <w:szCs w:val="14"/>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15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Exhibits.</w:t>
      </w:r>
    </w:p>
    <w:p>
      <w:pPr>
        <w:spacing w:after="0" w:line="18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The Exhibits listed on the accompanying Index to Exhibits are filed as part hereof, or incorporated by reference into, this Registration Statement. See Exhibit Index below.</w:t>
      </w:r>
    </w:p>
    <w:p>
      <w:pPr>
        <w:sectPr>
          <w:pgSz w:w="11900" w:h="16838" w:orient="portrait"/>
          <w:cols w:equalWidth="0" w:num="1">
            <w:col w:w="11280"/>
          </w:cols>
          <w:pgMar w:left="300" w:top="113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3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9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2"/>
        </w:trPr>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1"/>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gridSpan w:val="14"/>
          </w:tcPr>
          <w:p>
            <w:pPr>
              <w:spacing w:after="0"/>
              <w:rPr>
                <w:rFonts w:ascii="Times New Roman" w:cs="Times New Roman" w:eastAsia="Times New Roman" w:hAnsi="Times New Roman"/>
                <w:sz w:val="14"/>
                <w:szCs w:val="14"/>
                <w:color w:val="3051F2"/>
              </w:rPr>
            </w:pPr>
            <w:hyperlink r:id="rId22">
              <w:r>
                <w:rPr>
                  <w:rFonts w:ascii="Times New Roman" w:cs="Times New Roman" w:eastAsia="Times New Roman" w:hAnsi="Times New Roman"/>
                  <w:sz w:val="14"/>
                  <w:szCs w:val="14"/>
                  <w:color w:val="3051F2"/>
                </w:rPr>
                <w:t>Amended and Restated Certificate of Incorporation of GoHealth, Inc. (incorporated by reference to Exhibit 3.1 to the Company’s Quarterly Report on Form 10-Q</w:t>
              </w:r>
            </w:hyperlink>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3051F2"/>
              <w:bottom w:val="single" w:sz="8" w:color="3051F2"/>
            </w:tcBorders>
            <w:gridSpan w:val="8"/>
          </w:tcPr>
          <w:p>
            <w:pPr>
              <w:spacing w:after="0" w:line="139" w:lineRule="exact"/>
              <w:rPr>
                <w:rFonts w:ascii="Times New Roman" w:cs="Times New Roman" w:eastAsia="Times New Roman" w:hAnsi="Times New Roman"/>
                <w:sz w:val="14"/>
                <w:szCs w:val="14"/>
                <w:color w:val="3051F2"/>
              </w:rPr>
            </w:pPr>
            <w:hyperlink r:id="rId22">
              <w:r>
                <w:rPr>
                  <w:rFonts w:ascii="Times New Roman" w:cs="Times New Roman" w:eastAsia="Times New Roman" w:hAnsi="Times New Roman"/>
                  <w:sz w:val="14"/>
                  <w:szCs w:val="14"/>
                  <w:color w:val="3051F2"/>
                </w:rPr>
                <w:t>(File No. 001-39390), filed on August 20, 2020 with the Commission)</w:t>
              </w:r>
            </w:hyperlink>
          </w:p>
        </w:tc>
        <w:tc>
          <w:tcPr>
            <w:tcW w:w="5400" w:type="dxa"/>
            <w:vAlign w:val="bottom"/>
            <w:tcBorders>
              <w:top w:val="single" w:sz="8" w:color="3051F2"/>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40" w:type="dxa"/>
            <w:vAlign w:val="bottom"/>
            <w:gridSpan w:val="14"/>
          </w:tcPr>
          <w:p>
            <w:pPr>
              <w:spacing w:after="0"/>
              <w:rPr>
                <w:rFonts w:ascii="Times New Roman" w:cs="Times New Roman" w:eastAsia="Times New Roman" w:hAnsi="Times New Roman"/>
                <w:sz w:val="14"/>
                <w:szCs w:val="14"/>
                <w:color w:val="3051F2"/>
              </w:rPr>
            </w:pPr>
            <w:hyperlink r:id="rId23">
              <w:r>
                <w:rPr>
                  <w:rFonts w:ascii="Times New Roman" w:cs="Times New Roman" w:eastAsia="Times New Roman" w:hAnsi="Times New Roman"/>
                  <w:sz w:val="14"/>
                  <w:szCs w:val="14"/>
                  <w:color w:val="3051F2"/>
                </w:rPr>
                <w:t>Certificate of Amendment to Amended and Restated Certificate of Incorporation of GoHealth, Inc. (incorporated by reference to Exhibit 3.1 to the Company’s</w:t>
              </w:r>
            </w:hyperlink>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3051F2"/>
            </w:tcBorders>
            <w:gridSpan w:val="13"/>
          </w:tcPr>
          <w:p>
            <w:pPr>
              <w:spacing w:after="0" w:line="139" w:lineRule="exact"/>
              <w:rPr>
                <w:rFonts w:ascii="Times New Roman" w:cs="Times New Roman" w:eastAsia="Times New Roman" w:hAnsi="Times New Roman"/>
                <w:sz w:val="14"/>
                <w:szCs w:val="14"/>
                <w:color w:val="3051F2"/>
              </w:rPr>
            </w:pPr>
            <w:hyperlink r:id="rId23">
              <w:r>
                <w:rPr>
                  <w:rFonts w:ascii="Times New Roman" w:cs="Times New Roman" w:eastAsia="Times New Roman" w:hAnsi="Times New Roman"/>
                  <w:sz w:val="14"/>
                  <w:szCs w:val="14"/>
                  <w:color w:val="3051F2"/>
                </w:rPr>
                <w:t>Current Report on Form 8-K (File No. 001-39390), filed on November 18, 2022 with the Commission)</w:t>
              </w:r>
            </w:hyperlink>
          </w:p>
        </w:tc>
        <w:tc>
          <w:tcPr>
            <w:tcW w:w="20" w:type="dxa"/>
            <w:vAlign w:val="bottom"/>
          </w:tcPr>
          <w:p>
            <w:pPr>
              <w:spacing w:after="0"/>
              <w:rPr>
                <w:sz w:val="12"/>
                <w:szCs w:val="12"/>
                <w:color w:val="auto"/>
              </w:rPr>
            </w:pPr>
          </w:p>
        </w:tc>
      </w:tr>
      <w:tr>
        <w:trPr>
          <w:trHeight w:val="20"/>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520" w:type="dxa"/>
            <w:vAlign w:val="bottom"/>
            <w:gridSpan w:val="2"/>
            <w:shd w:val="clear" w:color="auto" w:fill="3051F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40" w:type="dxa"/>
            <w:vAlign w:val="bottom"/>
            <w:gridSpan w:val="14"/>
          </w:tcPr>
          <w:p>
            <w:pPr>
              <w:spacing w:after="0"/>
              <w:rPr>
                <w:rFonts w:ascii="Times New Roman" w:cs="Times New Roman" w:eastAsia="Times New Roman" w:hAnsi="Times New Roman"/>
                <w:sz w:val="14"/>
                <w:szCs w:val="14"/>
                <w:color w:val="3051F2"/>
              </w:rPr>
            </w:pPr>
            <w:hyperlink r:id="rId24">
              <w:r>
                <w:rPr>
                  <w:rFonts w:ascii="Times New Roman" w:cs="Times New Roman" w:eastAsia="Times New Roman" w:hAnsi="Times New Roman"/>
                  <w:sz w:val="14"/>
                  <w:szCs w:val="14"/>
                  <w:color w:val="3051F2"/>
                </w:rPr>
                <w:t>Amended and Restated Bylaws of GoHealth, Inc. (incorporated by reference to Exhibit 3.2 to the Quarterly Report on Form 10-Q (File No. 001-39390), filed on</w:t>
              </w:r>
            </w:hyperlink>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3051F2"/>
            </w:tcBorders>
            <w:gridSpan w:val="12"/>
          </w:tcPr>
          <w:p>
            <w:pPr>
              <w:spacing w:after="0" w:line="139" w:lineRule="exact"/>
              <w:rPr>
                <w:rFonts w:ascii="Times New Roman" w:cs="Times New Roman" w:eastAsia="Times New Roman" w:hAnsi="Times New Roman"/>
                <w:sz w:val="14"/>
                <w:szCs w:val="14"/>
                <w:color w:val="3051F2"/>
              </w:rPr>
            </w:pPr>
            <w:hyperlink r:id="rId24">
              <w:r>
                <w:rPr>
                  <w:rFonts w:ascii="Times New Roman" w:cs="Times New Roman" w:eastAsia="Times New Roman" w:hAnsi="Times New Roman"/>
                  <w:sz w:val="14"/>
                  <w:szCs w:val="14"/>
                  <w:color w:val="3051F2"/>
                </w:rPr>
                <w:t>August 20, 2020 with the Commission)</w:t>
              </w:r>
            </w:hyperlink>
          </w:p>
        </w:tc>
        <w:tc>
          <w:tcPr>
            <w:tcW w:w="40" w:type="dxa"/>
            <w:vAlign w:val="bottom"/>
            <w:gridSpan w:val="2"/>
          </w:tcPr>
          <w:p>
            <w:pPr>
              <w:spacing w:after="0"/>
              <w:rPr>
                <w:sz w:val="12"/>
                <w:szCs w:val="12"/>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Borders>
              <w:top w:val="single" w:sz="8" w:color="3051F2"/>
            </w:tcBorders>
            <w:gridSpan w:val="4"/>
          </w:tcPr>
          <w:p>
            <w:pPr>
              <w:spacing w:after="0"/>
              <w:rPr>
                <w:sz w:val="20"/>
                <w:szCs w:val="20"/>
                <w:color w:val="auto"/>
              </w:rPr>
            </w:pPr>
            <w:r>
              <w:rPr>
                <w:rFonts w:ascii="Times New Roman" w:cs="Times New Roman" w:eastAsia="Times New Roman" w:hAnsi="Times New Roman"/>
                <w:sz w:val="14"/>
                <w:szCs w:val="14"/>
                <w:color w:val="0000FF"/>
              </w:rPr>
              <w:t>Opinion of Sidley Austin LLP</w:t>
            </w:r>
          </w:p>
        </w:tc>
        <w:tc>
          <w:tcPr>
            <w:tcW w:w="7220" w:type="dxa"/>
            <w:vAlign w:val="bottom"/>
            <w:gridSpan w:val="10"/>
          </w:tcPr>
          <w:p>
            <w:pPr>
              <w:spacing w:after="0"/>
              <w:rPr>
                <w:sz w:val="19"/>
                <w:szCs w:val="19"/>
                <w:color w:val="auto"/>
              </w:rPr>
            </w:pPr>
          </w:p>
        </w:tc>
      </w:tr>
      <w:tr>
        <w:trPr>
          <w:trHeight w:val="20"/>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Consent of Ernst &amp; Young LLP</w:t>
            </w:r>
          </w:p>
        </w:tc>
      </w:tr>
      <w:tr>
        <w:trPr>
          <w:trHeight w:val="20"/>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Consent of Sidley Austin LLP (included in Exhibit 5.1)</w:t>
            </w:r>
          </w:p>
        </w:tc>
        <w:tc>
          <w:tcPr>
            <w:tcW w:w="6300" w:type="dxa"/>
            <w:vAlign w:val="bottom"/>
            <w:gridSpan w:val="8"/>
          </w:tcPr>
          <w:p>
            <w:pPr>
              <w:spacing w:after="0"/>
              <w:rPr>
                <w:sz w:val="19"/>
                <w:szCs w:val="19"/>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4"/>
                <w:szCs w:val="14"/>
                <w:color w:val="3051F2"/>
              </w:rPr>
              <w:t>Power of Attorney (included on the signature page hereto)</w:t>
            </w:r>
          </w:p>
        </w:tc>
        <w:tc>
          <w:tcPr>
            <w:tcW w:w="6140" w:type="dxa"/>
            <w:vAlign w:val="bottom"/>
            <w:gridSpan w:val="7"/>
          </w:tcPr>
          <w:p>
            <w:pPr>
              <w:spacing w:after="0"/>
              <w:rPr>
                <w:sz w:val="19"/>
                <w:szCs w:val="19"/>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40" w:type="dxa"/>
            <w:vAlign w:val="bottom"/>
            <w:gridSpan w:val="14"/>
          </w:tcPr>
          <w:p>
            <w:pPr>
              <w:spacing w:after="0"/>
              <w:rPr>
                <w:rFonts w:ascii="Times New Roman" w:cs="Times New Roman" w:eastAsia="Times New Roman" w:hAnsi="Times New Roman"/>
                <w:sz w:val="14"/>
                <w:szCs w:val="14"/>
                <w:color w:val="3051F2"/>
              </w:rPr>
            </w:pPr>
            <w:hyperlink r:id="rId25">
              <w:r>
                <w:rPr>
                  <w:rFonts w:ascii="Times New Roman" w:cs="Times New Roman" w:eastAsia="Times New Roman" w:hAnsi="Times New Roman"/>
                  <w:sz w:val="14"/>
                  <w:szCs w:val="14"/>
                  <w:color w:val="3051F2"/>
                </w:rPr>
                <w:t>GoHealth, Inc. Second Amended and Restated 2020 Incentive Award Plan (incorporated by reference to Appendix A to the Company’s Definitive Proxy Statement,</w:t>
              </w:r>
            </w:hyperlink>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3051F2"/>
            </w:tcBorders>
            <w:gridSpan w:val="10"/>
          </w:tcPr>
          <w:p>
            <w:pPr>
              <w:spacing w:after="0" w:line="139" w:lineRule="exact"/>
              <w:rPr>
                <w:rFonts w:ascii="Times New Roman" w:cs="Times New Roman" w:eastAsia="Times New Roman" w:hAnsi="Times New Roman"/>
                <w:sz w:val="14"/>
                <w:szCs w:val="14"/>
                <w:color w:val="3051F2"/>
              </w:rPr>
            </w:pPr>
            <w:hyperlink r:id="rId25">
              <w:r>
                <w:rPr>
                  <w:rFonts w:ascii="Times New Roman" w:cs="Times New Roman" w:eastAsia="Times New Roman" w:hAnsi="Times New Roman"/>
                  <w:sz w:val="14"/>
                  <w:szCs w:val="14"/>
                  <w:color w:val="3051F2"/>
                </w:rPr>
                <w:t>filed on April 28, 2025 with the Commission).</w:t>
              </w:r>
            </w:hyperlink>
          </w:p>
        </w:tc>
        <w:tc>
          <w:tcPr>
            <w:tcW w:w="80" w:type="dxa"/>
            <w:vAlign w:val="bottom"/>
            <w:gridSpan w:val="4"/>
          </w:tcPr>
          <w:p>
            <w:pPr>
              <w:spacing w:after="0"/>
              <w:rPr>
                <w:sz w:val="12"/>
                <w:szCs w:val="12"/>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tcBorders>
              <w:top w:val="single" w:sz="8" w:color="3051F2"/>
            </w:tcBorders>
            <w:gridSpan w:val="5"/>
          </w:tcPr>
          <w:p>
            <w:pPr>
              <w:spacing w:after="0"/>
              <w:rPr>
                <w:sz w:val="20"/>
                <w:szCs w:val="20"/>
                <w:color w:val="auto"/>
              </w:rPr>
            </w:pPr>
            <w:r>
              <w:rPr>
                <w:rFonts w:ascii="Times New Roman" w:cs="Times New Roman" w:eastAsia="Times New Roman" w:hAnsi="Times New Roman"/>
                <w:sz w:val="14"/>
                <w:szCs w:val="14"/>
                <w:color w:val="0000FF"/>
              </w:rPr>
              <w:t>Filing Fee Table</w:t>
            </w:r>
          </w:p>
        </w:tc>
        <w:tc>
          <w:tcPr>
            <w:tcW w:w="6820" w:type="dxa"/>
            <w:vAlign w:val="bottom"/>
            <w:gridSpan w:val="9"/>
          </w:tcPr>
          <w:p>
            <w:pPr>
              <w:spacing w:after="0"/>
              <w:rPr>
                <w:sz w:val="19"/>
                <w:szCs w:val="19"/>
                <w:color w:val="auto"/>
              </w:rPr>
            </w:pPr>
          </w:p>
        </w:tc>
      </w:tr>
      <w:tr>
        <w:trPr>
          <w:trHeight w:val="24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Filed herewith.</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ectPr>
          <w:pgSz w:w="11900" w:h="16838" w:orient="portrait"/>
          <w:cols w:equalWidth="0" w:num="1">
            <w:col w:w="11280"/>
          </w:cols>
          <w:pgMar w:left="300" w:top="1131"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July 18, 2025.</w:t>
      </w:r>
    </w:p>
    <w:p>
      <w:pPr>
        <w:spacing w:after="0" w:line="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GOHEALTH, INC.</w:t>
      </w:r>
    </w:p>
    <w:p>
      <w:pPr>
        <w:spacing w:after="0" w:line="200" w:lineRule="exact"/>
        <w:rPr>
          <w:sz w:val="20"/>
          <w:szCs w:val="20"/>
          <w:color w:val="auto"/>
        </w:rPr>
      </w:pPr>
    </w:p>
    <w:p>
      <w:pPr>
        <w:spacing w:after="0" w:line="267" w:lineRule="exact"/>
        <w:rPr>
          <w:sz w:val="20"/>
          <w:szCs w:val="20"/>
          <w:color w:val="auto"/>
        </w:rPr>
      </w:pPr>
    </w:p>
    <w:p>
      <w:pPr>
        <w:ind w:left="7060"/>
        <w:spacing w:after="0"/>
        <w:tabs>
          <w:tab w:leader="none" w:pos="78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28575</wp:posOffset>
            </wp:positionV>
            <wp:extent cx="21691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extLst>
                    </a:blip>
                    <a:srcRect/>
                    <a:stretch>
                      <a:fillRect/>
                    </a:stretch>
                  </pic:blipFill>
                  <pic:spPr bwMode="auto">
                    <a:xfrm>
                      <a:off x="0" y="0"/>
                      <a:ext cx="2169160" cy="6985"/>
                    </a:xfrm>
                    <a:prstGeom prst="rect">
                      <a:avLst/>
                    </a:prstGeom>
                    <a:noFill/>
                  </pic:spPr>
                </pic:pic>
              </a:graphicData>
            </a:graphic>
          </wp:anchor>
        </w:drawing>
      </w:r>
    </w:p>
    <w:p>
      <w:pPr>
        <w:spacing w:after="0" w:line="3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Vijay Kotte</w:t>
      </w:r>
    </w:p>
    <w:p>
      <w:pPr>
        <w:spacing w:after="0" w:line="4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131" w:right="319" w:bottom="1440" w:gutter="0" w:footer="0" w:header="0"/>
        </w:sectPr>
      </w:pPr>
    </w:p>
    <w:bookmarkStart w:id="5" w:name="page6"/>
    <w:bookmarkEnd w:id="5"/>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Each of the undersigned officers and directors of GoHealth, Inc. hereby constitutes and appoints Vijay Kotte and Brendan Shanahan,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and any and all amendments (including post-effective amendments) to this Registration Statement and all documents relating thereto, and to file the same, with all exhibits thereto, and other documents in connection therewith, with the Securities and Exchange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20"/>
        <w:spacing w:after="0"/>
        <w:tabs>
          <w:tab w:leader="none" w:pos="7580" w:val="left"/>
          <w:tab w:leader="none" w:pos="104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ectPr>
          <w:pgSz w:w="11900" w:h="16838" w:orient="portrait"/>
          <w:cols w:equalWidth="0" w:num="1">
            <w:col w:w="11280"/>
          </w:cols>
          <w:pgMar w:left="300" w:top="1440" w:right="319" w:bottom="1440" w:gutter="0" w:footer="0" w:header="0"/>
        </w:sectPr>
      </w:pP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Vijay Kotte</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Brendan Shanahan</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Clinton P. Jones</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Brandon M. Cruz</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David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David Fisher</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Jeremy W. Gelber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Karolina Hanna Hilu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Karolina Hanna Hilu</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Abhiraj R. Modi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Abhiraj R. Modi</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4"/>
          <w:szCs w:val="14"/>
          <w:color w:val="auto"/>
        </w:rPr>
        <w:t>Chief Executive Officer and Director (Principal Executive Officer)</w:t>
      </w:r>
      <w:r>
        <w:rPr>
          <w:sz w:val="20"/>
          <w:szCs w:val="20"/>
          <w:color w:val="auto"/>
        </w:rPr>
        <w:tab/>
      </w:r>
      <w:r>
        <w:rPr>
          <w:rFonts w:ascii="Times New Roman" w:cs="Times New Roman" w:eastAsia="Times New Roman" w:hAnsi="Times New Roman"/>
          <w:sz w:val="14"/>
          <w:szCs w:val="14"/>
          <w:color w:val="auto"/>
        </w:rPr>
        <w:t>July 18, 2025</w:t>
      </w:r>
    </w:p>
    <w:p>
      <w:pPr>
        <w:spacing w:after="0" w:line="200" w:lineRule="exact"/>
        <w:rPr>
          <w:sz w:val="20"/>
          <w:szCs w:val="20"/>
          <w:color w:val="auto"/>
        </w:rPr>
      </w:pPr>
    </w:p>
    <w:p>
      <w:pPr>
        <w:spacing w:after="0" w:line="265"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4"/>
          <w:szCs w:val="14"/>
          <w:color w:val="auto"/>
        </w:rPr>
        <w:t>Chief Financial Officer (Principal Financial and Accounting Officer)</w:t>
      </w:r>
      <w:r>
        <w:rPr>
          <w:sz w:val="20"/>
          <w:szCs w:val="20"/>
          <w:color w:val="auto"/>
        </w:rPr>
        <w:tab/>
      </w:r>
      <w:r>
        <w:rPr>
          <w:rFonts w:ascii="Times New Roman" w:cs="Times New Roman" w:eastAsia="Times New Roman" w:hAnsi="Times New Roman"/>
          <w:sz w:val="14"/>
          <w:szCs w:val="14"/>
          <w:color w:val="auto"/>
        </w:rPr>
        <w:t>July 18, 2025</w:t>
      </w:r>
    </w:p>
    <w:p>
      <w:pPr>
        <w:spacing w:after="0" w:line="200" w:lineRule="exact"/>
        <w:rPr>
          <w:sz w:val="20"/>
          <w:szCs w:val="20"/>
          <w:color w:val="auto"/>
        </w:rPr>
      </w:pPr>
    </w:p>
    <w:p>
      <w:pPr>
        <w:spacing w:after="0" w:line="265"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July 18, 2025</w:t>
      </w:r>
    </w:p>
    <w:p>
      <w:pPr>
        <w:spacing w:after="0" w:line="200" w:lineRule="exact"/>
        <w:rPr>
          <w:sz w:val="20"/>
          <w:szCs w:val="20"/>
          <w:color w:val="auto"/>
        </w:rPr>
      </w:pPr>
    </w:p>
    <w:p>
      <w:pPr>
        <w:spacing w:after="0" w:line="265"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July 18, 2025</w:t>
      </w:r>
    </w:p>
    <w:p>
      <w:pPr>
        <w:spacing w:after="0" w:line="200" w:lineRule="exact"/>
        <w:rPr>
          <w:sz w:val="20"/>
          <w:szCs w:val="20"/>
          <w:color w:val="auto"/>
        </w:rPr>
      </w:pPr>
    </w:p>
    <w:p>
      <w:pPr>
        <w:spacing w:after="0" w:line="265"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July 18, 2025</w:t>
      </w:r>
    </w:p>
    <w:p>
      <w:pPr>
        <w:spacing w:after="0" w:line="200" w:lineRule="exact"/>
        <w:rPr>
          <w:sz w:val="20"/>
          <w:szCs w:val="20"/>
          <w:color w:val="auto"/>
        </w:rPr>
      </w:pPr>
    </w:p>
    <w:p>
      <w:pPr>
        <w:spacing w:after="0" w:line="223"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July 18, 2025</w:t>
      </w:r>
    </w:p>
    <w:p>
      <w:pPr>
        <w:spacing w:after="0" w:line="200" w:lineRule="exact"/>
        <w:rPr>
          <w:sz w:val="20"/>
          <w:szCs w:val="20"/>
          <w:color w:val="auto"/>
        </w:rPr>
      </w:pPr>
    </w:p>
    <w:p>
      <w:pPr>
        <w:spacing w:after="0" w:line="265"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July 18, 2025</w:t>
      </w:r>
    </w:p>
    <w:p>
      <w:pPr>
        <w:spacing w:after="0" w:line="200" w:lineRule="exact"/>
        <w:rPr>
          <w:sz w:val="20"/>
          <w:szCs w:val="20"/>
          <w:color w:val="auto"/>
        </w:rPr>
      </w:pPr>
    </w:p>
    <w:p>
      <w:pPr>
        <w:spacing w:after="0" w:line="265"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July 18, 2025</w:t>
      </w:r>
    </w:p>
    <w:p>
      <w:pPr>
        <w:sectPr>
          <w:pgSz w:w="11900" w:h="16838" w:orient="portrait"/>
          <w:cols w:equalWidth="0" w:num="2">
            <w:col w:w="5000" w:space="720"/>
            <w:col w:w="5560"/>
          </w:cols>
          <w:pgMar w:left="300" w:top="1440" w:right="3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5"/>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Alexander E. Timm</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760" w:type="dxa"/>
            <w:vAlign w:val="bottom"/>
          </w:tcPr>
          <w:p>
            <w:pPr>
              <w:ind w:left="2000"/>
              <w:spacing w:after="0"/>
              <w:rPr>
                <w:sz w:val="20"/>
                <w:szCs w:val="20"/>
                <w:color w:val="auto"/>
              </w:rPr>
            </w:pPr>
            <w:r>
              <w:rPr>
                <w:rFonts w:ascii="Times New Roman" w:cs="Times New Roman" w:eastAsia="Times New Roman" w:hAnsi="Times New Roman"/>
                <w:sz w:val="14"/>
                <w:szCs w:val="14"/>
                <w:color w:val="auto"/>
                <w:w w:val="97"/>
              </w:rPr>
              <w:t>July 18, 2025</w:t>
            </w: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Alexander E. Timm</w:t>
            </w:r>
          </w:p>
        </w:tc>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431"/>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Alan Wheatley</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760" w:type="dxa"/>
            <w:vAlign w:val="bottom"/>
          </w:tcPr>
          <w:p>
            <w:pPr>
              <w:ind w:left="2000"/>
              <w:spacing w:after="0"/>
              <w:rPr>
                <w:sz w:val="20"/>
                <w:szCs w:val="20"/>
                <w:color w:val="auto"/>
              </w:rPr>
            </w:pPr>
            <w:r>
              <w:rPr>
                <w:rFonts w:ascii="Times New Roman" w:cs="Times New Roman" w:eastAsia="Times New Roman" w:hAnsi="Times New Roman"/>
                <w:sz w:val="14"/>
                <w:szCs w:val="14"/>
                <w:color w:val="auto"/>
                <w:w w:val="97"/>
              </w:rPr>
              <w:t>July 18, 2025</w:t>
            </w: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Alan Wheatley</w:t>
            </w:r>
          </w:p>
        </w:tc>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r>
    </w:tbl>
    <w:p>
      <w:pPr>
        <w:sectPr>
          <w:pgSz w:w="11900" w:h="16838" w:orient="portrait"/>
          <w:cols w:equalWidth="0" w:num="1">
            <w:col w:w="10940"/>
          </w:cols>
          <w:pgMar w:left="300" w:top="1175" w:right="65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5" Type="http://schemas.openxmlformats.org/officeDocument/2006/relationships/image" Target="media/image1.png"/><Relationship Id="rId26" Type="http://schemas.openxmlformats.org/officeDocument/2006/relationships/image" Target="media/image2.png"/><Relationship Id="rId27" Type="http://schemas.openxmlformats.org/officeDocument/2006/relationships/image" Target="media/image3.png"/><Relationship Id="rId28" Type="http://schemas.openxmlformats.org/officeDocument/2006/relationships/image" Target="media/image4.png"/><Relationship Id="rId29" Type="http://schemas.openxmlformats.org/officeDocument/2006/relationships/image" Target="media/image5.png"/><Relationship Id="rId30"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8" Type="http://schemas.openxmlformats.org/officeDocument/2006/relationships/hyperlink" Target="https://www.sec.gov/Archives/edgar/data/1808220/000119312520193438/d16231ds8.htm" TargetMode="External"/><Relationship Id="rId9" Type="http://schemas.openxmlformats.org/officeDocument/2006/relationships/hyperlink" Target="https://www.sec.gov/Archives/edgar/data/1808220/000119312521036470/d86815ds8.htm" TargetMode="External"/><Relationship Id="rId10" Type="http://schemas.openxmlformats.org/officeDocument/2006/relationships/hyperlink" Target="https://www.sec.gov/Archives/edgar/data/1808220/000119312522082736/d271011ds8.htm" TargetMode="External"/><Relationship Id="rId11" Type="http://schemas.openxmlformats.org/officeDocument/2006/relationships/hyperlink" Target="https://www.sec.gov/Archives/edgar/data/1808220/000119312522168376/d365724ds8.htm" TargetMode="External"/><Relationship Id="rId12" Type="http://schemas.openxmlformats.org/officeDocument/2006/relationships/hyperlink" Target="https://www.sec.gov/Archives/edgar/data/1808220/000180822023000014/s-811323.htm" TargetMode="External"/><Relationship Id="rId13" Type="http://schemas.openxmlformats.org/officeDocument/2006/relationships/hyperlink" Target="https://www.sec.gov/Archives/edgar/data/1808220/000180822024000023/goco-sx8x20240319.htm" TargetMode="External"/><Relationship Id="rId14" Type="http://schemas.openxmlformats.org/officeDocument/2006/relationships/hyperlink" Target="https://www.sec.gov/Archives/edgar/data/1808220/000180822025000014/goco-sx8x362025.htm" TargetMode="External"/><Relationship Id="rId16" Type="http://schemas.openxmlformats.org/officeDocument/2006/relationships/hyperlink" Target="https://www.sec.gov/ix?doc=/Archives/edgar/data/0001808220/000180822025000010/goco-20241231.htm" TargetMode="External"/><Relationship Id="rId17" Type="http://schemas.openxmlformats.org/officeDocument/2006/relationships/hyperlink" Target="https://www.sec.gov/ix?doc=/Archives/edgar/data/0001808220/000180822025000054/goco-20250331.htm" TargetMode="External"/><Relationship Id="rId18" Type="http://schemas.openxmlformats.org/officeDocument/2006/relationships/hyperlink" Target="https://www.sec.gov/ix?doc=/Archives/edgar/data/0001808220/000180822025000037/goco-20250401.htm" TargetMode="External"/><Relationship Id="rId19" Type="http://schemas.openxmlformats.org/officeDocument/2006/relationships/hyperlink" Target="https://www.sec.gov/ix?doc=/Archives/edgar/data/0001808220/000162828025032314/goco-20250618.htm" TargetMode="External"/><Relationship Id="rId20" Type="http://schemas.openxmlformats.org/officeDocument/2006/relationships/hyperlink" Target="https://www.sec.gov/ix?doc=/Archives/edgar/data/0001808220/000162828025033527/goco-20250630.htm" TargetMode="External"/><Relationship Id="rId21" Type="http://schemas.openxmlformats.org/officeDocument/2006/relationships/hyperlink" Target="https://www.sec.gov/Archives/edgar/data/1808220/000119312520193017/d940619d8a12b.htm" TargetMode="External"/><Relationship Id="rId22" Type="http://schemas.openxmlformats.org/officeDocument/2006/relationships/hyperlink" Target="https://www.sec.gov/Archives/edgar/data/1808220/000119312520224832/d935246dex31.htm" TargetMode="External"/><Relationship Id="rId23" Type="http://schemas.openxmlformats.org/officeDocument/2006/relationships/hyperlink" Target="https://www.sec.gov/Archives/edgar/data/1808220/000119312522288595/d341111dex31.htm" TargetMode="External"/><Relationship Id="rId24" Type="http://schemas.openxmlformats.org/officeDocument/2006/relationships/hyperlink" Target="https://www.sec.gov/Archives/edgar/data/1808220/000119312520224832/d935246dex32.htm" TargetMode="External"/><Relationship Id="rId25" Type="http://schemas.openxmlformats.org/officeDocument/2006/relationships/hyperlink" Target="https://www.sec.gov/ix?doc=/Archives/edgar/data/0001808220/000114036125015892/ny20043889x1_def14a.htm#tAPP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2025-07-18T14:57:49Z</dcterms:created>
  <dcterms:modified xsi:type="dcterms:W3CDTF">2025-07-18T14:57:49Z</dcterms:modified>
</cp:coreProperties>
</file>