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GoHealth,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38046W105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4800" w:type="dxa"/>
            <w:vAlign w:val="bottom"/>
            <w:gridSpan w:val="7"/>
          </w:tcPr>
          <w:p>
            <w:pPr>
              <w:spacing w:after="0"/>
              <w:rPr>
                <w:sz w:val="20"/>
                <w:szCs w:val="20"/>
                <w:color w:val="auto"/>
              </w:rPr>
            </w:pPr>
            <w:r>
              <w:rPr>
                <w:rFonts w:ascii="Arial" w:cs="Arial" w:eastAsia="Arial" w:hAnsi="Arial"/>
                <w:sz w:val="18"/>
                <w:szCs w:val="18"/>
                <w:color w:val="auto"/>
              </w:rPr>
              <w:t>CUSIP No. 38046W105</w:t>
            </w:r>
          </w:p>
        </w:tc>
        <w:tc>
          <w:tcPr>
            <w:tcW w:w="6120" w:type="dxa"/>
            <w:vAlign w:val="bottom"/>
          </w:tcPr>
          <w:p>
            <w:pPr>
              <w:jc w:val="right"/>
              <w:ind w:right="459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436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CCP III Cayman GP Ltd.</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436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6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460" w:type="dxa"/>
            <w:vAlign w:val="bottom"/>
            <w:gridSpan w:val="2"/>
          </w:tcPr>
          <w:p>
            <w:pPr>
              <w:jc w:val="right"/>
              <w:ind w:right="210"/>
              <w:spacing w:after="0" w:line="181" w:lineRule="exact"/>
              <w:rPr>
                <w:sz w:val="20"/>
                <w:szCs w:val="20"/>
                <w:color w:val="auto"/>
              </w:rPr>
            </w:pPr>
            <w:r>
              <w:rPr>
                <w:rFonts w:ascii="MS PGothic" w:cs="MS PGothic" w:eastAsia="MS PGothic" w:hAnsi="MS PGothic"/>
                <w:sz w:val="18"/>
                <w:szCs w:val="18"/>
                <w:color w:val="auto"/>
                <w:w w:val="77"/>
              </w:rPr>
              <w:t>☐</w:t>
            </w:r>
          </w:p>
        </w:tc>
        <w:tc>
          <w:tcPr>
            <w:tcW w:w="344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436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6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4360" w:type="dxa"/>
            <w:vAlign w:val="bottom"/>
            <w:gridSpan w:val="5"/>
          </w:tcPr>
          <w:p>
            <w:pPr>
              <w:ind w:left="220"/>
              <w:spacing w:after="0"/>
              <w:rPr>
                <w:sz w:val="20"/>
                <w:szCs w:val="20"/>
                <w:color w:val="auto"/>
              </w:rPr>
            </w:pPr>
            <w:r>
              <w:rPr>
                <w:rFonts w:ascii="Arial" w:cs="Arial" w:eastAsia="Arial" w:hAnsi="Arial"/>
                <w:sz w:val="18"/>
                <w:szCs w:val="18"/>
                <w:color w:val="auto"/>
              </w:rPr>
              <w:t>Citizenship or Place of Organization</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Cayman Islands</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121,475,638</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tcBorders>
            <w:vMerge w:val="continue"/>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33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6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2"/>
                <w:szCs w:val="12"/>
                <w:color w:val="auto"/>
              </w:rPr>
            </w:pP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6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3360" w:type="dxa"/>
            <w:vAlign w:val="bottom"/>
            <w:vMerge w:val="continue"/>
          </w:tcPr>
          <w:p>
            <w:pPr>
              <w:spacing w:after="0"/>
              <w:rPr>
                <w:sz w:val="7"/>
                <w:szCs w:val="7"/>
                <w:color w:val="auto"/>
              </w:rPr>
            </w:pPr>
          </w:p>
        </w:tc>
        <w:tc>
          <w:tcPr>
            <w:tcW w:w="6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121,475,638</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121,475,638</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6"/>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Not Applicable</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436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3"/>
              </w:rPr>
              <w:t>62.1%</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436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OO</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120" w:type="dxa"/>
            <w:vAlign w:val="bottom"/>
          </w:tcPr>
          <w:p>
            <w:pPr>
              <w:jc w:val="right"/>
              <w:ind w:right="52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0"/>
        </w:trPr>
        <w:tc>
          <w:tcPr>
            <w:tcW w:w="4800" w:type="dxa"/>
            <w:vAlign w:val="bottom"/>
            <w:gridSpan w:val="6"/>
          </w:tcPr>
          <w:p>
            <w:pPr>
              <w:spacing w:after="0"/>
              <w:rPr>
                <w:sz w:val="20"/>
                <w:szCs w:val="20"/>
                <w:color w:val="auto"/>
              </w:rPr>
            </w:pPr>
            <w:r>
              <w:rPr>
                <w:rFonts w:ascii="Arial" w:cs="Arial" w:eastAsia="Arial" w:hAnsi="Arial"/>
                <w:sz w:val="18"/>
                <w:szCs w:val="18"/>
                <w:color w:val="auto"/>
              </w:rPr>
              <w:t>CUSIP No. 38046W105</w:t>
            </w:r>
          </w:p>
        </w:tc>
        <w:tc>
          <w:tcPr>
            <w:tcW w:w="6120" w:type="dxa"/>
            <w:vAlign w:val="bottom"/>
          </w:tcPr>
          <w:p>
            <w:pPr>
              <w:jc w:val="right"/>
              <w:ind w:right="459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Centerbridge Associates III, L.P.</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4360" w:type="dxa"/>
            <w:vAlign w:val="bottom"/>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6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54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77"/>
              </w:rPr>
              <w:t>☐</w:t>
            </w:r>
          </w:p>
        </w:tc>
        <w:tc>
          <w:tcPr>
            <w:tcW w:w="336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6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220"/>
              <w:spacing w:after="0"/>
              <w:rPr>
                <w:sz w:val="20"/>
                <w:szCs w:val="20"/>
                <w:color w:val="auto"/>
              </w:rPr>
            </w:pPr>
            <w:r>
              <w:rPr>
                <w:rFonts w:ascii="Arial" w:cs="Arial" w:eastAsia="Arial" w:hAnsi="Arial"/>
                <w:sz w:val="18"/>
                <w:szCs w:val="18"/>
                <w:color w:val="auto"/>
              </w:rPr>
              <w:t>Citizenship or Place of Organization</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33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33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40,682,961</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tcBorders>
            <w:vMerge w:val="continue"/>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33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6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6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3360" w:type="dxa"/>
            <w:vAlign w:val="bottom"/>
            <w:vMerge w:val="continue"/>
          </w:tcPr>
          <w:p>
            <w:pPr>
              <w:spacing w:after="0"/>
              <w:rPr>
                <w:sz w:val="7"/>
                <w:szCs w:val="7"/>
                <w:color w:val="auto"/>
              </w:rPr>
            </w:pPr>
          </w:p>
        </w:tc>
        <w:tc>
          <w:tcPr>
            <w:tcW w:w="6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40,682,961</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6"/>
              </w:rPr>
              <w:t>40,682,961</w:t>
            </w: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Not Applicable</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3"/>
              </w:rPr>
              <w:t>35.4%</w:t>
            </w: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436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120" w:type="dxa"/>
            <w:vAlign w:val="bottom"/>
          </w:tcPr>
          <w:p>
            <w:pPr>
              <w:jc w:val="right"/>
              <w:ind w:right="52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0"/>
        </w:trPr>
        <w:tc>
          <w:tcPr>
            <w:tcW w:w="4800" w:type="dxa"/>
            <w:vAlign w:val="bottom"/>
            <w:gridSpan w:val="6"/>
          </w:tcPr>
          <w:p>
            <w:pPr>
              <w:spacing w:after="0"/>
              <w:rPr>
                <w:sz w:val="20"/>
                <w:szCs w:val="20"/>
                <w:color w:val="auto"/>
              </w:rPr>
            </w:pPr>
            <w:r>
              <w:rPr>
                <w:rFonts w:ascii="Arial" w:cs="Arial" w:eastAsia="Arial" w:hAnsi="Arial"/>
                <w:sz w:val="18"/>
                <w:szCs w:val="18"/>
                <w:color w:val="auto"/>
              </w:rPr>
              <w:t>CUSIP No. 38046W105</w:t>
            </w:r>
          </w:p>
        </w:tc>
        <w:tc>
          <w:tcPr>
            <w:tcW w:w="6120" w:type="dxa"/>
            <w:vAlign w:val="bottom"/>
          </w:tcPr>
          <w:p>
            <w:pPr>
              <w:jc w:val="right"/>
              <w:ind w:right="459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CCP III AIV VII Holdings, L.P.</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4360" w:type="dxa"/>
            <w:vAlign w:val="bottom"/>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6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54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77"/>
              </w:rPr>
              <w:t>☐</w:t>
            </w:r>
          </w:p>
        </w:tc>
        <w:tc>
          <w:tcPr>
            <w:tcW w:w="336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6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220"/>
              <w:spacing w:after="0"/>
              <w:rPr>
                <w:sz w:val="20"/>
                <w:szCs w:val="20"/>
                <w:color w:val="auto"/>
              </w:rPr>
            </w:pPr>
            <w:r>
              <w:rPr>
                <w:rFonts w:ascii="Arial" w:cs="Arial" w:eastAsia="Arial" w:hAnsi="Arial"/>
                <w:sz w:val="18"/>
                <w:szCs w:val="18"/>
                <w:color w:val="auto"/>
              </w:rPr>
              <w:t>Citizenship or Place of Organization</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33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33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40,682,961</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tcBorders>
            <w:vMerge w:val="continue"/>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33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6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6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3360" w:type="dxa"/>
            <w:vAlign w:val="bottom"/>
            <w:vMerge w:val="continue"/>
          </w:tcPr>
          <w:p>
            <w:pPr>
              <w:spacing w:after="0"/>
              <w:rPr>
                <w:sz w:val="7"/>
                <w:szCs w:val="7"/>
                <w:color w:val="auto"/>
              </w:rPr>
            </w:pPr>
          </w:p>
        </w:tc>
        <w:tc>
          <w:tcPr>
            <w:tcW w:w="6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40,682,961</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6"/>
              </w:rPr>
              <w:t>40,682,961</w:t>
            </w: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Not Applicable</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3"/>
              </w:rPr>
              <w:t>35.4%</w:t>
            </w: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436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120" w:type="dxa"/>
            <w:vAlign w:val="bottom"/>
          </w:tcPr>
          <w:p>
            <w:pPr>
              <w:jc w:val="right"/>
              <w:ind w:right="52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30"/>
        </w:trPr>
        <w:tc>
          <w:tcPr>
            <w:tcW w:w="4800" w:type="dxa"/>
            <w:vAlign w:val="bottom"/>
            <w:gridSpan w:val="6"/>
          </w:tcPr>
          <w:p>
            <w:pPr>
              <w:spacing w:after="0"/>
              <w:rPr>
                <w:sz w:val="20"/>
                <w:szCs w:val="20"/>
                <w:color w:val="auto"/>
              </w:rPr>
            </w:pPr>
            <w:r>
              <w:rPr>
                <w:rFonts w:ascii="Arial" w:cs="Arial" w:eastAsia="Arial" w:hAnsi="Arial"/>
                <w:sz w:val="18"/>
                <w:szCs w:val="18"/>
                <w:color w:val="auto"/>
              </w:rPr>
              <w:t>CUSIP No. 38046W105</w:t>
            </w:r>
          </w:p>
        </w:tc>
        <w:tc>
          <w:tcPr>
            <w:tcW w:w="6120" w:type="dxa"/>
            <w:vAlign w:val="bottom"/>
          </w:tcPr>
          <w:p>
            <w:pPr>
              <w:jc w:val="right"/>
              <w:ind w:right="459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CB Blizzard Co-Invest Holdings, L.P.</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4360" w:type="dxa"/>
            <w:vAlign w:val="bottom"/>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6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54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77"/>
              </w:rPr>
              <w:t>☐</w:t>
            </w:r>
          </w:p>
        </w:tc>
        <w:tc>
          <w:tcPr>
            <w:tcW w:w="336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6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220"/>
              <w:spacing w:after="0"/>
              <w:rPr>
                <w:sz w:val="20"/>
                <w:szCs w:val="20"/>
                <w:color w:val="auto"/>
              </w:rPr>
            </w:pPr>
            <w:r>
              <w:rPr>
                <w:rFonts w:ascii="Arial" w:cs="Arial" w:eastAsia="Arial" w:hAnsi="Arial"/>
                <w:sz w:val="18"/>
                <w:szCs w:val="18"/>
                <w:color w:val="auto"/>
              </w:rPr>
              <w:t>Citizenship or Place of Organization</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33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33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40,682,961</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tcBorders>
            <w:vMerge w:val="continue"/>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33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6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6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3360" w:type="dxa"/>
            <w:vAlign w:val="bottom"/>
            <w:vMerge w:val="continue"/>
          </w:tcPr>
          <w:p>
            <w:pPr>
              <w:spacing w:after="0"/>
              <w:rPr>
                <w:sz w:val="7"/>
                <w:szCs w:val="7"/>
                <w:color w:val="auto"/>
              </w:rPr>
            </w:pPr>
          </w:p>
        </w:tc>
        <w:tc>
          <w:tcPr>
            <w:tcW w:w="6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40,682,961</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6"/>
              </w:rPr>
              <w:t>40,682,961</w:t>
            </w: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Not Applicable</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3"/>
              </w:rPr>
              <w:t>35.4%</w:t>
            </w: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436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120" w:type="dxa"/>
            <w:vAlign w:val="bottom"/>
          </w:tcPr>
          <w:p>
            <w:pPr>
              <w:jc w:val="right"/>
              <w:ind w:right="52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10" w:type="dxa"/>
        <w:tblCellMar>
          <w:top w:w="0" w:type="dxa"/>
          <w:left w:w="0" w:type="dxa"/>
          <w:bottom w:w="0" w:type="dxa"/>
          <w:right w:w="0" w:type="dxa"/>
        </w:tblCellMar>
      </w:tblPr>
      <w:tr>
        <w:trPr>
          <w:trHeight w:val="230"/>
        </w:trPr>
        <w:tc>
          <w:tcPr>
            <w:tcW w:w="4800" w:type="dxa"/>
            <w:vAlign w:val="bottom"/>
            <w:gridSpan w:val="6"/>
          </w:tcPr>
          <w:p>
            <w:pPr>
              <w:spacing w:after="0"/>
              <w:rPr>
                <w:sz w:val="20"/>
                <w:szCs w:val="20"/>
                <w:color w:val="auto"/>
              </w:rPr>
            </w:pPr>
            <w:r>
              <w:rPr>
                <w:rFonts w:ascii="Arial" w:cs="Arial" w:eastAsia="Arial" w:hAnsi="Arial"/>
                <w:sz w:val="18"/>
                <w:szCs w:val="18"/>
                <w:color w:val="auto"/>
              </w:rPr>
              <w:t>CUSIP No. 38046W105</w:t>
            </w:r>
          </w:p>
        </w:tc>
        <w:tc>
          <w:tcPr>
            <w:tcW w:w="6120" w:type="dxa"/>
            <w:vAlign w:val="bottom"/>
          </w:tcPr>
          <w:p>
            <w:pPr>
              <w:jc w:val="right"/>
              <w:ind w:right="459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CB Blizzard Lower Holdings GP A, LLC</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4360" w:type="dxa"/>
            <w:vAlign w:val="bottom"/>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6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54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77"/>
              </w:rPr>
              <w:t>☐</w:t>
            </w:r>
          </w:p>
        </w:tc>
        <w:tc>
          <w:tcPr>
            <w:tcW w:w="336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6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220"/>
              <w:spacing w:after="0"/>
              <w:rPr>
                <w:sz w:val="20"/>
                <w:szCs w:val="20"/>
                <w:color w:val="auto"/>
              </w:rPr>
            </w:pPr>
            <w:r>
              <w:rPr>
                <w:rFonts w:ascii="Arial" w:cs="Arial" w:eastAsia="Arial" w:hAnsi="Arial"/>
                <w:sz w:val="18"/>
                <w:szCs w:val="18"/>
                <w:color w:val="auto"/>
              </w:rPr>
              <w:t>Citizenship or Place of Organization</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33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33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40,682,961</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tcBorders>
            <w:vMerge w:val="continue"/>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33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6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6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3360" w:type="dxa"/>
            <w:vAlign w:val="bottom"/>
            <w:vMerge w:val="continue"/>
          </w:tcPr>
          <w:p>
            <w:pPr>
              <w:spacing w:after="0"/>
              <w:rPr>
                <w:sz w:val="7"/>
                <w:szCs w:val="7"/>
                <w:color w:val="auto"/>
              </w:rPr>
            </w:pPr>
          </w:p>
        </w:tc>
        <w:tc>
          <w:tcPr>
            <w:tcW w:w="6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40,682,961</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6"/>
              </w:rPr>
              <w:t>40,682,961</w:t>
            </w: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Not Applicable</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3"/>
              </w:rPr>
              <w:t>35.4%</w:t>
            </w: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436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OO</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120" w:type="dxa"/>
            <w:vAlign w:val="bottom"/>
          </w:tcPr>
          <w:p>
            <w:pPr>
              <w:jc w:val="right"/>
              <w:ind w:right="52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10" w:type="dxa"/>
        <w:tblCellMar>
          <w:top w:w="0" w:type="dxa"/>
          <w:left w:w="0" w:type="dxa"/>
          <w:bottom w:w="0" w:type="dxa"/>
          <w:right w:w="0" w:type="dxa"/>
        </w:tblCellMar>
      </w:tblPr>
      <w:tr>
        <w:trPr>
          <w:trHeight w:val="230"/>
        </w:trPr>
        <w:tc>
          <w:tcPr>
            <w:tcW w:w="4800" w:type="dxa"/>
            <w:vAlign w:val="bottom"/>
            <w:gridSpan w:val="6"/>
          </w:tcPr>
          <w:p>
            <w:pPr>
              <w:spacing w:after="0"/>
              <w:rPr>
                <w:sz w:val="20"/>
                <w:szCs w:val="20"/>
                <w:color w:val="auto"/>
              </w:rPr>
            </w:pPr>
            <w:r>
              <w:rPr>
                <w:rFonts w:ascii="Arial" w:cs="Arial" w:eastAsia="Arial" w:hAnsi="Arial"/>
                <w:sz w:val="18"/>
                <w:szCs w:val="18"/>
                <w:color w:val="auto"/>
              </w:rPr>
              <w:t>CUSIP No. 38046W105</w:t>
            </w:r>
          </w:p>
        </w:tc>
        <w:tc>
          <w:tcPr>
            <w:tcW w:w="6120" w:type="dxa"/>
            <w:vAlign w:val="bottom"/>
          </w:tcPr>
          <w:p>
            <w:pPr>
              <w:jc w:val="right"/>
              <w:ind w:right="459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CB Blizzard Lower Holdings A, L.P.</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4360" w:type="dxa"/>
            <w:vAlign w:val="bottom"/>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6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54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77"/>
              </w:rPr>
              <w:t>☐</w:t>
            </w:r>
          </w:p>
        </w:tc>
        <w:tc>
          <w:tcPr>
            <w:tcW w:w="336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6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220"/>
              <w:spacing w:after="0"/>
              <w:rPr>
                <w:sz w:val="20"/>
                <w:szCs w:val="20"/>
                <w:color w:val="auto"/>
              </w:rPr>
            </w:pPr>
            <w:r>
              <w:rPr>
                <w:rFonts w:ascii="Arial" w:cs="Arial" w:eastAsia="Arial" w:hAnsi="Arial"/>
                <w:sz w:val="18"/>
                <w:szCs w:val="18"/>
                <w:color w:val="auto"/>
              </w:rPr>
              <w:t>Citizenship or Place of Organization</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33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33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40,682,961</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tcBorders>
            <w:vMerge w:val="continue"/>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33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6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6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3360" w:type="dxa"/>
            <w:vAlign w:val="bottom"/>
            <w:vMerge w:val="continue"/>
          </w:tcPr>
          <w:p>
            <w:pPr>
              <w:spacing w:after="0"/>
              <w:rPr>
                <w:sz w:val="7"/>
                <w:szCs w:val="7"/>
                <w:color w:val="auto"/>
              </w:rPr>
            </w:pPr>
          </w:p>
        </w:tc>
        <w:tc>
          <w:tcPr>
            <w:tcW w:w="6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40,682,961</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6"/>
              </w:rPr>
              <w:t>40,682,961</w:t>
            </w: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Not Applicable</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3"/>
              </w:rPr>
              <w:t>35.4%</w:t>
            </w: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436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120" w:type="dxa"/>
            <w:vAlign w:val="bottom"/>
          </w:tcPr>
          <w:p>
            <w:pPr>
              <w:jc w:val="right"/>
              <w:ind w:right="52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10" w:type="dxa"/>
        <w:tblCellMar>
          <w:top w:w="0" w:type="dxa"/>
          <w:left w:w="0" w:type="dxa"/>
          <w:bottom w:w="0" w:type="dxa"/>
          <w:right w:w="0" w:type="dxa"/>
        </w:tblCellMar>
      </w:tblPr>
      <w:tr>
        <w:trPr>
          <w:trHeight w:val="230"/>
        </w:trPr>
        <w:tc>
          <w:tcPr>
            <w:tcW w:w="4800" w:type="dxa"/>
            <w:vAlign w:val="bottom"/>
            <w:gridSpan w:val="6"/>
          </w:tcPr>
          <w:p>
            <w:pPr>
              <w:spacing w:after="0"/>
              <w:rPr>
                <w:sz w:val="20"/>
                <w:szCs w:val="20"/>
                <w:color w:val="auto"/>
              </w:rPr>
            </w:pPr>
            <w:r>
              <w:rPr>
                <w:rFonts w:ascii="Arial" w:cs="Arial" w:eastAsia="Arial" w:hAnsi="Arial"/>
                <w:sz w:val="18"/>
                <w:szCs w:val="18"/>
                <w:color w:val="auto"/>
              </w:rPr>
              <w:t>CUSIP No. 38046W105</w:t>
            </w:r>
          </w:p>
        </w:tc>
        <w:tc>
          <w:tcPr>
            <w:tcW w:w="6120" w:type="dxa"/>
            <w:vAlign w:val="bottom"/>
          </w:tcPr>
          <w:p>
            <w:pPr>
              <w:jc w:val="right"/>
              <w:ind w:right="459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Blizzard Aggregator, LLC</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4360" w:type="dxa"/>
            <w:vAlign w:val="bottom"/>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6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54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77"/>
              </w:rPr>
              <w:t>☐</w:t>
            </w:r>
          </w:p>
        </w:tc>
        <w:tc>
          <w:tcPr>
            <w:tcW w:w="336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6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220"/>
              <w:spacing w:after="0"/>
              <w:rPr>
                <w:sz w:val="20"/>
                <w:szCs w:val="20"/>
                <w:color w:val="auto"/>
              </w:rPr>
            </w:pPr>
            <w:r>
              <w:rPr>
                <w:rFonts w:ascii="Arial" w:cs="Arial" w:eastAsia="Arial" w:hAnsi="Arial"/>
                <w:sz w:val="18"/>
                <w:szCs w:val="18"/>
                <w:color w:val="auto"/>
              </w:rPr>
              <w:t>Citizenship or Place of Organization</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33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33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80,792,677</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tcBorders>
            <w:vMerge w:val="continue"/>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33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6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6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3360" w:type="dxa"/>
            <w:vAlign w:val="bottom"/>
            <w:vMerge w:val="continue"/>
          </w:tcPr>
          <w:p>
            <w:pPr>
              <w:spacing w:after="0"/>
              <w:rPr>
                <w:sz w:val="7"/>
                <w:szCs w:val="7"/>
                <w:color w:val="auto"/>
              </w:rPr>
            </w:pPr>
          </w:p>
        </w:tc>
        <w:tc>
          <w:tcPr>
            <w:tcW w:w="6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80,792,677</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6"/>
              </w:rPr>
              <w:t>80,792,677</w:t>
            </w: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Not Applicable</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3"/>
              </w:rPr>
              <w:t>41.3%</w:t>
            </w: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436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OO</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120" w:type="dxa"/>
            <w:vAlign w:val="bottom"/>
          </w:tcPr>
          <w:p>
            <w:pPr>
              <w:jc w:val="right"/>
              <w:ind w:right="52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10" w:type="dxa"/>
        <w:tblCellMar>
          <w:top w:w="0" w:type="dxa"/>
          <w:left w:w="0" w:type="dxa"/>
          <w:bottom w:w="0" w:type="dxa"/>
          <w:right w:w="0" w:type="dxa"/>
        </w:tblCellMar>
      </w:tblPr>
      <w:tr>
        <w:trPr>
          <w:trHeight w:val="230"/>
        </w:trPr>
        <w:tc>
          <w:tcPr>
            <w:tcW w:w="4800" w:type="dxa"/>
            <w:vAlign w:val="bottom"/>
            <w:gridSpan w:val="6"/>
          </w:tcPr>
          <w:p>
            <w:pPr>
              <w:spacing w:after="0"/>
              <w:rPr>
                <w:sz w:val="20"/>
                <w:szCs w:val="20"/>
                <w:color w:val="auto"/>
              </w:rPr>
            </w:pPr>
            <w:r>
              <w:rPr>
                <w:rFonts w:ascii="Arial" w:cs="Arial" w:eastAsia="Arial" w:hAnsi="Arial"/>
                <w:sz w:val="18"/>
                <w:szCs w:val="18"/>
                <w:color w:val="auto"/>
              </w:rPr>
              <w:t>CUSIP No. 38046W105</w:t>
            </w:r>
          </w:p>
        </w:tc>
        <w:tc>
          <w:tcPr>
            <w:tcW w:w="6120" w:type="dxa"/>
            <w:vAlign w:val="bottom"/>
          </w:tcPr>
          <w:p>
            <w:pPr>
              <w:jc w:val="right"/>
              <w:ind w:right="459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CB Blizzard Lower Holdings GP B, LLC</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4360" w:type="dxa"/>
            <w:vAlign w:val="bottom"/>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6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54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77"/>
              </w:rPr>
              <w:t>☐</w:t>
            </w:r>
          </w:p>
        </w:tc>
        <w:tc>
          <w:tcPr>
            <w:tcW w:w="336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6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220"/>
              <w:spacing w:after="0"/>
              <w:rPr>
                <w:sz w:val="20"/>
                <w:szCs w:val="20"/>
                <w:color w:val="auto"/>
              </w:rPr>
            </w:pPr>
            <w:r>
              <w:rPr>
                <w:rFonts w:ascii="Arial" w:cs="Arial" w:eastAsia="Arial" w:hAnsi="Arial"/>
                <w:sz w:val="18"/>
                <w:szCs w:val="18"/>
                <w:color w:val="auto"/>
              </w:rPr>
              <w:t>Citizenship or Place of Organization</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33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33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80,792,677</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tcBorders>
            <w:vMerge w:val="continue"/>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33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6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6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3360" w:type="dxa"/>
            <w:vAlign w:val="bottom"/>
            <w:vMerge w:val="continue"/>
          </w:tcPr>
          <w:p>
            <w:pPr>
              <w:spacing w:after="0"/>
              <w:rPr>
                <w:sz w:val="7"/>
                <w:szCs w:val="7"/>
                <w:color w:val="auto"/>
              </w:rPr>
            </w:pPr>
          </w:p>
        </w:tc>
        <w:tc>
          <w:tcPr>
            <w:tcW w:w="6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80,792,677</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6"/>
              </w:rPr>
              <w:t>80,792,677</w:t>
            </w: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Not Applicable</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3"/>
              </w:rPr>
              <w:t>41.3%</w:t>
            </w: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436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OO</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120" w:type="dxa"/>
            <w:vAlign w:val="bottom"/>
          </w:tcPr>
          <w:p>
            <w:pPr>
              <w:jc w:val="right"/>
              <w:ind w:right="52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tbl>
      <w:tblPr>
        <w:tblLayout w:type="fixed"/>
        <w:tblInd w:w="10" w:type="dxa"/>
        <w:tblCellMar>
          <w:top w:w="0" w:type="dxa"/>
          <w:left w:w="0" w:type="dxa"/>
          <w:bottom w:w="0" w:type="dxa"/>
          <w:right w:w="0" w:type="dxa"/>
        </w:tblCellMar>
      </w:tblPr>
      <w:tr>
        <w:trPr>
          <w:trHeight w:val="230"/>
        </w:trPr>
        <w:tc>
          <w:tcPr>
            <w:tcW w:w="4800" w:type="dxa"/>
            <w:vAlign w:val="bottom"/>
            <w:gridSpan w:val="6"/>
          </w:tcPr>
          <w:p>
            <w:pPr>
              <w:spacing w:after="0"/>
              <w:rPr>
                <w:sz w:val="20"/>
                <w:szCs w:val="20"/>
                <w:color w:val="auto"/>
              </w:rPr>
            </w:pPr>
            <w:r>
              <w:rPr>
                <w:rFonts w:ascii="Arial" w:cs="Arial" w:eastAsia="Arial" w:hAnsi="Arial"/>
                <w:sz w:val="18"/>
                <w:szCs w:val="18"/>
                <w:color w:val="auto"/>
              </w:rPr>
              <w:t>CUSIP No. 38046W105</w:t>
            </w:r>
          </w:p>
        </w:tc>
        <w:tc>
          <w:tcPr>
            <w:tcW w:w="6120" w:type="dxa"/>
            <w:vAlign w:val="bottom"/>
          </w:tcPr>
          <w:p>
            <w:pPr>
              <w:jc w:val="right"/>
              <w:ind w:right="459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CB Blizzard Lower Holdings B, L.P.</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4360" w:type="dxa"/>
            <w:vAlign w:val="bottom"/>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6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54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77"/>
              </w:rPr>
              <w:t>☐</w:t>
            </w:r>
          </w:p>
        </w:tc>
        <w:tc>
          <w:tcPr>
            <w:tcW w:w="336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6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4360" w:type="dxa"/>
            <w:vAlign w:val="bottom"/>
            <w:gridSpan w:val="4"/>
          </w:tcPr>
          <w:p>
            <w:pPr>
              <w:ind w:left="220"/>
              <w:spacing w:after="0"/>
              <w:rPr>
                <w:sz w:val="20"/>
                <w:szCs w:val="20"/>
                <w:color w:val="auto"/>
              </w:rPr>
            </w:pPr>
            <w:r>
              <w:rPr>
                <w:rFonts w:ascii="Arial" w:cs="Arial" w:eastAsia="Arial" w:hAnsi="Arial"/>
                <w:sz w:val="18"/>
                <w:szCs w:val="18"/>
                <w:color w:val="auto"/>
              </w:rPr>
              <w:t>Citizenship or Place of Organization</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33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33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80,792,677</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tcBorders>
            <w:vMerge w:val="continue"/>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33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6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6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3360" w:type="dxa"/>
            <w:vAlign w:val="bottom"/>
            <w:vMerge w:val="continue"/>
          </w:tcPr>
          <w:p>
            <w:pPr>
              <w:spacing w:after="0"/>
              <w:rPr>
                <w:sz w:val="7"/>
                <w:szCs w:val="7"/>
                <w:color w:val="auto"/>
              </w:rPr>
            </w:pPr>
          </w:p>
        </w:tc>
        <w:tc>
          <w:tcPr>
            <w:tcW w:w="6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80,792,677</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6"/>
              </w:rPr>
              <w:t>80,792,677</w:t>
            </w: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5"/>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Not Applicable</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436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3"/>
              </w:rPr>
              <w:t>41.3%</w:t>
            </w: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436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120" w:type="dxa"/>
            <w:vAlign w:val="bottom"/>
          </w:tcPr>
          <w:p>
            <w:pPr>
              <w:jc w:val="right"/>
              <w:ind w:right="52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tbl>
      <w:tblPr>
        <w:tblLayout w:type="fixed"/>
        <w:tblInd w:w="10" w:type="dxa"/>
        <w:tblCellMar>
          <w:top w:w="0" w:type="dxa"/>
          <w:left w:w="0" w:type="dxa"/>
          <w:bottom w:w="0" w:type="dxa"/>
          <w:right w:w="0" w:type="dxa"/>
        </w:tblCellMar>
      </w:tblPr>
      <w:tr>
        <w:trPr>
          <w:trHeight w:val="230"/>
        </w:trPr>
        <w:tc>
          <w:tcPr>
            <w:tcW w:w="4800" w:type="dxa"/>
            <w:vAlign w:val="bottom"/>
            <w:gridSpan w:val="7"/>
          </w:tcPr>
          <w:p>
            <w:pPr>
              <w:spacing w:after="0"/>
              <w:rPr>
                <w:sz w:val="20"/>
                <w:szCs w:val="20"/>
                <w:color w:val="auto"/>
              </w:rPr>
            </w:pPr>
            <w:r>
              <w:rPr>
                <w:rFonts w:ascii="Arial" w:cs="Arial" w:eastAsia="Arial" w:hAnsi="Arial"/>
                <w:sz w:val="18"/>
                <w:szCs w:val="18"/>
                <w:color w:val="auto"/>
              </w:rPr>
              <w:t>CUSIP No. 38046W105</w:t>
            </w:r>
          </w:p>
        </w:tc>
        <w:tc>
          <w:tcPr>
            <w:tcW w:w="6120" w:type="dxa"/>
            <w:vAlign w:val="bottom"/>
          </w:tcPr>
          <w:p>
            <w:pPr>
              <w:jc w:val="right"/>
              <w:ind w:right="459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436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Jeffrey Aronson</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436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6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460" w:type="dxa"/>
            <w:vAlign w:val="bottom"/>
            <w:gridSpan w:val="2"/>
          </w:tcPr>
          <w:p>
            <w:pPr>
              <w:jc w:val="right"/>
              <w:ind w:right="210"/>
              <w:spacing w:after="0" w:line="181" w:lineRule="exact"/>
              <w:rPr>
                <w:sz w:val="20"/>
                <w:szCs w:val="20"/>
                <w:color w:val="auto"/>
              </w:rPr>
            </w:pPr>
            <w:r>
              <w:rPr>
                <w:rFonts w:ascii="MS PGothic" w:cs="MS PGothic" w:eastAsia="MS PGothic" w:hAnsi="MS PGothic"/>
                <w:sz w:val="18"/>
                <w:szCs w:val="18"/>
                <w:color w:val="auto"/>
                <w:w w:val="77"/>
              </w:rPr>
              <w:t>☐</w:t>
            </w:r>
          </w:p>
        </w:tc>
        <w:tc>
          <w:tcPr>
            <w:tcW w:w="344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436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6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4360" w:type="dxa"/>
            <w:vAlign w:val="bottom"/>
            <w:gridSpan w:val="5"/>
          </w:tcPr>
          <w:p>
            <w:pPr>
              <w:ind w:left="220"/>
              <w:spacing w:after="0"/>
              <w:rPr>
                <w:sz w:val="20"/>
                <w:szCs w:val="20"/>
                <w:color w:val="auto"/>
              </w:rPr>
            </w:pPr>
            <w:r>
              <w:rPr>
                <w:rFonts w:ascii="Arial" w:cs="Arial" w:eastAsia="Arial" w:hAnsi="Arial"/>
                <w:sz w:val="18"/>
                <w:szCs w:val="18"/>
                <w:color w:val="auto"/>
              </w:rPr>
              <w:t>Citizenship or Place of Organization</w:t>
            </w:r>
          </w:p>
        </w:tc>
        <w:tc>
          <w:tcPr>
            <w:tcW w:w="6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United States</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121,475,638</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tcBorders>
            <w:vMerge w:val="continue"/>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33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6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0</w:t>
            </w:r>
          </w:p>
        </w:tc>
        <w:tc>
          <w:tcPr>
            <w:tcW w:w="6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2"/>
                <w:szCs w:val="12"/>
                <w:color w:val="auto"/>
              </w:rPr>
            </w:pPr>
          </w:p>
        </w:tc>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6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3360" w:type="dxa"/>
            <w:vAlign w:val="bottom"/>
            <w:vMerge w:val="continue"/>
          </w:tcPr>
          <w:p>
            <w:pPr>
              <w:spacing w:after="0"/>
              <w:rPr>
                <w:sz w:val="7"/>
                <w:szCs w:val="7"/>
                <w:color w:val="auto"/>
              </w:rPr>
            </w:pPr>
          </w:p>
        </w:tc>
        <w:tc>
          <w:tcPr>
            <w:tcW w:w="6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121,475,638</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121,475,638</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6"/>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3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Not Applicable</w:t>
            </w: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436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3"/>
              </w:rPr>
              <w:t>62.1%</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436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6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120" w:type="dxa"/>
            <w:vAlign w:val="bottom"/>
          </w:tcPr>
          <w:p>
            <w:pPr>
              <w:jc w:val="right"/>
              <w:ind w:right="52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ON SCHEDULE 13G</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is Amendment No. 1 to the Schedule 13G filed with the Securities and Exchange Commission on February 4, 2021. Pursuant to Rule 13d-1(d) under the Securities Exchange Act of 1934, as amended, each of the persons listed below under Item 2 have agreed to file one statement with respect to their beneficial ownership of Class A Common Stock, $0.0001 par value per share of GoHealth, Inc. (the “Issuer”).</w:t>
      </w:r>
    </w:p>
    <w:p>
      <w:pPr>
        <w:spacing w:after="0" w:line="31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(a) Name of Issuer:</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GoHealth, Inc.</w:t>
      </w:r>
    </w:p>
    <w:p>
      <w:pPr>
        <w:spacing w:after="0" w:line="329" w:lineRule="exact"/>
        <w:rPr>
          <w:sz w:val="20"/>
          <w:szCs w:val="20"/>
          <w:color w:val="auto"/>
        </w:rPr>
      </w:pPr>
    </w:p>
    <w:p>
      <w:pPr>
        <w:ind w:left="1380" w:right="6000" w:hanging="393"/>
        <w:spacing w:after="0" w:line="488" w:lineRule="auto"/>
        <w:tabs>
          <w:tab w:leader="none" w:pos="1244"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 of Issuer’s Principal Executive Offices: </w:t>
      </w:r>
      <w:r>
        <w:rPr>
          <w:rFonts w:ascii="Arial" w:cs="Arial" w:eastAsia="Arial" w:hAnsi="Arial"/>
          <w:sz w:val="16"/>
          <w:szCs w:val="16"/>
          <w:color w:val="auto"/>
        </w:rPr>
        <w:t>214 West Huron St., Chicago, Illinois, 60654.</w:t>
      </w:r>
    </w:p>
    <w:p>
      <w:pPr>
        <w:spacing w:after="0" w:line="15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 Name of Person Filing:</w:t>
      </w:r>
    </w:p>
    <w:p>
      <w:pPr>
        <w:spacing w:after="0" w:line="121" w:lineRule="exact"/>
        <w:rPr>
          <w:sz w:val="20"/>
          <w:szCs w:val="20"/>
          <w:color w:val="auto"/>
        </w:rPr>
      </w:pPr>
    </w:p>
    <w:p>
      <w:pPr>
        <w:ind w:left="1420" w:right="200"/>
        <w:spacing w:after="0" w:line="277" w:lineRule="auto"/>
        <w:rPr>
          <w:sz w:val="20"/>
          <w:szCs w:val="20"/>
          <w:color w:val="auto"/>
        </w:rPr>
      </w:pPr>
      <w:r>
        <w:rPr>
          <w:rFonts w:ascii="Arial" w:cs="Arial" w:eastAsia="Arial" w:hAnsi="Arial"/>
          <w:sz w:val="18"/>
          <w:szCs w:val="18"/>
          <w:color w:val="auto"/>
        </w:rPr>
        <w:t>Each of the following is hereinafter individually referred to as a “Reporting Person” and collectively as the “Reporting Persons.” This statement is filed on behalf of:</w:t>
      </w:r>
    </w:p>
    <w:p>
      <w:pPr>
        <w:spacing w:after="0" w:line="6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CCP III Cayman GP Ltd. (“CCP GP”);</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Centerbridge Associates III, L.P. (“Centerbridge Associates”);</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CCP III AIV VII Holdings, L.P. (“CCP III”);</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CB Blizzard Co-Invest Holdings, L.P. (“CB Blizzard”);</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CB Blizzard Lower Holdings GP A, LLC (“CB Blizzard A GP”);</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CB Blizzard Lower Holdings A, L.P. (“CB Blizzard A”);</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Blizzard Aggregator, LLC (“Blizzard Aggregator”);</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CB Blizzard Lower Holdings GP B, LLC (“CB Blizzard B GP”);</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CB Blizzard Lower Holdings B, L.P. (“CB Blizzard B”); and</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Jeffrey H. Aronson</w:t>
      </w:r>
    </w:p>
    <w:p>
      <w:pPr>
        <w:spacing w:after="0" w:line="32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principal business address of the Reporting Persons is 375 Park Avenue, 11th Floor, New York, New York 10152.</w:t>
      </w:r>
    </w:p>
    <w:p>
      <w:pPr>
        <w:spacing w:after="0" w:line="32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 Citizenship of each Reporting Person is:</w:t>
      </w:r>
    </w:p>
    <w:p>
      <w:pPr>
        <w:spacing w:after="0" w:line="121" w:lineRule="exact"/>
        <w:rPr>
          <w:sz w:val="20"/>
          <w:szCs w:val="20"/>
          <w:color w:val="auto"/>
        </w:rPr>
      </w:pPr>
    </w:p>
    <w:p>
      <w:pPr>
        <w:ind w:left="1420" w:right="580"/>
        <w:spacing w:after="0" w:line="277" w:lineRule="auto"/>
        <w:rPr>
          <w:sz w:val="20"/>
          <w:szCs w:val="20"/>
          <w:color w:val="auto"/>
        </w:rPr>
      </w:pPr>
      <w:r>
        <w:rPr>
          <w:rFonts w:ascii="Arial" w:cs="Arial" w:eastAsia="Arial" w:hAnsi="Arial"/>
          <w:sz w:val="18"/>
          <w:szCs w:val="18"/>
          <w:color w:val="auto"/>
        </w:rPr>
        <w:t>CCP GP is organized under the laws of the Cayman Islands. Mr. Aronson is a citizen of the United States. Each of the other Reporting Persons is organized under the laws of the State of Delaware.</w:t>
      </w:r>
    </w:p>
    <w:p>
      <w:pPr>
        <w:spacing w:after="0" w:line="2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Class A Common Stock, $0.0001 par value per share (“Class A Common Stock”).</w:t>
      </w:r>
    </w:p>
    <w:p>
      <w:pPr>
        <w:spacing w:after="0" w:line="329" w:lineRule="exact"/>
        <w:rPr>
          <w:sz w:val="20"/>
          <w:szCs w:val="20"/>
          <w:color w:val="auto"/>
        </w:rPr>
      </w:pPr>
    </w:p>
    <w:p>
      <w:pPr>
        <w:ind w:left="1380" w:right="8380" w:hanging="393"/>
        <w:spacing w:after="0" w:line="445" w:lineRule="auto"/>
        <w:tabs>
          <w:tab w:leader="none" w:pos="122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38046W105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40" w:top="270" w:right="559" w:bottom="1440" w:gutter="0" w:footer="0" w:header="0"/>
        </w:sectPr>
      </w:pPr>
    </w:p>
    <w:bookmarkStart w:id="12" w:name="page13"/>
    <w:bookmarkEnd w:id="1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ownership information presented below represents beneficial ownership of Class A Common Stock of the Issuer as of December 31, 2021 based upon 114,773,928 shares of Class A Common Stock outstanding as of November 2, 2021 as reported in the quarterly report on Form 10-Q filed with the Securities and Exchange Commission on November 10, 2021 and assumes the redemption of the LLC Interests held of record by CB Blizzard Lower Holdings B, L.P. as of the date hereof. The LLC Interests may be redeemed at any time for shares of Class A Common Stock on a one-to-one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1900" w:type="dxa"/>
            <w:vAlign w:val="bottom"/>
            <w:vMerge w:val="restart"/>
          </w:tcPr>
          <w:p>
            <w:pPr>
              <w:jc w:val="center"/>
              <w:ind w:left="634"/>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tcPr>
          <w:p>
            <w:pPr>
              <w:spacing w:after="0"/>
              <w:rPr>
                <w:sz w:val="13"/>
                <w:szCs w:val="13"/>
                <w:color w:val="auto"/>
              </w:rPr>
            </w:pPr>
          </w:p>
        </w:tc>
        <w:tc>
          <w:tcPr>
            <w:tcW w:w="920" w:type="dxa"/>
            <w:vAlign w:val="bottom"/>
          </w:tcPr>
          <w:p>
            <w:pPr>
              <w:jc w:val="right"/>
              <w:ind w:right="55"/>
              <w:spacing w:after="0" w:line="158" w:lineRule="exact"/>
              <w:rPr>
                <w:sz w:val="20"/>
                <w:szCs w:val="20"/>
                <w:color w:val="auto"/>
              </w:rPr>
            </w:pPr>
            <w:r>
              <w:rPr>
                <w:rFonts w:ascii="Arial" w:cs="Arial" w:eastAsia="Arial" w:hAnsi="Arial"/>
                <w:sz w:val="14"/>
                <w:szCs w:val="14"/>
                <w:b w:val="1"/>
                <w:bCs w:val="1"/>
                <w:color w:val="auto"/>
              </w:rPr>
              <w:t>Sole power</w:t>
            </w: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Shared</w:t>
            </w: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Sole power</w:t>
            </w: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9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Percent</w:t>
            </w:r>
          </w:p>
        </w:tc>
        <w:tc>
          <w:tcPr>
            <w:tcW w:w="92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rPr>
              <w:t>to vote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to dispose or</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48"/>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1900" w:type="dxa"/>
            <w:vAlign w:val="bottom"/>
          </w:tcPr>
          <w:p>
            <w:pPr>
              <w:jc w:val="center"/>
              <w:ind w:left="634"/>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900" w:type="dxa"/>
            <w:vAlign w:val="bottom"/>
            <w:vMerge w:val="continue"/>
          </w:tcPr>
          <w:p>
            <w:pPr>
              <w:spacing w:after="0"/>
              <w:rPr>
                <w:sz w:val="12"/>
                <w:szCs w:val="12"/>
                <w:color w:val="auto"/>
              </w:rPr>
            </w:pPr>
          </w:p>
        </w:tc>
        <w:tc>
          <w:tcPr>
            <w:tcW w:w="92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or to direct</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vote or to</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to direct the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to direct the</w:t>
            </w:r>
          </w:p>
        </w:tc>
        <w:tc>
          <w:tcPr>
            <w:tcW w:w="0" w:type="dxa"/>
            <w:vAlign w:val="bottom"/>
          </w:tcPr>
          <w:p>
            <w:pPr>
              <w:spacing w:after="0"/>
              <w:rPr>
                <w:sz w:val="1"/>
                <w:szCs w:val="1"/>
                <w:color w:val="auto"/>
              </w:rPr>
            </w:pPr>
          </w:p>
        </w:tc>
      </w:tr>
      <w:tr>
        <w:trPr>
          <w:trHeight w:val="176"/>
        </w:trPr>
        <w:tc>
          <w:tcPr>
            <w:tcW w:w="3840" w:type="dxa"/>
            <w:vAlign w:val="bottom"/>
            <w:vMerge w:val="continue"/>
          </w:tcPr>
          <w:p>
            <w:pPr>
              <w:spacing w:after="0"/>
              <w:rPr>
                <w:sz w:val="15"/>
                <w:szCs w:val="15"/>
                <w:color w:val="auto"/>
              </w:rPr>
            </w:pPr>
          </w:p>
        </w:tc>
        <w:tc>
          <w:tcPr>
            <w:tcW w:w="1900" w:type="dxa"/>
            <w:vAlign w:val="bottom"/>
          </w:tcPr>
          <w:p>
            <w:pPr>
              <w:jc w:val="center"/>
              <w:ind w:left="614"/>
              <w:spacing w:after="0"/>
              <w:rPr>
                <w:sz w:val="20"/>
                <w:szCs w:val="20"/>
                <w:color w:val="auto"/>
              </w:rPr>
            </w:pPr>
            <w:r>
              <w:rPr>
                <w:rFonts w:ascii="Arial" w:cs="Arial" w:eastAsia="Arial" w:hAnsi="Arial"/>
                <w:sz w:val="14"/>
                <w:szCs w:val="14"/>
                <w:b w:val="1"/>
                <w:bCs w:val="1"/>
                <w:color w:val="auto"/>
                <w:w w:val="90"/>
              </w:rPr>
              <w:t>owned</w:t>
            </w:r>
          </w:p>
        </w:tc>
        <w:tc>
          <w:tcPr>
            <w:tcW w:w="900" w:type="dxa"/>
            <w:vAlign w:val="bottom"/>
          </w:tcPr>
          <w:p>
            <w:pPr>
              <w:jc w:val="right"/>
              <w:ind w:right="193"/>
              <w:spacing w:after="0"/>
              <w:rPr>
                <w:sz w:val="20"/>
                <w:szCs w:val="20"/>
                <w:color w:val="auto"/>
              </w:rPr>
            </w:pPr>
            <w:r>
              <w:rPr>
                <w:rFonts w:ascii="Arial" w:cs="Arial" w:eastAsia="Arial" w:hAnsi="Arial"/>
                <w:sz w:val="14"/>
                <w:szCs w:val="14"/>
                <w:b w:val="1"/>
                <w:bCs w:val="1"/>
                <w:color w:val="auto"/>
              </w:rPr>
              <w:t>of class:</w:t>
            </w:r>
          </w:p>
        </w:tc>
        <w:tc>
          <w:tcPr>
            <w:tcW w:w="920" w:type="dxa"/>
            <w:vAlign w:val="bottom"/>
          </w:tcPr>
          <w:p>
            <w:pPr>
              <w:jc w:val="right"/>
              <w:ind w:right="115"/>
              <w:spacing w:after="0"/>
              <w:rPr>
                <w:sz w:val="20"/>
                <w:szCs w:val="20"/>
                <w:color w:val="auto"/>
              </w:rPr>
            </w:pPr>
            <w:r>
              <w:rPr>
                <w:rFonts w:ascii="Arial" w:cs="Arial" w:eastAsia="Arial" w:hAnsi="Arial"/>
                <w:sz w:val="14"/>
                <w:szCs w:val="14"/>
                <w:b w:val="1"/>
                <w:bCs w:val="1"/>
                <w:color w:val="auto"/>
              </w:rPr>
              <w:t>the vote: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direct the vote:</w:t>
            </w:r>
          </w:p>
        </w:tc>
        <w:tc>
          <w:tcPr>
            <w:tcW w:w="1140" w:type="dxa"/>
            <w:vAlign w:val="bottom"/>
          </w:tcPr>
          <w:p>
            <w:pPr>
              <w:jc w:val="right"/>
              <w:ind w:right="55"/>
              <w:spacing w:after="0"/>
              <w:rPr>
                <w:sz w:val="20"/>
                <w:szCs w:val="20"/>
                <w:color w:val="auto"/>
              </w:rPr>
            </w:pPr>
            <w:r>
              <w:rPr>
                <w:rFonts w:ascii="Arial" w:cs="Arial" w:eastAsia="Arial" w:hAnsi="Arial"/>
                <w:sz w:val="14"/>
                <w:szCs w:val="14"/>
                <w:b w:val="1"/>
                <w:bCs w:val="1"/>
                <w:color w:val="auto"/>
              </w:rPr>
              <w:t>disposition 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disposition of:</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CCP III Cayman GP Ltd.</w:t>
            </w:r>
          </w:p>
        </w:tc>
        <w:tc>
          <w:tcPr>
            <w:tcW w:w="1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121,475,638</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62.1%</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121,475,638</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121,475,638</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Centerbridge Associates III, L.P.</w:t>
            </w: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40,682,961</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35.4%</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40,682,961</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40,682,961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CCP III AIV VII Holdings, L.P.</w:t>
            </w:r>
          </w:p>
        </w:tc>
        <w:tc>
          <w:tcPr>
            <w:tcW w:w="1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40,682,961</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35.4%</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40,682,961</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40,682,961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CB Blizzard Co-Invest Holdings, L.P.</w:t>
            </w: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40,682,961</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35.4%</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40,682,961</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40,682,961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CB Blizzard Lower Holdings GP A LLC</w:t>
            </w:r>
          </w:p>
        </w:tc>
        <w:tc>
          <w:tcPr>
            <w:tcW w:w="1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40,682,961</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35.4%</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40,682,961</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40,682,961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CB Blizzard Lower Holdings A, L.P.</w:t>
            </w: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40,682,961</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35.4%</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40,682,961</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40,682,961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Blizzard Aggregator, LLC</w:t>
            </w:r>
          </w:p>
        </w:tc>
        <w:tc>
          <w:tcPr>
            <w:tcW w:w="1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80,792,677</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41.3%</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80,792,677</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80,792,677</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CB Blizzard Lower Holdings GP B LLC</w:t>
            </w: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80,792,677</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41.3%</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80,792,677</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80,792,677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CB Blizzard Lower Holdings B, L.P.</w:t>
            </w:r>
          </w:p>
        </w:tc>
        <w:tc>
          <w:tcPr>
            <w:tcW w:w="1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80,792,677</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41.3%</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80,792,677</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80,792,677</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Jeffrey Aronson</w:t>
            </w: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121,475,638</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62.1%</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121,475,638</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121,475,638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CB Blizzard Lower Holdings A, L.P. is the record holder of 40,682,961 shares of Class A Common Stock. CB Blizzard Lower Holdings B, L.P. is the record holder of 80,792,677 LLC Interests.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9, 2021, each of CCP III and CB Blizzard contributed the Class A shares held by them to CB Blizzard Lower Holdings A, L.P. and Blizzard Aggregator contributed the securities held by it to CB Blizzard Lower Holdings B, L.P. The general partner of CB Blizzard Lower Holdings A, L.P. is CB Blizzard Lower Holdings GP A, LLC, which is owned by CCP III and CB Blizzard. The general partner of CB Blizzard Lower Holdings B, L.P. is CB Blizzard Lower Holdings GP B, LLC, which is owned by Blizzard Aggregator. No securities of the Issuer were purchased or sold in connection with the contributions described herein.</w:t>
      </w:r>
    </w:p>
    <w:p>
      <w:pPr>
        <w:spacing w:after="0" w:line="188"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CCP GP is the general partner of Centerbridge Associates, which is the general partner of each of CCP III and CB Blizzard, which are the owners of CB Blizzard Lower Holdings GP A, LLC, which is the general partner of CB Blizzard Lower Holdings A, L.P. As a result, each of CCP GP, Centerbridge Associates, CCP III, CB Blizzard and CB Blizzard Lower Holdings GP A, LLC may be deemed to share beneficial ownership of the Class A Common Stock held by CB Blizzard Lower Holdings A, L.P. CCP GP is also the sole manager of Blizzard Aggregator, which is the owner of CB Blizzard Lower Holdings GP B, LLC, which is the general partner of CB Blizzard Lower Holdings B, L.P. As a result, each of CCP GP, Blizzard Aggregator and CB Blizzard Lower Holdings GP B, LLC may be deemed to share beneficial ownership of the LLC Interests held by CB Blizzard Lower Holdings B, L.P. Jeffrey H. Aronson is the sole director of CCP GP and, as a result, may be deemed to beneficially own the securities held by each of CB Blizzard Lower Holdings A, L.P. and CB Blizzard Lower Holdings B, L.P. However, none of the foregoing should be construed in and of itself as an admission by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Aronson or by any Reporting Person as to beneficial ownership of securities owned by another Reporting Person. In addition, Mr. Aronson expressly disclaims beneficial ownership of the shares of Class A Common Stock held by CB Blizzard Lower Holdings A, L.P., as well as the LLC Interests held by CB Blizzard Lower Holdings B, L.P., except to the extent of any proportionate pecuniary interest therein.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13" w:name="page14"/>
    <w:bookmarkEnd w:id="13"/>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40"/>
          </w:cols>
          <w:pgMar w:left="440" w:top="270" w:right="1019" w:bottom="1440" w:gutter="0" w:footer="0" w:header="0"/>
        </w:sectPr>
      </w:pPr>
    </w:p>
    <w:bookmarkStart w:id="14" w:name="page15"/>
    <w:bookmarkEnd w:id="14"/>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CCP III CAYMAN GP LTD.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CENTERBRIDGE ASSOCIATES III,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CCP III Cayman GP Ltd., its 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CCP III AIV VII HOLDINGS,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Centerbridge Associates III, L.P., its general partner</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CCP III Cayman GP Ltd., its 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CB BLIZZARD CO-INVEST HOLDINGS,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Centerbridge Associates III, L.P., its general partner</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CCP III Cayman GP Ltd., its 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10660"/>
          </w:cols>
          <w:pgMar w:left="440" w:top="270" w:right="799" w:bottom="1440" w:gutter="0" w:footer="0" w:header="0"/>
        </w:sectPr>
      </w:pPr>
    </w:p>
    <w:bookmarkStart w:id="15" w:name="page16"/>
    <w:bookmarkEnd w:id="1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CB BLIZZARD LOWER HOLDINGS GP A,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CB BLIZZARD LOWER HOLDINGS A,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CB Blizzard Lower Holdings GP A, LLC, its general</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BLIZZARD AGGREGATOR,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 its sole manager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CB BLIZZARD LOWER HOLDINGS GP B,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CB BLIZZARD LOWER HOLDINGS B,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CB Blizzard Lower Holdings GP B, LLC, its general</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JEFFREY H. ARONSON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9740"/>
          </w:cols>
          <w:pgMar w:left="1440" w:top="270" w:right="719" w:bottom="1440" w:gutter="0" w:footer="0" w:header="0"/>
        </w:sectPr>
      </w:pPr>
    </w:p>
    <w:bookmarkStart w:id="16" w:name="page17"/>
    <w:bookmarkEnd w:id="16"/>
    <w:p>
      <w:pPr>
        <w:jc w:val="right"/>
        <w:ind w:right="3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LIST OF EXHIBITS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Joint Filing Agreement.</w:t>
      </w:r>
    </w:p>
    <w:p>
      <w:pPr>
        <w:sectPr>
          <w:pgSz w:w="11900" w:h="16838" w:orient="portrait"/>
          <w:cols w:equalWidth="0" w:num="1">
            <w:col w:w="10019"/>
          </w:cols>
          <w:pgMar w:left="440" w:top="270"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hereby execute this Joint Filing Agreement as of the 10th day of February,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CCP III CAYMAN GP LTD.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CENTERBRIDGE ASSOCIATES III,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CCP III Cayman GP Ltd., its 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CCP III AIV VII HOLDINGS,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Centerbridge Associates III, L.P., its general partner</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CCP III Cayman GP Ltd., its 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CB BLIZZARD CO-INVEST HOLDINGS,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Centerbridge Associates III, L.P., its general partner</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CCP III Cayman GP Ltd., its 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11020"/>
          </w:cols>
          <w:pgMar w:left="440" w:top="125" w:right="439" w:bottom="1440" w:gutter="0" w:footer="0" w:header="0"/>
        </w:sectPr>
      </w:pPr>
    </w:p>
    <w:bookmarkStart w:id="18" w:name="page19"/>
    <w:bookmarkEnd w:id="1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CB BLIZZARD LOWER HOLDINGS GP A,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CB BLIZZARD LOWER HOLDINGS A,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CB Blizzard Lower Holdings GP A, LLC, its general</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BLIZZARD AGGREGATOR,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 its sole manager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CB BLIZZARD LOWER HOLDINGS GP B,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CB BLIZZARD LOWER HOLDINGS B,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CB Blizzard Lower Holdings GP B, LLC, its general</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JEFFREY H. ARONSON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sectPr>
      <w:pgSz w:w="11900" w:h="16838" w:orient="portrait"/>
      <w:cols w:equalWidth="0" w:num="1">
        <w:col w:w="9740"/>
      </w:cols>
      <w:pgMar w:left="1440" w:top="27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2022-02-10T06:49:05Z</dcterms:created>
  <dcterms:modified xsi:type="dcterms:W3CDTF">2022-02-10T06:49:05Z</dcterms:modified>
</cp:coreProperties>
</file>