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13G</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jc w:val="center"/>
        <w:ind w:left="360" w:right="2780"/>
        <w:spacing w:after="0" w:line="217"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(Amendment No. 1)*</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GoHealth, Inc.</w:t>
      </w:r>
    </w:p>
    <w:p>
      <w:pPr>
        <w:ind w:left="4900"/>
        <w:spacing w:after="0"/>
        <w:rPr>
          <w:sz w:val="20"/>
          <w:szCs w:val="20"/>
          <w:color w:val="auto"/>
        </w:rPr>
      </w:pPr>
      <w:r>
        <w:rPr>
          <w:rFonts w:ascii="Arial" w:cs="Arial" w:eastAsia="Arial" w:hAnsi="Arial"/>
          <w:sz w:val="22"/>
          <w:szCs w:val="22"/>
          <w:color w:val="auto"/>
        </w:rPr>
        <w:t>(Name of Issuer)</w:t>
      </w:r>
    </w:p>
    <w:p>
      <w:pPr>
        <w:spacing w:after="0" w:line="169"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Class A Common Stock, $0.0001 par value per share</w:t>
      </w:r>
    </w:p>
    <w:p>
      <w:pPr>
        <w:jc w:val="center"/>
        <w:ind w:right="-59"/>
        <w:spacing w:after="0" w:line="204" w:lineRule="auto"/>
        <w:rPr>
          <w:sz w:val="20"/>
          <w:szCs w:val="20"/>
          <w:color w:val="auto"/>
        </w:rPr>
      </w:pPr>
      <w:r>
        <w:rPr>
          <w:rFonts w:ascii="Arial" w:cs="Arial" w:eastAsia="Arial" w:hAnsi="Arial"/>
          <w:sz w:val="22"/>
          <w:szCs w:val="22"/>
          <w:color w:val="auto"/>
        </w:rPr>
        <w:t>(Title of Class of Securities)</w:t>
      </w:r>
    </w:p>
    <w:p>
      <w:pPr>
        <w:jc w:val="center"/>
        <w:ind w:right="-59"/>
        <w:spacing w:after="0" w:line="205" w:lineRule="auto"/>
        <w:rPr>
          <w:sz w:val="20"/>
          <w:szCs w:val="20"/>
          <w:color w:val="auto"/>
        </w:rPr>
      </w:pPr>
      <w:r>
        <w:rPr>
          <w:rFonts w:ascii="Arial" w:cs="Arial" w:eastAsia="Arial" w:hAnsi="Arial"/>
          <w:sz w:val="22"/>
          <w:szCs w:val="22"/>
          <w:b w:val="1"/>
          <w:bCs w:val="1"/>
          <w:color w:val="auto"/>
        </w:rPr>
        <w:t>38046W105</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6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0" w:lineRule="exact"/>
        <w:rPr>
          <w:sz w:val="24"/>
          <w:szCs w:val="24"/>
          <w:color w:val="auto"/>
        </w:rPr>
      </w:pPr>
    </w:p>
    <w:p>
      <w:pPr>
        <w:ind w:left="520" w:hanging="512"/>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ind w:left="360" w:hanging="352"/>
        <w:spacing w:after="0" w:line="204"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Rule 13d-1(c)</w:t>
      </w: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X ]  Rule 13d-1(d)</w:t>
      </w:r>
    </w:p>
    <w:p>
      <w:pPr>
        <w:spacing w:after="0" w:line="161" w:lineRule="exact"/>
        <w:rPr>
          <w:sz w:val="24"/>
          <w:szCs w:val="24"/>
          <w:color w:val="auto"/>
        </w:rPr>
      </w:pPr>
    </w:p>
    <w:p>
      <w:pPr>
        <w:ind w:right="40" w:firstLine="8"/>
        <w:spacing w:after="0" w:line="223"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spacing w:after="0" w:line="223"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440" w:right="379" w:bottom="1440" w:gutter="0" w:footer="0" w:header="0"/>
        </w:sectPr>
      </w:pPr>
    </w:p>
    <w:bookmarkStart w:id="1" w:name="page2"/>
    <w:bookmarkEnd w:id="1"/>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620"/>
              <w:spacing w:after="0"/>
              <w:rPr>
                <w:sz w:val="20"/>
                <w:szCs w:val="20"/>
                <w:color w:val="auto"/>
              </w:rPr>
            </w:pPr>
            <w:r>
              <w:rPr>
                <w:rFonts w:ascii="Arial" w:cs="Arial" w:eastAsia="Arial" w:hAnsi="Arial"/>
                <w:sz w:val="20"/>
                <w:szCs w:val="20"/>
                <w:b w:val="1"/>
                <w:bCs w:val="1"/>
                <w:color w:val="auto"/>
              </w:rPr>
              <w:t>NVX Holdings, Inc.</w:t>
            </w:r>
          </w:p>
        </w:tc>
      </w:tr>
      <w:tr>
        <w:trPr>
          <w:trHeight w:val="183"/>
        </w:trPr>
        <w:tc>
          <w:tcPr>
            <w:tcW w:w="780" w:type="dxa"/>
            <w:vAlign w:val="bottom"/>
          </w:tcPr>
          <w:p>
            <w:pPr>
              <w:jc w:val="right"/>
              <w:ind w:right="501"/>
              <w:spacing w:after="0" w:line="183" w:lineRule="exact"/>
              <w:rPr>
                <w:sz w:val="20"/>
                <w:szCs w:val="20"/>
                <w:color w:val="auto"/>
              </w:rPr>
            </w:pPr>
            <w:r>
              <w:rPr>
                <w:rFonts w:ascii="Arial" w:cs="Arial" w:eastAsia="Arial" w:hAnsi="Arial"/>
                <w:sz w:val="20"/>
                <w:szCs w:val="20"/>
                <w:color w:val="auto"/>
              </w:rPr>
              <w:t>2</w:t>
            </w:r>
          </w:p>
        </w:tc>
        <w:tc>
          <w:tcPr>
            <w:tcW w:w="10340" w:type="dxa"/>
            <w:vAlign w:val="bottom"/>
          </w:tcPr>
          <w:p>
            <w:pPr>
              <w:ind w:left="620"/>
              <w:spacing w:after="0" w:line="183" w:lineRule="exact"/>
              <w:rPr>
                <w:sz w:val="20"/>
                <w:szCs w:val="20"/>
                <w:color w:val="auto"/>
              </w:rPr>
            </w:pPr>
            <w:r>
              <w:rPr>
                <w:rFonts w:ascii="Arial" w:cs="Arial" w:eastAsia="Arial" w:hAnsi="Arial"/>
                <w:sz w:val="20"/>
                <w:szCs w:val="20"/>
                <w:color w:val="auto"/>
              </w:rPr>
              <w:t>Check the Appropriate Box if a Member of a Group   (a) [ ]</w:t>
            </w:r>
          </w:p>
        </w:tc>
      </w:tr>
      <w:tr>
        <w:trPr>
          <w:trHeight w:val="250"/>
        </w:trPr>
        <w:tc>
          <w:tcPr>
            <w:tcW w:w="780" w:type="dxa"/>
            <w:vAlign w:val="bottom"/>
          </w:tcPr>
          <w:p>
            <w:pPr>
              <w:spacing w:after="0"/>
              <w:rPr>
                <w:sz w:val="21"/>
                <w:szCs w:val="21"/>
                <w:color w:val="auto"/>
              </w:rPr>
            </w:pPr>
          </w:p>
        </w:tc>
        <w:tc>
          <w:tcPr>
            <w:tcW w:w="10340" w:type="dxa"/>
            <w:vAlign w:val="bottom"/>
          </w:tcPr>
          <w:p>
            <w:pPr>
              <w:ind w:left="820"/>
              <w:spacing w:after="0"/>
              <w:rPr>
                <w:sz w:val="20"/>
                <w:szCs w:val="20"/>
                <w:color w:val="auto"/>
              </w:rPr>
            </w:pPr>
            <w:r>
              <w:rPr>
                <w:rFonts w:ascii="Arial" w:cs="Arial" w:eastAsia="Arial" w:hAnsi="Arial"/>
                <w:sz w:val="20"/>
                <w:szCs w:val="20"/>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96" w:lineRule="exact"/>
        <w:rPr>
          <w:sz w:val="20"/>
          <w:szCs w:val="20"/>
          <w:color w:val="auto"/>
        </w:rPr>
      </w:pPr>
    </w:p>
    <w:p>
      <w:pPr>
        <w:ind w:left="1400" w:hanging="1324"/>
        <w:spacing w:after="0"/>
        <w:tabs>
          <w:tab w:leader="none" w:pos="14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42"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3880" w:hanging="1077"/>
        <w:spacing w:after="0"/>
        <w:tabs>
          <w:tab w:leader="none" w:pos="3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Voting Power</w:t>
      </w:r>
    </w:p>
    <w:p>
      <w:pPr>
        <w:ind w:left="4060"/>
        <w:spacing w:after="0"/>
        <w:rPr>
          <w:rFonts w:ascii="Arial" w:cs="Arial" w:eastAsia="Arial" w:hAnsi="Arial"/>
          <w:sz w:val="20"/>
          <w:szCs w:val="20"/>
          <w:color w:val="auto"/>
        </w:rPr>
      </w:pPr>
      <w:r>
        <w:rPr>
          <w:rFonts w:ascii="Arial" w:cs="Arial" w:eastAsia="Arial" w:hAnsi="Arial"/>
          <w:sz w:val="20"/>
          <w:szCs w:val="20"/>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257175</wp:posOffset>
            </wp:positionV>
            <wp:extent cx="526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line="230" w:lineRule="auto"/>
        <w:rPr>
          <w:sz w:val="20"/>
          <w:szCs w:val="20"/>
          <w:color w:val="auto"/>
        </w:rPr>
      </w:pPr>
      <w:r>
        <w:rPr>
          <w:rFonts w:ascii="Arial" w:cs="Arial" w:eastAsia="Arial" w:hAnsi="Arial"/>
          <w:sz w:val="19"/>
          <w:szCs w:val="19"/>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77" w:hanging="1077"/>
        <w:spacing w:after="0"/>
        <w:tabs>
          <w:tab w:leader="none" w:pos="1077"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Voting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93,485,281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71" w:lineRule="exact"/>
        <w:rPr>
          <w:sz w:val="20"/>
          <w:szCs w:val="20"/>
          <w:color w:val="auto"/>
        </w:rPr>
      </w:pPr>
    </w:p>
    <w:p>
      <w:pPr>
        <w:ind w:left="1077" w:hanging="1077"/>
        <w:spacing w:after="0"/>
        <w:tabs>
          <w:tab w:leader="none" w:pos="1077"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Dispositive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96" w:lineRule="exact"/>
        <w:rPr>
          <w:sz w:val="20"/>
          <w:szCs w:val="20"/>
          <w:color w:val="auto"/>
        </w:rPr>
      </w:pPr>
    </w:p>
    <w:p>
      <w:pPr>
        <w:ind w:left="1077" w:hanging="1077"/>
        <w:spacing w:after="0"/>
        <w:tabs>
          <w:tab w:leader="none" w:pos="10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42" w:lineRule="exact"/>
        <w:rPr>
          <w:rFonts w:ascii="Arial" w:cs="Arial" w:eastAsia="Arial" w:hAnsi="Arial"/>
          <w:sz w:val="16"/>
          <w:szCs w:val="16"/>
          <w:color w:val="auto"/>
        </w:rPr>
      </w:pPr>
    </w:p>
    <w:p>
      <w:pPr>
        <w:ind w:left="1257"/>
        <w:spacing w:after="0"/>
        <w:rPr>
          <w:rFonts w:ascii="Arial" w:cs="Arial" w:eastAsia="Arial" w:hAnsi="Arial"/>
          <w:sz w:val="16"/>
          <w:szCs w:val="16"/>
          <w:color w:val="auto"/>
        </w:rPr>
      </w:pPr>
      <w:r>
        <w:rPr>
          <w:rFonts w:ascii="Arial" w:cs="Arial" w:eastAsia="Arial" w:hAnsi="Arial"/>
          <w:sz w:val="20"/>
          <w:szCs w:val="20"/>
          <w:b w:val="1"/>
          <w:bCs w:val="1"/>
          <w:color w:val="auto"/>
        </w:rPr>
        <w:t>93,485,281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116840</wp:posOffset>
            </wp:positionV>
            <wp:extent cx="7054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40" w:space="263"/>
            <w:col w:w="8317"/>
          </w:cols>
          <w:pgMar w:left="320" w:top="1440" w:right="459" w:bottom="1440" w:gutter="0" w:footer="0" w:header="0"/>
          <w:type w:val="continuous"/>
        </w:sectPr>
      </w:pPr>
    </w:p>
    <w:p>
      <w:pPr>
        <w:ind w:left="1400" w:hanging="1324"/>
        <w:spacing w:after="0"/>
        <w:tabs>
          <w:tab w:leader="none" w:pos="14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93,485,281</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10</w:t>
            </w:r>
          </w:p>
        </w:tc>
        <w:tc>
          <w:tcPr>
            <w:tcW w:w="10280" w:type="dxa"/>
            <w:vAlign w:val="bottom"/>
          </w:tcPr>
          <w:p>
            <w:pPr>
              <w:ind w:left="560"/>
              <w:spacing w:after="0"/>
              <w:rPr>
                <w:sz w:val="20"/>
                <w:szCs w:val="20"/>
                <w:color w:val="auto"/>
              </w:rPr>
            </w:pPr>
            <w:r>
              <w:rPr>
                <w:rFonts w:ascii="Arial" w:cs="Arial" w:eastAsia="Arial" w:hAnsi="Arial"/>
                <w:sz w:val="20"/>
                <w:szCs w:val="20"/>
                <w:color w:val="auto"/>
              </w:rPr>
              <w:t>Check if the Aggregate Amount in Row (9) Excludes Certain Shares</w:t>
            </w:r>
          </w:p>
        </w:tc>
      </w:tr>
      <w:tr>
        <w:trPr>
          <w:trHeight w:val="371"/>
        </w:trPr>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Not Applicable</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11</w:t>
            </w:r>
          </w:p>
        </w:tc>
        <w:tc>
          <w:tcPr>
            <w:tcW w:w="10280" w:type="dxa"/>
            <w:vAlign w:val="bottom"/>
          </w:tcPr>
          <w:p>
            <w:pPr>
              <w:ind w:left="560"/>
              <w:spacing w:after="0"/>
              <w:rPr>
                <w:sz w:val="20"/>
                <w:szCs w:val="20"/>
                <w:color w:val="auto"/>
              </w:rPr>
            </w:pPr>
            <w:r>
              <w:rPr>
                <w:rFonts w:ascii="Arial" w:cs="Arial" w:eastAsia="Arial" w:hAnsi="Arial"/>
                <w:sz w:val="20"/>
                <w:szCs w:val="20"/>
                <w:color w:val="auto"/>
              </w:rPr>
              <w:t>Percent of Class Represented by Amount in Row 9</w:t>
            </w:r>
          </w:p>
        </w:tc>
      </w:tr>
    </w:tbl>
    <w:p>
      <w:pPr>
        <w:spacing w:after="0" w:line="118"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3" w:lineRule="exact"/>
        <w:rPr>
          <w:sz w:val="20"/>
          <w:szCs w:val="20"/>
          <w:color w:val="auto"/>
        </w:rPr>
      </w:pPr>
    </w:p>
    <w:p>
      <w:pPr>
        <w:ind w:left="1400" w:hanging="1324"/>
        <w:spacing w:after="0"/>
        <w:tabs>
          <w:tab w:leader="none" w:pos="14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42"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2" w:name="page3"/>
    <w:bookmarkEnd w:id="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54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620"/>
              <w:spacing w:after="0"/>
              <w:rPr>
                <w:sz w:val="20"/>
                <w:szCs w:val="20"/>
                <w:color w:val="auto"/>
              </w:rPr>
            </w:pPr>
            <w:r>
              <w:rPr>
                <w:rFonts w:ascii="Arial" w:cs="Arial" w:eastAsia="Arial" w:hAnsi="Arial"/>
                <w:sz w:val="20"/>
                <w:szCs w:val="20"/>
                <w:b w:val="1"/>
                <w:bCs w:val="1"/>
                <w:color w:val="auto"/>
              </w:rPr>
              <w:t>Brandon M. Cruz</w:t>
            </w:r>
          </w:p>
        </w:tc>
      </w:tr>
      <w:tr>
        <w:trPr>
          <w:trHeight w:val="183"/>
        </w:trPr>
        <w:tc>
          <w:tcPr>
            <w:tcW w:w="780" w:type="dxa"/>
            <w:vAlign w:val="bottom"/>
          </w:tcPr>
          <w:p>
            <w:pPr>
              <w:jc w:val="right"/>
              <w:ind w:right="501"/>
              <w:spacing w:after="0" w:line="183" w:lineRule="exact"/>
              <w:rPr>
                <w:sz w:val="20"/>
                <w:szCs w:val="20"/>
                <w:color w:val="auto"/>
              </w:rPr>
            </w:pPr>
            <w:r>
              <w:rPr>
                <w:rFonts w:ascii="Arial" w:cs="Arial" w:eastAsia="Arial" w:hAnsi="Arial"/>
                <w:sz w:val="20"/>
                <w:szCs w:val="20"/>
                <w:color w:val="auto"/>
              </w:rPr>
              <w:t>2</w:t>
            </w:r>
          </w:p>
        </w:tc>
        <w:tc>
          <w:tcPr>
            <w:tcW w:w="10340" w:type="dxa"/>
            <w:vAlign w:val="bottom"/>
          </w:tcPr>
          <w:p>
            <w:pPr>
              <w:ind w:left="620"/>
              <w:spacing w:after="0" w:line="183" w:lineRule="exact"/>
              <w:rPr>
                <w:sz w:val="20"/>
                <w:szCs w:val="20"/>
                <w:color w:val="auto"/>
              </w:rPr>
            </w:pPr>
            <w:r>
              <w:rPr>
                <w:rFonts w:ascii="Arial" w:cs="Arial" w:eastAsia="Arial" w:hAnsi="Arial"/>
                <w:sz w:val="20"/>
                <w:szCs w:val="20"/>
                <w:color w:val="auto"/>
              </w:rPr>
              <w:t>Check the Appropriate Box if a Member of a Group   (a) [ ]</w:t>
            </w:r>
          </w:p>
        </w:tc>
      </w:tr>
      <w:tr>
        <w:trPr>
          <w:trHeight w:val="250"/>
        </w:trPr>
        <w:tc>
          <w:tcPr>
            <w:tcW w:w="780" w:type="dxa"/>
            <w:vAlign w:val="bottom"/>
          </w:tcPr>
          <w:p>
            <w:pPr>
              <w:spacing w:after="0"/>
              <w:rPr>
                <w:sz w:val="21"/>
                <w:szCs w:val="21"/>
                <w:color w:val="auto"/>
              </w:rPr>
            </w:pPr>
          </w:p>
        </w:tc>
        <w:tc>
          <w:tcPr>
            <w:tcW w:w="10340" w:type="dxa"/>
            <w:vAlign w:val="bottom"/>
          </w:tcPr>
          <w:p>
            <w:pPr>
              <w:ind w:left="820"/>
              <w:spacing w:after="0"/>
              <w:rPr>
                <w:sz w:val="20"/>
                <w:szCs w:val="20"/>
                <w:color w:val="auto"/>
              </w:rPr>
            </w:pPr>
            <w:r>
              <w:rPr>
                <w:rFonts w:ascii="Arial" w:cs="Arial" w:eastAsia="Arial" w:hAnsi="Arial"/>
                <w:sz w:val="20"/>
                <w:szCs w:val="20"/>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96" w:lineRule="exact"/>
        <w:rPr>
          <w:sz w:val="20"/>
          <w:szCs w:val="20"/>
          <w:color w:val="auto"/>
        </w:rPr>
      </w:pPr>
    </w:p>
    <w:p>
      <w:pPr>
        <w:ind w:left="1400" w:hanging="1324"/>
        <w:spacing w:after="0"/>
        <w:tabs>
          <w:tab w:leader="none" w:pos="1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42"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3880" w:hanging="1077"/>
        <w:spacing w:after="0"/>
        <w:tabs>
          <w:tab w:leader="none" w:pos="38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Sole Voting Power</w:t>
      </w:r>
    </w:p>
    <w:p>
      <w:pPr>
        <w:ind w:left="4060"/>
        <w:spacing w:after="0"/>
        <w:rPr>
          <w:rFonts w:ascii="Arial" w:cs="Arial" w:eastAsia="Arial" w:hAnsi="Arial"/>
          <w:sz w:val="20"/>
          <w:szCs w:val="20"/>
          <w:color w:val="auto"/>
        </w:rPr>
      </w:pPr>
      <w:r>
        <w:rPr>
          <w:rFonts w:ascii="Arial" w:cs="Arial" w:eastAsia="Arial" w:hAnsi="Arial"/>
          <w:sz w:val="20"/>
          <w:szCs w:val="20"/>
          <w:b w:val="1"/>
          <w:bCs w:val="1"/>
          <w:color w:val="auto"/>
        </w:rPr>
        <w:t>2,580,643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257175</wp:posOffset>
            </wp:positionV>
            <wp:extent cx="5263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line="230" w:lineRule="auto"/>
        <w:rPr>
          <w:sz w:val="20"/>
          <w:szCs w:val="20"/>
          <w:color w:val="auto"/>
        </w:rPr>
      </w:pPr>
      <w:r>
        <w:rPr>
          <w:rFonts w:ascii="Arial" w:cs="Arial" w:eastAsia="Arial" w:hAnsi="Arial"/>
          <w:sz w:val="19"/>
          <w:szCs w:val="19"/>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77" w:hanging="1077"/>
        <w:spacing w:after="0"/>
        <w:tabs>
          <w:tab w:leader="none" w:pos="1077"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Shared Voting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93,707,098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71" w:lineRule="exact"/>
        <w:rPr>
          <w:sz w:val="20"/>
          <w:szCs w:val="20"/>
          <w:color w:val="auto"/>
        </w:rPr>
      </w:pPr>
    </w:p>
    <w:p>
      <w:pPr>
        <w:ind w:left="1077" w:hanging="1077"/>
        <w:spacing w:after="0"/>
        <w:tabs>
          <w:tab w:leader="none" w:pos="1077" w:val="left"/>
        </w:tabs>
        <w:numPr>
          <w:ilvl w:val="0"/>
          <w:numId w:val="18"/>
        </w:numPr>
        <w:rPr>
          <w:rFonts w:ascii="Arial" w:cs="Arial" w:eastAsia="Arial" w:hAnsi="Arial"/>
          <w:sz w:val="20"/>
          <w:szCs w:val="20"/>
          <w:color w:val="auto"/>
        </w:rPr>
      </w:pPr>
      <w:r>
        <w:rPr>
          <w:rFonts w:ascii="Arial" w:cs="Arial" w:eastAsia="Arial" w:hAnsi="Arial"/>
          <w:sz w:val="20"/>
          <w:szCs w:val="20"/>
          <w:color w:val="auto"/>
        </w:rPr>
        <w:t>Sole Dispositive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2,580,643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96" w:lineRule="exact"/>
        <w:rPr>
          <w:sz w:val="20"/>
          <w:szCs w:val="20"/>
          <w:color w:val="auto"/>
        </w:rPr>
      </w:pPr>
    </w:p>
    <w:p>
      <w:pPr>
        <w:ind w:left="1077" w:hanging="1077"/>
        <w:spacing w:after="0"/>
        <w:tabs>
          <w:tab w:leader="none" w:pos="10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42" w:lineRule="exact"/>
        <w:rPr>
          <w:rFonts w:ascii="Arial" w:cs="Arial" w:eastAsia="Arial" w:hAnsi="Arial"/>
          <w:sz w:val="16"/>
          <w:szCs w:val="16"/>
          <w:color w:val="auto"/>
        </w:rPr>
      </w:pPr>
    </w:p>
    <w:p>
      <w:pPr>
        <w:ind w:left="1257"/>
        <w:spacing w:after="0"/>
        <w:rPr>
          <w:rFonts w:ascii="Arial" w:cs="Arial" w:eastAsia="Arial" w:hAnsi="Arial"/>
          <w:sz w:val="16"/>
          <w:szCs w:val="16"/>
          <w:color w:val="auto"/>
        </w:rPr>
      </w:pPr>
      <w:r>
        <w:rPr>
          <w:rFonts w:ascii="Arial" w:cs="Arial" w:eastAsia="Arial" w:hAnsi="Arial"/>
          <w:sz w:val="20"/>
          <w:szCs w:val="20"/>
          <w:b w:val="1"/>
          <w:bCs w:val="1"/>
          <w:color w:val="auto"/>
        </w:rPr>
        <w:t>93,707,098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116840</wp:posOffset>
            </wp:positionV>
            <wp:extent cx="7054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40" w:space="263"/>
            <w:col w:w="8317"/>
          </w:cols>
          <w:pgMar w:left="320" w:top="1440" w:right="459" w:bottom="1440" w:gutter="0" w:footer="0" w:header="0"/>
          <w:type w:val="continuous"/>
        </w:sectPr>
      </w:pPr>
    </w:p>
    <w:p>
      <w:pPr>
        <w:ind w:left="1400" w:hanging="1324"/>
        <w:spacing w:after="0"/>
        <w:tabs>
          <w:tab w:leader="none" w:pos="1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93,707,098</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10</w:t>
            </w:r>
          </w:p>
        </w:tc>
        <w:tc>
          <w:tcPr>
            <w:tcW w:w="10280" w:type="dxa"/>
            <w:vAlign w:val="bottom"/>
          </w:tcPr>
          <w:p>
            <w:pPr>
              <w:ind w:left="560"/>
              <w:spacing w:after="0"/>
              <w:rPr>
                <w:sz w:val="20"/>
                <w:szCs w:val="20"/>
                <w:color w:val="auto"/>
              </w:rPr>
            </w:pPr>
            <w:r>
              <w:rPr>
                <w:rFonts w:ascii="Arial" w:cs="Arial" w:eastAsia="Arial" w:hAnsi="Arial"/>
                <w:sz w:val="20"/>
                <w:szCs w:val="20"/>
                <w:color w:val="auto"/>
              </w:rPr>
              <w:t>Check if the Aggregate Amount in Row (9) Excludes Certain Shares</w:t>
            </w:r>
          </w:p>
        </w:tc>
      </w:tr>
      <w:tr>
        <w:trPr>
          <w:trHeight w:val="371"/>
        </w:trPr>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Not Applicable</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11</w:t>
            </w:r>
          </w:p>
        </w:tc>
        <w:tc>
          <w:tcPr>
            <w:tcW w:w="10280" w:type="dxa"/>
            <w:vAlign w:val="bottom"/>
          </w:tcPr>
          <w:p>
            <w:pPr>
              <w:ind w:left="560"/>
              <w:spacing w:after="0"/>
              <w:rPr>
                <w:sz w:val="20"/>
                <w:szCs w:val="20"/>
                <w:color w:val="auto"/>
              </w:rPr>
            </w:pPr>
            <w:r>
              <w:rPr>
                <w:rFonts w:ascii="Arial" w:cs="Arial" w:eastAsia="Arial" w:hAnsi="Arial"/>
                <w:sz w:val="20"/>
                <w:szCs w:val="20"/>
                <w:color w:val="auto"/>
              </w:rPr>
              <w:t>Percent of Class Represented by Amount in Row 9</w:t>
            </w:r>
          </w:p>
        </w:tc>
      </w:tr>
    </w:tbl>
    <w:p>
      <w:pPr>
        <w:spacing w:after="0" w:line="118"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3" w:lineRule="exact"/>
        <w:rPr>
          <w:sz w:val="20"/>
          <w:szCs w:val="20"/>
          <w:color w:val="auto"/>
        </w:rPr>
      </w:pPr>
    </w:p>
    <w:p>
      <w:pPr>
        <w:ind w:left="1400" w:hanging="1324"/>
        <w:spacing w:after="0"/>
        <w:tabs>
          <w:tab w:leader="none" w:pos="1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42"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3" w:name="page4"/>
    <w:bookmarkEnd w:id="3"/>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54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620"/>
              <w:spacing w:after="0"/>
              <w:rPr>
                <w:sz w:val="20"/>
                <w:szCs w:val="20"/>
                <w:color w:val="auto"/>
              </w:rPr>
            </w:pPr>
            <w:r>
              <w:rPr>
                <w:rFonts w:ascii="Arial" w:cs="Arial" w:eastAsia="Arial" w:hAnsi="Arial"/>
                <w:sz w:val="20"/>
                <w:szCs w:val="20"/>
                <w:b w:val="1"/>
                <w:bCs w:val="1"/>
                <w:color w:val="auto"/>
              </w:rPr>
              <w:t>Clinton P. Jones</w:t>
            </w:r>
          </w:p>
        </w:tc>
      </w:tr>
      <w:tr>
        <w:trPr>
          <w:trHeight w:val="183"/>
        </w:trPr>
        <w:tc>
          <w:tcPr>
            <w:tcW w:w="780" w:type="dxa"/>
            <w:vAlign w:val="bottom"/>
          </w:tcPr>
          <w:p>
            <w:pPr>
              <w:jc w:val="right"/>
              <w:ind w:right="501"/>
              <w:spacing w:after="0" w:line="183" w:lineRule="exact"/>
              <w:rPr>
                <w:sz w:val="20"/>
                <w:szCs w:val="20"/>
                <w:color w:val="auto"/>
              </w:rPr>
            </w:pPr>
            <w:r>
              <w:rPr>
                <w:rFonts w:ascii="Arial" w:cs="Arial" w:eastAsia="Arial" w:hAnsi="Arial"/>
                <w:sz w:val="20"/>
                <w:szCs w:val="20"/>
                <w:color w:val="auto"/>
              </w:rPr>
              <w:t>2</w:t>
            </w:r>
          </w:p>
        </w:tc>
        <w:tc>
          <w:tcPr>
            <w:tcW w:w="10340" w:type="dxa"/>
            <w:vAlign w:val="bottom"/>
          </w:tcPr>
          <w:p>
            <w:pPr>
              <w:ind w:left="620"/>
              <w:spacing w:after="0" w:line="183" w:lineRule="exact"/>
              <w:rPr>
                <w:sz w:val="20"/>
                <w:szCs w:val="20"/>
                <w:color w:val="auto"/>
              </w:rPr>
            </w:pPr>
            <w:r>
              <w:rPr>
                <w:rFonts w:ascii="Arial" w:cs="Arial" w:eastAsia="Arial" w:hAnsi="Arial"/>
                <w:sz w:val="20"/>
                <w:szCs w:val="20"/>
                <w:color w:val="auto"/>
              </w:rPr>
              <w:t>Check the Appropriate Box if a Member of a Group   (a) [ ]</w:t>
            </w:r>
          </w:p>
        </w:tc>
      </w:tr>
      <w:tr>
        <w:trPr>
          <w:trHeight w:val="250"/>
        </w:trPr>
        <w:tc>
          <w:tcPr>
            <w:tcW w:w="780" w:type="dxa"/>
            <w:vAlign w:val="bottom"/>
          </w:tcPr>
          <w:p>
            <w:pPr>
              <w:spacing w:after="0"/>
              <w:rPr>
                <w:sz w:val="21"/>
                <w:szCs w:val="21"/>
                <w:color w:val="auto"/>
              </w:rPr>
            </w:pPr>
          </w:p>
        </w:tc>
        <w:tc>
          <w:tcPr>
            <w:tcW w:w="10340" w:type="dxa"/>
            <w:vAlign w:val="bottom"/>
          </w:tcPr>
          <w:p>
            <w:pPr>
              <w:ind w:left="820"/>
              <w:spacing w:after="0"/>
              <w:rPr>
                <w:sz w:val="20"/>
                <w:szCs w:val="20"/>
                <w:color w:val="auto"/>
              </w:rPr>
            </w:pPr>
            <w:r>
              <w:rPr>
                <w:rFonts w:ascii="Arial" w:cs="Arial" w:eastAsia="Arial" w:hAnsi="Arial"/>
                <w:sz w:val="20"/>
                <w:szCs w:val="20"/>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96" w:lineRule="exact"/>
        <w:rPr>
          <w:sz w:val="20"/>
          <w:szCs w:val="20"/>
          <w:color w:val="auto"/>
        </w:rPr>
      </w:pPr>
    </w:p>
    <w:p>
      <w:pPr>
        <w:ind w:left="1400" w:hanging="1324"/>
        <w:spacing w:after="0"/>
        <w:tabs>
          <w:tab w:leader="none" w:pos="1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42"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3880" w:hanging="1077"/>
        <w:spacing w:after="0"/>
        <w:tabs>
          <w:tab w:leader="none" w:pos="38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Sole Voting Power</w:t>
      </w:r>
    </w:p>
    <w:p>
      <w:pPr>
        <w:ind w:left="4060"/>
        <w:spacing w:after="0"/>
        <w:rPr>
          <w:rFonts w:ascii="Arial" w:cs="Arial" w:eastAsia="Arial" w:hAnsi="Arial"/>
          <w:sz w:val="20"/>
          <w:szCs w:val="20"/>
          <w:color w:val="auto"/>
        </w:rPr>
      </w:pPr>
      <w:r>
        <w:rPr>
          <w:rFonts w:ascii="Arial" w:cs="Arial" w:eastAsia="Arial" w:hAnsi="Arial"/>
          <w:sz w:val="20"/>
          <w:szCs w:val="20"/>
          <w:b w:val="1"/>
          <w:bCs w:val="1"/>
          <w:color w:val="auto"/>
        </w:rPr>
        <w:t>2,580,643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257175</wp:posOffset>
            </wp:positionV>
            <wp:extent cx="5263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line="230" w:lineRule="auto"/>
        <w:rPr>
          <w:sz w:val="20"/>
          <w:szCs w:val="20"/>
          <w:color w:val="auto"/>
        </w:rPr>
      </w:pPr>
      <w:r>
        <w:rPr>
          <w:rFonts w:ascii="Arial" w:cs="Arial" w:eastAsia="Arial" w:hAnsi="Arial"/>
          <w:sz w:val="19"/>
          <w:szCs w:val="19"/>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77" w:hanging="1077"/>
        <w:spacing w:after="0"/>
        <w:tabs>
          <w:tab w:leader="none" w:pos="1077" w:val="left"/>
        </w:tabs>
        <w:numPr>
          <w:ilvl w:val="0"/>
          <w:numId w:val="26"/>
        </w:numPr>
        <w:rPr>
          <w:rFonts w:ascii="Arial" w:cs="Arial" w:eastAsia="Arial" w:hAnsi="Arial"/>
          <w:sz w:val="20"/>
          <w:szCs w:val="20"/>
          <w:color w:val="auto"/>
        </w:rPr>
      </w:pPr>
      <w:r>
        <w:rPr>
          <w:rFonts w:ascii="Arial" w:cs="Arial" w:eastAsia="Arial" w:hAnsi="Arial"/>
          <w:sz w:val="20"/>
          <w:szCs w:val="20"/>
          <w:color w:val="auto"/>
        </w:rPr>
        <w:t>Shared Voting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93,707,098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71" w:lineRule="exact"/>
        <w:rPr>
          <w:sz w:val="20"/>
          <w:szCs w:val="20"/>
          <w:color w:val="auto"/>
        </w:rPr>
      </w:pPr>
    </w:p>
    <w:p>
      <w:pPr>
        <w:ind w:left="1077" w:hanging="1077"/>
        <w:spacing w:after="0"/>
        <w:tabs>
          <w:tab w:leader="none" w:pos="1077" w:val="left"/>
        </w:tabs>
        <w:numPr>
          <w:ilvl w:val="0"/>
          <w:numId w:val="27"/>
        </w:numPr>
        <w:rPr>
          <w:rFonts w:ascii="Arial" w:cs="Arial" w:eastAsia="Arial" w:hAnsi="Arial"/>
          <w:sz w:val="20"/>
          <w:szCs w:val="20"/>
          <w:color w:val="auto"/>
        </w:rPr>
      </w:pPr>
      <w:r>
        <w:rPr>
          <w:rFonts w:ascii="Arial" w:cs="Arial" w:eastAsia="Arial" w:hAnsi="Arial"/>
          <w:sz w:val="20"/>
          <w:szCs w:val="20"/>
          <w:color w:val="auto"/>
        </w:rPr>
        <w:t>Sole Dispositive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2,580,643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96" w:lineRule="exact"/>
        <w:rPr>
          <w:sz w:val="20"/>
          <w:szCs w:val="20"/>
          <w:color w:val="auto"/>
        </w:rPr>
      </w:pPr>
    </w:p>
    <w:p>
      <w:pPr>
        <w:ind w:left="1077" w:hanging="1077"/>
        <w:spacing w:after="0"/>
        <w:tabs>
          <w:tab w:leader="none" w:pos="10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42" w:lineRule="exact"/>
        <w:rPr>
          <w:rFonts w:ascii="Arial" w:cs="Arial" w:eastAsia="Arial" w:hAnsi="Arial"/>
          <w:sz w:val="16"/>
          <w:szCs w:val="16"/>
          <w:color w:val="auto"/>
        </w:rPr>
      </w:pPr>
    </w:p>
    <w:p>
      <w:pPr>
        <w:ind w:left="1257"/>
        <w:spacing w:after="0"/>
        <w:rPr>
          <w:rFonts w:ascii="Arial" w:cs="Arial" w:eastAsia="Arial" w:hAnsi="Arial"/>
          <w:sz w:val="16"/>
          <w:szCs w:val="16"/>
          <w:color w:val="auto"/>
        </w:rPr>
      </w:pPr>
      <w:r>
        <w:rPr>
          <w:rFonts w:ascii="Arial" w:cs="Arial" w:eastAsia="Arial" w:hAnsi="Arial"/>
          <w:sz w:val="20"/>
          <w:szCs w:val="20"/>
          <w:b w:val="1"/>
          <w:bCs w:val="1"/>
          <w:color w:val="auto"/>
        </w:rPr>
        <w:t>93,707,098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116840</wp:posOffset>
            </wp:positionV>
            <wp:extent cx="7054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40" w:space="263"/>
            <w:col w:w="8317"/>
          </w:cols>
          <w:pgMar w:left="320" w:top="1440" w:right="459" w:bottom="1440" w:gutter="0" w:footer="0" w:header="0"/>
          <w:type w:val="continuous"/>
        </w:sectPr>
      </w:pPr>
    </w:p>
    <w:p>
      <w:pPr>
        <w:ind w:left="1400" w:hanging="1324"/>
        <w:spacing w:after="0"/>
        <w:tabs>
          <w:tab w:leader="none" w:pos="1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93,707,098</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10</w:t>
            </w:r>
          </w:p>
        </w:tc>
        <w:tc>
          <w:tcPr>
            <w:tcW w:w="10280" w:type="dxa"/>
            <w:vAlign w:val="bottom"/>
          </w:tcPr>
          <w:p>
            <w:pPr>
              <w:ind w:left="560"/>
              <w:spacing w:after="0"/>
              <w:rPr>
                <w:sz w:val="20"/>
                <w:szCs w:val="20"/>
                <w:color w:val="auto"/>
              </w:rPr>
            </w:pPr>
            <w:r>
              <w:rPr>
                <w:rFonts w:ascii="Arial" w:cs="Arial" w:eastAsia="Arial" w:hAnsi="Arial"/>
                <w:sz w:val="20"/>
                <w:szCs w:val="20"/>
                <w:color w:val="auto"/>
              </w:rPr>
              <w:t>Check if the Aggregate Amount in Row (9) Excludes Certain Shares</w:t>
            </w:r>
          </w:p>
        </w:tc>
      </w:tr>
      <w:tr>
        <w:trPr>
          <w:trHeight w:val="371"/>
        </w:trPr>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Not Applicable</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11</w:t>
            </w:r>
          </w:p>
        </w:tc>
        <w:tc>
          <w:tcPr>
            <w:tcW w:w="10280" w:type="dxa"/>
            <w:vAlign w:val="bottom"/>
          </w:tcPr>
          <w:p>
            <w:pPr>
              <w:ind w:left="560"/>
              <w:spacing w:after="0"/>
              <w:rPr>
                <w:sz w:val="20"/>
                <w:szCs w:val="20"/>
                <w:color w:val="auto"/>
              </w:rPr>
            </w:pPr>
            <w:r>
              <w:rPr>
                <w:rFonts w:ascii="Arial" w:cs="Arial" w:eastAsia="Arial" w:hAnsi="Arial"/>
                <w:sz w:val="20"/>
                <w:szCs w:val="20"/>
                <w:color w:val="auto"/>
              </w:rPr>
              <w:t>Percent of Class Represented by Amount in Row 9</w:t>
            </w:r>
          </w:p>
        </w:tc>
      </w:tr>
    </w:tbl>
    <w:p>
      <w:pPr>
        <w:spacing w:after="0" w:line="118"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3" w:lineRule="exact"/>
        <w:rPr>
          <w:sz w:val="20"/>
          <w:szCs w:val="20"/>
          <w:color w:val="auto"/>
        </w:rPr>
      </w:pPr>
    </w:p>
    <w:p>
      <w:pPr>
        <w:ind w:left="1400" w:hanging="1324"/>
        <w:spacing w:after="0"/>
        <w:tabs>
          <w:tab w:leader="none" w:pos="1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42"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4" w:name="page5"/>
    <w:bookmarkEnd w:id="4"/>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548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620"/>
              <w:spacing w:after="0"/>
              <w:rPr>
                <w:sz w:val="20"/>
                <w:szCs w:val="20"/>
                <w:color w:val="auto"/>
              </w:rPr>
            </w:pPr>
            <w:r>
              <w:rPr>
                <w:rFonts w:ascii="Arial" w:cs="Arial" w:eastAsia="Arial" w:hAnsi="Arial"/>
                <w:sz w:val="20"/>
                <w:szCs w:val="20"/>
                <w:b w:val="1"/>
                <w:bCs w:val="1"/>
                <w:color w:val="auto"/>
              </w:rPr>
              <w:t>BCCJ, LLC</w:t>
            </w:r>
          </w:p>
        </w:tc>
      </w:tr>
      <w:tr>
        <w:trPr>
          <w:trHeight w:val="183"/>
        </w:trPr>
        <w:tc>
          <w:tcPr>
            <w:tcW w:w="780" w:type="dxa"/>
            <w:vAlign w:val="bottom"/>
          </w:tcPr>
          <w:p>
            <w:pPr>
              <w:jc w:val="right"/>
              <w:ind w:right="501"/>
              <w:spacing w:after="0" w:line="183" w:lineRule="exact"/>
              <w:rPr>
                <w:sz w:val="20"/>
                <w:szCs w:val="20"/>
                <w:color w:val="auto"/>
              </w:rPr>
            </w:pPr>
            <w:r>
              <w:rPr>
                <w:rFonts w:ascii="Arial" w:cs="Arial" w:eastAsia="Arial" w:hAnsi="Arial"/>
                <w:sz w:val="20"/>
                <w:szCs w:val="20"/>
                <w:color w:val="auto"/>
              </w:rPr>
              <w:t>2</w:t>
            </w:r>
          </w:p>
        </w:tc>
        <w:tc>
          <w:tcPr>
            <w:tcW w:w="10340" w:type="dxa"/>
            <w:vAlign w:val="bottom"/>
          </w:tcPr>
          <w:p>
            <w:pPr>
              <w:ind w:left="620"/>
              <w:spacing w:after="0" w:line="183" w:lineRule="exact"/>
              <w:rPr>
                <w:sz w:val="20"/>
                <w:szCs w:val="20"/>
                <w:color w:val="auto"/>
              </w:rPr>
            </w:pPr>
            <w:r>
              <w:rPr>
                <w:rFonts w:ascii="Arial" w:cs="Arial" w:eastAsia="Arial" w:hAnsi="Arial"/>
                <w:sz w:val="20"/>
                <w:szCs w:val="20"/>
                <w:color w:val="auto"/>
              </w:rPr>
              <w:t>Check the Appropriate Box if a Member of a Group   (a) [ ]</w:t>
            </w:r>
          </w:p>
        </w:tc>
      </w:tr>
      <w:tr>
        <w:trPr>
          <w:trHeight w:val="250"/>
        </w:trPr>
        <w:tc>
          <w:tcPr>
            <w:tcW w:w="780" w:type="dxa"/>
            <w:vAlign w:val="bottom"/>
          </w:tcPr>
          <w:p>
            <w:pPr>
              <w:spacing w:after="0"/>
              <w:rPr>
                <w:sz w:val="21"/>
                <w:szCs w:val="21"/>
                <w:color w:val="auto"/>
              </w:rPr>
            </w:pPr>
          </w:p>
        </w:tc>
        <w:tc>
          <w:tcPr>
            <w:tcW w:w="10340" w:type="dxa"/>
            <w:vAlign w:val="bottom"/>
          </w:tcPr>
          <w:p>
            <w:pPr>
              <w:ind w:left="820"/>
              <w:spacing w:after="0"/>
              <w:rPr>
                <w:sz w:val="20"/>
                <w:szCs w:val="20"/>
                <w:color w:val="auto"/>
              </w:rPr>
            </w:pPr>
            <w:r>
              <w:rPr>
                <w:rFonts w:ascii="Arial" w:cs="Arial" w:eastAsia="Arial" w:hAnsi="Arial"/>
                <w:sz w:val="20"/>
                <w:szCs w:val="20"/>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400" w:hanging="1324"/>
        <w:spacing w:after="0"/>
        <w:tabs>
          <w:tab w:leader="none" w:pos="14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96" w:lineRule="exact"/>
        <w:rPr>
          <w:sz w:val="20"/>
          <w:szCs w:val="20"/>
          <w:color w:val="auto"/>
        </w:rPr>
      </w:pPr>
    </w:p>
    <w:p>
      <w:pPr>
        <w:ind w:left="1400" w:hanging="1324"/>
        <w:spacing w:after="0"/>
        <w:tabs>
          <w:tab w:leader="none" w:pos="14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42"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3880" w:hanging="1077"/>
        <w:spacing w:after="0"/>
        <w:tabs>
          <w:tab w:leader="none" w:pos="38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Sole Voting Power</w:t>
      </w:r>
    </w:p>
    <w:p>
      <w:pPr>
        <w:ind w:left="4060"/>
        <w:spacing w:after="0"/>
        <w:rPr>
          <w:rFonts w:ascii="Arial" w:cs="Arial" w:eastAsia="Arial" w:hAnsi="Arial"/>
          <w:sz w:val="20"/>
          <w:szCs w:val="20"/>
          <w:color w:val="auto"/>
        </w:rPr>
      </w:pPr>
      <w:r>
        <w:rPr>
          <w:rFonts w:ascii="Arial" w:cs="Arial" w:eastAsia="Arial" w:hAnsi="Arial"/>
          <w:sz w:val="20"/>
          <w:szCs w:val="20"/>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257175</wp:posOffset>
            </wp:positionV>
            <wp:extent cx="5263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line="230" w:lineRule="auto"/>
        <w:rPr>
          <w:sz w:val="20"/>
          <w:szCs w:val="20"/>
          <w:color w:val="auto"/>
        </w:rPr>
      </w:pPr>
      <w:r>
        <w:rPr>
          <w:rFonts w:ascii="Arial" w:cs="Arial" w:eastAsia="Arial" w:hAnsi="Arial"/>
          <w:sz w:val="19"/>
          <w:szCs w:val="19"/>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77" w:hanging="1077"/>
        <w:spacing w:after="0"/>
        <w:tabs>
          <w:tab w:leader="none" w:pos="10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Shared Voting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221,817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71" w:lineRule="exact"/>
        <w:rPr>
          <w:sz w:val="20"/>
          <w:szCs w:val="20"/>
          <w:color w:val="auto"/>
        </w:rPr>
      </w:pPr>
    </w:p>
    <w:p>
      <w:pPr>
        <w:ind w:left="1077" w:hanging="1077"/>
        <w:spacing w:after="0"/>
        <w:tabs>
          <w:tab w:leader="none" w:pos="1077" w:val="left"/>
        </w:tabs>
        <w:numPr>
          <w:ilvl w:val="0"/>
          <w:numId w:val="36"/>
        </w:numPr>
        <w:rPr>
          <w:rFonts w:ascii="Arial" w:cs="Arial" w:eastAsia="Arial" w:hAnsi="Arial"/>
          <w:sz w:val="20"/>
          <w:szCs w:val="20"/>
          <w:color w:val="auto"/>
        </w:rPr>
      </w:pPr>
      <w:r>
        <w:rPr>
          <w:rFonts w:ascii="Arial" w:cs="Arial" w:eastAsia="Arial" w:hAnsi="Arial"/>
          <w:sz w:val="20"/>
          <w:szCs w:val="20"/>
          <w:color w:val="auto"/>
        </w:rPr>
        <w:t>Sole Dispositive Power</w:t>
      </w:r>
    </w:p>
    <w:p>
      <w:pPr>
        <w:ind w:left="1277"/>
        <w:spacing w:after="0"/>
        <w:rPr>
          <w:rFonts w:ascii="Arial" w:cs="Arial" w:eastAsia="Arial" w:hAnsi="Arial"/>
          <w:sz w:val="20"/>
          <w:szCs w:val="20"/>
          <w:color w:val="auto"/>
        </w:rPr>
      </w:pPr>
      <w:r>
        <w:rPr>
          <w:rFonts w:ascii="Arial" w:cs="Arial" w:eastAsia="Arial" w:hAnsi="Arial"/>
          <w:sz w:val="20"/>
          <w:szCs w:val="20"/>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257175</wp:posOffset>
            </wp:positionV>
            <wp:extent cx="5263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96" w:lineRule="exact"/>
        <w:rPr>
          <w:sz w:val="20"/>
          <w:szCs w:val="20"/>
          <w:color w:val="auto"/>
        </w:rPr>
      </w:pPr>
    </w:p>
    <w:p>
      <w:pPr>
        <w:ind w:left="1077" w:hanging="1077"/>
        <w:spacing w:after="0"/>
        <w:tabs>
          <w:tab w:leader="none" w:pos="10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42" w:lineRule="exact"/>
        <w:rPr>
          <w:rFonts w:ascii="Arial" w:cs="Arial" w:eastAsia="Arial" w:hAnsi="Arial"/>
          <w:sz w:val="16"/>
          <w:szCs w:val="16"/>
          <w:color w:val="auto"/>
        </w:rPr>
      </w:pPr>
    </w:p>
    <w:p>
      <w:pPr>
        <w:ind w:left="1257"/>
        <w:spacing w:after="0"/>
        <w:rPr>
          <w:rFonts w:ascii="Arial" w:cs="Arial" w:eastAsia="Arial" w:hAnsi="Arial"/>
          <w:sz w:val="16"/>
          <w:szCs w:val="16"/>
          <w:color w:val="auto"/>
        </w:rPr>
      </w:pPr>
      <w:r>
        <w:rPr>
          <w:rFonts w:ascii="Arial" w:cs="Arial" w:eastAsia="Arial" w:hAnsi="Arial"/>
          <w:sz w:val="20"/>
          <w:szCs w:val="20"/>
          <w:b w:val="1"/>
          <w:bCs w:val="1"/>
          <w:color w:val="auto"/>
        </w:rPr>
        <w:t>221,817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116840</wp:posOffset>
            </wp:positionV>
            <wp:extent cx="7054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40" w:space="263"/>
            <w:col w:w="8317"/>
          </w:cols>
          <w:pgMar w:left="320" w:top="1440" w:right="459" w:bottom="1440" w:gutter="0" w:footer="0" w:header="0"/>
          <w:type w:val="continuous"/>
        </w:sectPr>
      </w:pPr>
    </w:p>
    <w:p>
      <w:pPr>
        <w:ind w:left="1400" w:hanging="1324"/>
        <w:spacing w:after="0"/>
        <w:tabs>
          <w:tab w:leader="none" w:pos="14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221,817</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10</w:t>
            </w:r>
          </w:p>
        </w:tc>
        <w:tc>
          <w:tcPr>
            <w:tcW w:w="10280" w:type="dxa"/>
            <w:vAlign w:val="bottom"/>
          </w:tcPr>
          <w:p>
            <w:pPr>
              <w:ind w:left="560"/>
              <w:spacing w:after="0"/>
              <w:rPr>
                <w:sz w:val="20"/>
                <w:szCs w:val="20"/>
                <w:color w:val="auto"/>
              </w:rPr>
            </w:pPr>
            <w:r>
              <w:rPr>
                <w:rFonts w:ascii="Arial" w:cs="Arial" w:eastAsia="Arial" w:hAnsi="Arial"/>
                <w:sz w:val="20"/>
                <w:szCs w:val="20"/>
                <w:color w:val="auto"/>
              </w:rPr>
              <w:t>Check if the Aggregate Amount in Row (9) Excludes Certain Shares</w:t>
            </w:r>
          </w:p>
        </w:tc>
      </w:tr>
      <w:tr>
        <w:trPr>
          <w:trHeight w:val="371"/>
        </w:trPr>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Not Applicable</w:t>
            </w:r>
          </w:p>
        </w:tc>
      </w:tr>
      <w:tr>
        <w:trPr>
          <w:trHeight w:val="244"/>
        </w:trPr>
        <w:tc>
          <w:tcPr>
            <w:tcW w:w="840" w:type="dxa"/>
            <w:vAlign w:val="bottom"/>
          </w:tcPr>
          <w:p>
            <w:pPr>
              <w:ind w:left="80"/>
              <w:spacing w:after="0"/>
              <w:rPr>
                <w:sz w:val="20"/>
                <w:szCs w:val="20"/>
                <w:color w:val="auto"/>
              </w:rPr>
            </w:pPr>
            <w:r>
              <w:rPr>
                <w:rFonts w:ascii="Arial" w:cs="Arial" w:eastAsia="Arial" w:hAnsi="Arial"/>
                <w:sz w:val="20"/>
                <w:szCs w:val="20"/>
                <w:color w:val="auto"/>
              </w:rPr>
              <w:t>11</w:t>
            </w:r>
          </w:p>
        </w:tc>
        <w:tc>
          <w:tcPr>
            <w:tcW w:w="10280" w:type="dxa"/>
            <w:vAlign w:val="bottom"/>
          </w:tcPr>
          <w:p>
            <w:pPr>
              <w:ind w:left="560"/>
              <w:spacing w:after="0"/>
              <w:rPr>
                <w:sz w:val="20"/>
                <w:szCs w:val="20"/>
                <w:color w:val="auto"/>
              </w:rPr>
            </w:pPr>
            <w:r>
              <w:rPr>
                <w:rFonts w:ascii="Arial" w:cs="Arial" w:eastAsia="Arial" w:hAnsi="Arial"/>
                <w:sz w:val="20"/>
                <w:szCs w:val="20"/>
                <w:color w:val="auto"/>
              </w:rPr>
              <w:t>Percent of Class Represented by Amount in Row 9</w:t>
            </w:r>
          </w:p>
        </w:tc>
      </w:tr>
    </w:tbl>
    <w:p>
      <w:pPr>
        <w:spacing w:after="0" w:line="118"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3" w:lineRule="exact"/>
        <w:rPr>
          <w:sz w:val="20"/>
          <w:szCs w:val="20"/>
          <w:color w:val="auto"/>
        </w:rPr>
      </w:pPr>
    </w:p>
    <w:p>
      <w:pPr>
        <w:ind w:left="1400" w:hanging="1324"/>
        <w:spacing w:after="0"/>
        <w:tabs>
          <w:tab w:leader="none" w:pos="14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42"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5" w:name="page6"/>
    <w:bookmarkEnd w:id="5"/>
    <w:p>
      <w:pPr>
        <w:spacing w:after="0"/>
        <w:tabs>
          <w:tab w:leader="none" w:pos="1360" w:val="left"/>
        </w:tabs>
        <w:rPr>
          <w:sz w:val="20"/>
          <w:szCs w:val="20"/>
          <w:color w:val="auto"/>
        </w:rPr>
      </w:pPr>
      <w:r>
        <w:rPr>
          <w:rFonts w:ascii="Arial" w:cs="Arial" w:eastAsia="Arial" w:hAnsi="Arial"/>
          <w:sz w:val="22"/>
          <w:szCs w:val="22"/>
          <w:b w:val="1"/>
          <w:bCs w:val="1"/>
          <w:color w:val="auto"/>
        </w:rPr>
        <w:t>ITEM 1. (a)</w:t>
      </w:r>
      <w:r>
        <w:rPr>
          <w:sz w:val="20"/>
          <w:szCs w:val="20"/>
          <w:color w:val="auto"/>
        </w:rPr>
        <w:tab/>
      </w:r>
      <w:r>
        <w:rPr>
          <w:rFonts w:ascii="Arial" w:cs="Arial" w:eastAsia="Arial" w:hAnsi="Arial"/>
          <w:sz w:val="19"/>
          <w:szCs w:val="19"/>
          <w:b w:val="1"/>
          <w:bCs w:val="1"/>
          <w:color w:val="auto"/>
        </w:rPr>
        <w:t>Name of Issuer:</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GoHealth, Inc. (the “Issuer”).</w:t>
      </w:r>
    </w:p>
    <w:p>
      <w:pPr>
        <w:spacing w:after="0" w:line="173" w:lineRule="exact"/>
        <w:rPr>
          <w:sz w:val="20"/>
          <w:szCs w:val="20"/>
          <w:color w:val="auto"/>
        </w:rPr>
      </w:pPr>
    </w:p>
    <w:p>
      <w:pPr>
        <w:ind w:left="1560" w:hanging="645"/>
        <w:spacing w:after="0"/>
        <w:tabs>
          <w:tab w:leader="none" w:pos="15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214 West Huron St., Chicago, Illinois, 60654.</w:t>
      </w:r>
    </w:p>
    <w:p>
      <w:pPr>
        <w:spacing w:after="0" w:line="173"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2.  (a)</w:t>
      </w:r>
      <w:r>
        <w:rPr>
          <w:sz w:val="20"/>
          <w:szCs w:val="20"/>
          <w:color w:val="auto"/>
        </w:rPr>
        <w:tab/>
      </w:r>
      <w:r>
        <w:rPr>
          <w:rFonts w:ascii="Arial" w:cs="Arial" w:eastAsia="Arial" w:hAnsi="Arial"/>
          <w:sz w:val="19"/>
          <w:szCs w:val="19"/>
          <w:b w:val="1"/>
          <w:bCs w:val="1"/>
          <w:color w:val="auto"/>
        </w:rPr>
        <w:t>Name of Person Filing:</w:t>
      </w:r>
    </w:p>
    <w:p>
      <w:pPr>
        <w:spacing w:after="0" w:line="185" w:lineRule="exact"/>
        <w:rPr>
          <w:sz w:val="20"/>
          <w:szCs w:val="20"/>
          <w:color w:val="auto"/>
        </w:rPr>
      </w:pPr>
    </w:p>
    <w:p>
      <w:pPr>
        <w:ind w:left="1960" w:right="20"/>
        <w:spacing w:after="0" w:line="232" w:lineRule="auto"/>
        <w:rPr>
          <w:sz w:val="20"/>
          <w:szCs w:val="20"/>
          <w:color w:val="auto"/>
        </w:rPr>
      </w:pPr>
      <w:r>
        <w:rPr>
          <w:rFonts w:ascii="Arial" w:cs="Arial" w:eastAsia="Arial" w:hAnsi="Arial"/>
          <w:sz w:val="22"/>
          <w:szCs w:val="22"/>
          <w:color w:val="auto"/>
        </w:rPr>
        <w:t>Each of the following is hereinafter individually referred to as a “Reporting Person” and collectively as the “Reporting Persons.” This statement is filed on behalf of:</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NVX Holdings, Inc. (“NVX”);</w:t>
      </w:r>
    </w:p>
    <w:p>
      <w:pPr>
        <w:ind w:left="880"/>
        <w:spacing w:after="0" w:line="204" w:lineRule="auto"/>
        <w:rPr>
          <w:sz w:val="20"/>
          <w:szCs w:val="20"/>
          <w:color w:val="auto"/>
        </w:rPr>
      </w:pPr>
      <w:r>
        <w:rPr>
          <w:rFonts w:ascii="Arial" w:cs="Arial" w:eastAsia="Arial" w:hAnsi="Arial"/>
          <w:sz w:val="22"/>
          <w:szCs w:val="22"/>
          <w:color w:val="auto"/>
        </w:rPr>
        <w:t>Brandon M. Cruz;</w:t>
      </w:r>
    </w:p>
    <w:p>
      <w:pPr>
        <w:ind w:left="880"/>
        <w:spacing w:after="0" w:line="205" w:lineRule="auto"/>
        <w:rPr>
          <w:sz w:val="20"/>
          <w:szCs w:val="20"/>
          <w:color w:val="auto"/>
        </w:rPr>
      </w:pPr>
      <w:r>
        <w:rPr>
          <w:rFonts w:ascii="Arial" w:cs="Arial" w:eastAsia="Arial" w:hAnsi="Arial"/>
          <w:sz w:val="22"/>
          <w:szCs w:val="22"/>
          <w:color w:val="auto"/>
        </w:rPr>
        <w:t>Clinton P. Jones; and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BCCJ, LLC (“BCCJ”).</w:t>
      </w:r>
    </w:p>
    <w:p>
      <w:pPr>
        <w:spacing w:after="0" w:line="155" w:lineRule="exact"/>
        <w:rPr>
          <w:sz w:val="20"/>
          <w:szCs w:val="20"/>
          <w:color w:val="auto"/>
        </w:rPr>
      </w:pPr>
    </w:p>
    <w:p>
      <w:pPr>
        <w:ind w:left="1560" w:hanging="645"/>
        <w:spacing w:after="0"/>
        <w:tabs>
          <w:tab w:leader="none" w:pos="15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w:t>
      </w:r>
    </w:p>
    <w:p>
      <w:pPr>
        <w:spacing w:after="0" w:line="185" w:lineRule="exact"/>
        <w:rPr>
          <w:sz w:val="20"/>
          <w:szCs w:val="20"/>
          <w:color w:val="auto"/>
        </w:rPr>
      </w:pPr>
    </w:p>
    <w:p>
      <w:pPr>
        <w:ind w:left="1560" w:right="120" w:firstLine="389"/>
        <w:spacing w:after="0" w:line="232" w:lineRule="auto"/>
        <w:rPr>
          <w:sz w:val="20"/>
          <w:szCs w:val="20"/>
          <w:color w:val="auto"/>
        </w:rPr>
      </w:pPr>
      <w:r>
        <w:rPr>
          <w:rFonts w:ascii="Arial" w:cs="Arial" w:eastAsia="Arial" w:hAnsi="Arial"/>
          <w:sz w:val="22"/>
          <w:szCs w:val="22"/>
          <w:color w:val="auto"/>
        </w:rPr>
        <w:t>The principal business address for each of the Reporting Persons is 214 West Huron St., Chicago, Illinois, 60654.</w:t>
      </w:r>
    </w:p>
    <w:p>
      <w:pPr>
        <w:spacing w:after="0" w:line="153" w:lineRule="exact"/>
        <w:rPr>
          <w:sz w:val="20"/>
          <w:szCs w:val="20"/>
          <w:color w:val="auto"/>
        </w:rPr>
      </w:pPr>
    </w:p>
    <w:p>
      <w:pPr>
        <w:ind w:left="1560" w:hanging="645"/>
        <w:spacing w:after="0"/>
        <w:tabs>
          <w:tab w:leader="none" w:pos="15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of each Reporting Person is:</w:t>
      </w:r>
    </w:p>
    <w:p>
      <w:pPr>
        <w:spacing w:after="0" w:line="212" w:lineRule="exact"/>
        <w:rPr>
          <w:sz w:val="20"/>
          <w:szCs w:val="20"/>
          <w:color w:val="auto"/>
        </w:rPr>
      </w:pPr>
    </w:p>
    <w:p>
      <w:pPr>
        <w:ind w:left="1560" w:firstLine="389"/>
        <w:spacing w:after="0" w:line="232" w:lineRule="auto"/>
        <w:rPr>
          <w:sz w:val="20"/>
          <w:szCs w:val="20"/>
          <w:color w:val="auto"/>
        </w:rPr>
      </w:pPr>
      <w:r>
        <w:rPr>
          <w:rFonts w:ascii="Arial" w:cs="Arial" w:eastAsia="Arial" w:hAnsi="Arial"/>
          <w:sz w:val="22"/>
          <w:szCs w:val="22"/>
          <w:color w:val="auto"/>
        </w:rPr>
        <w:t>NVX and BCCJ are organized under the laws of the state of Delaware. Each of Messrs. Cruz and Jones is a citizen of the United States.</w:t>
      </w:r>
    </w:p>
    <w:p>
      <w:pPr>
        <w:spacing w:after="0" w:line="153" w:lineRule="exact"/>
        <w:rPr>
          <w:sz w:val="20"/>
          <w:szCs w:val="20"/>
          <w:color w:val="auto"/>
        </w:rPr>
      </w:pPr>
    </w:p>
    <w:p>
      <w:pPr>
        <w:ind w:left="1560" w:hanging="645"/>
        <w:spacing w:after="0"/>
        <w:tabs>
          <w:tab w:leader="none" w:pos="15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Title of Class of Securities:</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Class A Common Stock, $0.0001 par value per share (“Class A Common Stock”).</w:t>
      </w:r>
    </w:p>
    <w:p>
      <w:pPr>
        <w:spacing w:after="0" w:line="173" w:lineRule="exact"/>
        <w:rPr>
          <w:sz w:val="20"/>
          <w:szCs w:val="20"/>
          <w:color w:val="auto"/>
        </w:rPr>
      </w:pPr>
    </w:p>
    <w:p>
      <w:pPr>
        <w:ind w:left="1960" w:right="8120" w:hanging="1045"/>
        <w:spacing w:after="0" w:line="489" w:lineRule="auto"/>
        <w:tabs>
          <w:tab w:leader="none" w:pos="1568"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38046W105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w:t>
      </w:r>
    </w:p>
    <w:p>
      <w:pPr>
        <w:spacing w:after="0" w:line="212" w:lineRule="exact"/>
        <w:rPr>
          <w:sz w:val="20"/>
          <w:szCs w:val="20"/>
          <w:color w:val="auto"/>
        </w:rPr>
      </w:pPr>
    </w:p>
    <w:p>
      <w:pPr>
        <w:ind w:left="900" w:right="20" w:firstLine="617"/>
        <w:spacing w:after="0" w:line="214" w:lineRule="auto"/>
        <w:rPr>
          <w:sz w:val="20"/>
          <w:szCs w:val="20"/>
          <w:color w:val="auto"/>
        </w:rPr>
      </w:pPr>
      <w:r>
        <w:rPr>
          <w:rFonts w:ascii="Arial" w:cs="Arial" w:eastAsia="Arial" w:hAnsi="Arial"/>
          <w:sz w:val="22"/>
          <w:szCs w:val="22"/>
          <w:color w:val="auto"/>
        </w:rPr>
        <w:t>The ownership information presented below represents beneficial ownership of Class A Common Stock of the Issuer as of December 31, 2021 based upon 114,773,928 shares of Class A Common Stock outstanding as of November 2, 2021 as reported in the quarterly report on Form 10-Q filed with the Securities and Exchange Commission on November 10, 2021 and assumes the redemption of the LLC Interests held of record by NVX and BCCJ as of the date hereof. The LLC Interests may be redeemed at any time for shares of Class A Common Stock on a one-to-one basis.</w:t>
      </w:r>
    </w:p>
    <w:p>
      <w:pPr>
        <w:sectPr>
          <w:pgSz w:w="11900" w:h="16838" w:orient="portrait"/>
          <w:cols w:equalWidth="0" w:num="1">
            <w:col w:w="11220"/>
          </w:cols>
          <w:pgMar w:left="320" w:top="1395" w:right="359" w:bottom="1440" w:gutter="0" w:footer="0" w:header="0"/>
        </w:sectPr>
      </w:pPr>
    </w:p>
    <w:bookmarkStart w:id="6" w:name="page7"/>
    <w:bookmarkEnd w:id="6"/>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Shared</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Sole power to</w:t>
            </w: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power to</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dispose or</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74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w w:val="91"/>
              </w:rPr>
              <w:t>Amount</w:t>
            </w:r>
          </w:p>
        </w:tc>
        <w:tc>
          <w:tcPr>
            <w:tcW w:w="1260" w:type="dxa"/>
            <w:vAlign w:val="bottom"/>
          </w:tcPr>
          <w:p>
            <w:pPr>
              <w:spacing w:after="0"/>
              <w:rPr>
                <w:sz w:val="15"/>
                <w:szCs w:val="15"/>
                <w:color w:val="auto"/>
              </w:rPr>
            </w:pPr>
          </w:p>
        </w:tc>
        <w:tc>
          <w:tcPr>
            <w:tcW w:w="14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9"/>
              </w:rPr>
              <w:t>Sole power</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Shared power to</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dispose or to</w:t>
            </w: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to direct</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Percent</w:t>
            </w: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direct the</w:t>
            </w: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the</w:t>
            </w:r>
          </w:p>
        </w:tc>
        <w:tc>
          <w:tcPr>
            <w:tcW w:w="0" w:type="dxa"/>
            <w:vAlign w:val="bottom"/>
          </w:tcPr>
          <w:p>
            <w:pPr>
              <w:spacing w:after="0"/>
              <w:rPr>
                <w:sz w:val="1"/>
                <w:szCs w:val="1"/>
                <w:color w:val="auto"/>
              </w:rPr>
            </w:pPr>
          </w:p>
        </w:tc>
      </w:tr>
      <w:tr>
        <w:trPr>
          <w:trHeight w:val="176"/>
        </w:trPr>
        <w:tc>
          <w:tcPr>
            <w:tcW w:w="21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Reporting Person</w:t>
            </w:r>
          </w:p>
        </w:tc>
        <w:tc>
          <w:tcPr>
            <w:tcW w:w="1740" w:type="dxa"/>
            <w:vAlign w:val="bottom"/>
          </w:tcPr>
          <w:p>
            <w:pPr>
              <w:jc w:val="center"/>
              <w:ind w:left="330"/>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1260" w:type="dxa"/>
            <w:vAlign w:val="bottom"/>
            <w:vMerge w:val="continue"/>
          </w:tcPr>
          <w:p>
            <w:pPr>
              <w:spacing w:after="0"/>
              <w:rPr>
                <w:sz w:val="15"/>
                <w:szCs w:val="15"/>
                <w:color w:val="auto"/>
              </w:rPr>
            </w:pPr>
          </w:p>
        </w:tc>
        <w:tc>
          <w:tcPr>
            <w:tcW w:w="1460" w:type="dxa"/>
            <w:vAlign w:val="bottom"/>
          </w:tcPr>
          <w:p>
            <w:pPr>
              <w:jc w:val="center"/>
              <w:ind w:left="30"/>
              <w:spacing w:after="0" w:line="176" w:lineRule="exact"/>
              <w:rPr>
                <w:sz w:val="20"/>
                <w:szCs w:val="20"/>
                <w:color w:val="auto"/>
              </w:rPr>
            </w:pPr>
            <w:r>
              <w:rPr>
                <w:rFonts w:ascii="Arial" w:cs="Arial" w:eastAsia="Arial" w:hAnsi="Arial"/>
                <w:sz w:val="18"/>
                <w:szCs w:val="18"/>
                <w:b w:val="1"/>
                <w:bCs w:val="1"/>
                <w:color w:val="auto"/>
                <w:w w:val="90"/>
              </w:rPr>
              <w:t>to vote or to</w:t>
            </w: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vote or to direct</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disposition</w:t>
            </w: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disposition</w:t>
            </w:r>
          </w:p>
        </w:tc>
        <w:tc>
          <w:tcPr>
            <w:tcW w:w="0" w:type="dxa"/>
            <w:vAlign w:val="bottom"/>
          </w:tcPr>
          <w:p>
            <w:pPr>
              <w:spacing w:after="0"/>
              <w:rPr>
                <w:sz w:val="1"/>
                <w:szCs w:val="1"/>
                <w:color w:val="auto"/>
              </w:rPr>
            </w:pPr>
          </w:p>
        </w:tc>
      </w:tr>
      <w:tr>
        <w:trPr>
          <w:trHeight w:val="229"/>
        </w:trPr>
        <w:tc>
          <w:tcPr>
            <w:tcW w:w="2180" w:type="dxa"/>
            <w:vAlign w:val="bottom"/>
            <w:vMerge w:val="continue"/>
          </w:tcPr>
          <w:p>
            <w:pPr>
              <w:spacing w:after="0"/>
              <w:rPr>
                <w:sz w:val="19"/>
                <w:szCs w:val="19"/>
                <w:color w:val="auto"/>
              </w:rPr>
            </w:pP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87"/>
              </w:rPr>
              <w:t>owned</w:t>
            </w: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of class:</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direct the vote: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the vote: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5"/>
              </w:rPr>
              <w:t>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of:</w:t>
            </w:r>
          </w:p>
        </w:tc>
        <w:tc>
          <w:tcPr>
            <w:tcW w:w="0" w:type="dxa"/>
            <w:vAlign w:val="bottom"/>
          </w:tcPr>
          <w:p>
            <w:pPr>
              <w:spacing w:after="0"/>
              <w:rPr>
                <w:sz w:val="1"/>
                <w:szCs w:val="1"/>
                <w:color w:val="auto"/>
              </w:rPr>
            </w:pPr>
          </w:p>
        </w:tc>
      </w:tr>
      <w:tr>
        <w:trPr>
          <w:trHeight w:val="230"/>
        </w:trPr>
        <w:tc>
          <w:tcPr>
            <w:tcW w:w="2180" w:type="dxa"/>
            <w:vAlign w:val="bottom"/>
            <w:shd w:val="clear" w:color="auto" w:fill="DEEAF6"/>
          </w:tcPr>
          <w:p>
            <w:pPr>
              <w:ind w:left="80"/>
              <w:spacing w:after="0"/>
              <w:rPr>
                <w:sz w:val="20"/>
                <w:szCs w:val="20"/>
                <w:color w:val="auto"/>
              </w:rPr>
            </w:pPr>
            <w:r>
              <w:rPr>
                <w:rFonts w:ascii="Arial" w:cs="Arial" w:eastAsia="Arial" w:hAnsi="Arial"/>
                <w:sz w:val="18"/>
                <w:szCs w:val="18"/>
                <w:color w:val="auto"/>
              </w:rPr>
              <w:t>NVX Holdings, Inc.</w:t>
            </w:r>
          </w:p>
        </w:tc>
        <w:tc>
          <w:tcPr>
            <w:tcW w:w="1740" w:type="dxa"/>
            <w:vAlign w:val="bottom"/>
            <w:shd w:val="clear" w:color="auto" w:fill="DEEAF6"/>
          </w:tcPr>
          <w:p>
            <w:pPr>
              <w:jc w:val="center"/>
              <w:ind w:left="330"/>
              <w:spacing w:after="0"/>
              <w:rPr>
                <w:sz w:val="20"/>
                <w:szCs w:val="20"/>
                <w:color w:val="auto"/>
              </w:rPr>
            </w:pPr>
            <w:r>
              <w:rPr>
                <w:rFonts w:ascii="Arial" w:cs="Arial" w:eastAsia="Arial" w:hAnsi="Arial"/>
                <w:sz w:val="18"/>
                <w:szCs w:val="18"/>
                <w:color w:val="auto"/>
                <w:w w:val="88"/>
              </w:rPr>
              <w:t>93,485,281</w:t>
            </w:r>
          </w:p>
        </w:tc>
        <w:tc>
          <w:tcPr>
            <w:tcW w:w="1260" w:type="dxa"/>
            <w:vAlign w:val="bottom"/>
            <w:shd w:val="clear" w:color="auto" w:fill="DEEAF6"/>
          </w:tcPr>
          <w:p>
            <w:pPr>
              <w:ind w:left="220"/>
              <w:spacing w:after="0"/>
              <w:rPr>
                <w:sz w:val="20"/>
                <w:szCs w:val="20"/>
                <w:color w:val="auto"/>
              </w:rPr>
            </w:pPr>
            <w:r>
              <w:rPr>
                <w:rFonts w:ascii="Arial" w:cs="Arial" w:eastAsia="Arial" w:hAnsi="Arial"/>
                <w:sz w:val="18"/>
                <w:szCs w:val="18"/>
                <w:color w:val="auto"/>
              </w:rPr>
              <w:t>45.1%</w:t>
            </w:r>
          </w:p>
        </w:tc>
        <w:tc>
          <w:tcPr>
            <w:tcW w:w="1460" w:type="dxa"/>
            <w:vAlign w:val="bottom"/>
            <w:shd w:val="clear" w:color="auto" w:fill="DEEAF6"/>
          </w:tcPr>
          <w:p>
            <w:pPr>
              <w:jc w:val="center"/>
              <w:ind w:left="30"/>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93,485,281</w:t>
            </w:r>
          </w:p>
        </w:tc>
        <w:tc>
          <w:tcPr>
            <w:tcW w:w="16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0</w:t>
            </w:r>
          </w:p>
        </w:tc>
        <w:tc>
          <w:tcPr>
            <w:tcW w:w="1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93,485,281</w:t>
            </w:r>
          </w:p>
        </w:tc>
        <w:tc>
          <w:tcPr>
            <w:tcW w:w="0" w:type="dxa"/>
            <w:vAlign w:val="bottom"/>
          </w:tcPr>
          <w:p>
            <w:pPr>
              <w:spacing w:after="0"/>
              <w:rPr>
                <w:sz w:val="1"/>
                <w:szCs w:val="1"/>
                <w:color w:val="auto"/>
              </w:rPr>
            </w:pPr>
          </w:p>
        </w:tc>
      </w:tr>
      <w:tr>
        <w:trPr>
          <w:trHeight w:val="229"/>
        </w:trPr>
        <w:tc>
          <w:tcPr>
            <w:tcW w:w="2180" w:type="dxa"/>
            <w:vAlign w:val="bottom"/>
          </w:tcPr>
          <w:p>
            <w:pPr>
              <w:ind w:left="80"/>
              <w:spacing w:after="0"/>
              <w:rPr>
                <w:sz w:val="20"/>
                <w:szCs w:val="20"/>
                <w:color w:val="auto"/>
              </w:rPr>
            </w:pPr>
            <w:r>
              <w:rPr>
                <w:rFonts w:ascii="Arial" w:cs="Arial" w:eastAsia="Arial" w:hAnsi="Arial"/>
                <w:sz w:val="18"/>
                <w:szCs w:val="18"/>
                <w:color w:val="auto"/>
              </w:rPr>
              <w:t>Brandon M. Cruz</w:t>
            </w:r>
          </w:p>
        </w:tc>
        <w:tc>
          <w:tcPr>
            <w:tcW w:w="1740" w:type="dxa"/>
            <w:vAlign w:val="bottom"/>
          </w:tcPr>
          <w:p>
            <w:pPr>
              <w:jc w:val="center"/>
              <w:ind w:left="330"/>
              <w:spacing w:after="0"/>
              <w:rPr>
                <w:sz w:val="20"/>
                <w:szCs w:val="20"/>
                <w:color w:val="auto"/>
              </w:rPr>
            </w:pPr>
            <w:r>
              <w:rPr>
                <w:rFonts w:ascii="Arial" w:cs="Arial" w:eastAsia="Arial" w:hAnsi="Arial"/>
                <w:sz w:val="18"/>
                <w:szCs w:val="18"/>
                <w:color w:val="auto"/>
                <w:w w:val="88"/>
              </w:rPr>
              <w:t>96,287,741</w:t>
            </w:r>
          </w:p>
        </w:tc>
        <w:tc>
          <w:tcPr>
            <w:tcW w:w="1260" w:type="dxa"/>
            <w:vAlign w:val="bottom"/>
          </w:tcPr>
          <w:p>
            <w:pPr>
              <w:ind w:left="220"/>
              <w:spacing w:after="0"/>
              <w:rPr>
                <w:sz w:val="20"/>
                <w:szCs w:val="20"/>
                <w:color w:val="auto"/>
              </w:rPr>
            </w:pPr>
            <w:r>
              <w:rPr>
                <w:rFonts w:ascii="Arial" w:cs="Arial" w:eastAsia="Arial" w:hAnsi="Arial"/>
                <w:sz w:val="18"/>
                <w:szCs w:val="18"/>
                <w:color w:val="auto"/>
              </w:rPr>
              <w:t>45.8%</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2,580,643</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93,707,098</w:t>
            </w:r>
          </w:p>
        </w:tc>
        <w:tc>
          <w:tcPr>
            <w:tcW w:w="1620" w:type="dxa"/>
            <w:vAlign w:val="bottom"/>
          </w:tcPr>
          <w:p>
            <w:pPr>
              <w:jc w:val="right"/>
              <w:ind w:right="730"/>
              <w:spacing w:after="0"/>
              <w:rPr>
                <w:sz w:val="20"/>
                <w:szCs w:val="20"/>
                <w:color w:val="auto"/>
              </w:rPr>
            </w:pPr>
            <w:r>
              <w:rPr>
                <w:rFonts w:ascii="Arial" w:cs="Arial" w:eastAsia="Arial" w:hAnsi="Arial"/>
                <w:sz w:val="18"/>
                <w:szCs w:val="18"/>
                <w:color w:val="auto"/>
                <w:w w:val="97"/>
              </w:rPr>
              <w:t>2,580,643</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93,707,098</w:t>
            </w:r>
          </w:p>
        </w:tc>
        <w:tc>
          <w:tcPr>
            <w:tcW w:w="0" w:type="dxa"/>
            <w:vAlign w:val="bottom"/>
          </w:tcPr>
          <w:p>
            <w:pPr>
              <w:spacing w:after="0"/>
              <w:rPr>
                <w:sz w:val="1"/>
                <w:szCs w:val="1"/>
                <w:color w:val="auto"/>
              </w:rPr>
            </w:pPr>
          </w:p>
        </w:tc>
      </w:tr>
      <w:tr>
        <w:trPr>
          <w:trHeight w:val="230"/>
        </w:trPr>
        <w:tc>
          <w:tcPr>
            <w:tcW w:w="2180" w:type="dxa"/>
            <w:vAlign w:val="bottom"/>
            <w:shd w:val="clear" w:color="auto" w:fill="DEEAF6"/>
          </w:tcPr>
          <w:p>
            <w:pPr>
              <w:ind w:left="80"/>
              <w:spacing w:after="0"/>
              <w:rPr>
                <w:sz w:val="20"/>
                <w:szCs w:val="20"/>
                <w:color w:val="auto"/>
              </w:rPr>
            </w:pPr>
            <w:r>
              <w:rPr>
                <w:rFonts w:ascii="Arial" w:cs="Arial" w:eastAsia="Arial" w:hAnsi="Arial"/>
                <w:sz w:val="18"/>
                <w:szCs w:val="18"/>
                <w:color w:val="auto"/>
              </w:rPr>
              <w:t>Clinton P. Jones</w:t>
            </w:r>
          </w:p>
        </w:tc>
        <w:tc>
          <w:tcPr>
            <w:tcW w:w="1740" w:type="dxa"/>
            <w:vAlign w:val="bottom"/>
            <w:shd w:val="clear" w:color="auto" w:fill="DEEAF6"/>
          </w:tcPr>
          <w:p>
            <w:pPr>
              <w:jc w:val="center"/>
              <w:ind w:left="330"/>
              <w:spacing w:after="0"/>
              <w:rPr>
                <w:sz w:val="20"/>
                <w:szCs w:val="20"/>
                <w:color w:val="auto"/>
              </w:rPr>
            </w:pPr>
            <w:r>
              <w:rPr>
                <w:rFonts w:ascii="Arial" w:cs="Arial" w:eastAsia="Arial" w:hAnsi="Arial"/>
                <w:sz w:val="18"/>
                <w:szCs w:val="18"/>
                <w:color w:val="auto"/>
                <w:w w:val="88"/>
              </w:rPr>
              <w:t>96,287,741</w:t>
            </w:r>
          </w:p>
        </w:tc>
        <w:tc>
          <w:tcPr>
            <w:tcW w:w="1260" w:type="dxa"/>
            <w:vAlign w:val="bottom"/>
            <w:shd w:val="clear" w:color="auto" w:fill="DEEAF6"/>
          </w:tcPr>
          <w:p>
            <w:pPr>
              <w:ind w:left="220"/>
              <w:spacing w:after="0"/>
              <w:rPr>
                <w:sz w:val="20"/>
                <w:szCs w:val="20"/>
                <w:color w:val="auto"/>
              </w:rPr>
            </w:pPr>
            <w:r>
              <w:rPr>
                <w:rFonts w:ascii="Arial" w:cs="Arial" w:eastAsia="Arial" w:hAnsi="Arial"/>
                <w:sz w:val="18"/>
                <w:szCs w:val="18"/>
                <w:color w:val="auto"/>
              </w:rPr>
              <w:t>45.8%</w:t>
            </w:r>
          </w:p>
        </w:tc>
        <w:tc>
          <w:tcPr>
            <w:tcW w:w="1460" w:type="dxa"/>
            <w:vAlign w:val="bottom"/>
            <w:shd w:val="clear" w:color="auto" w:fill="DEEAF6"/>
          </w:tcPr>
          <w:p>
            <w:pPr>
              <w:jc w:val="right"/>
              <w:ind w:right="470"/>
              <w:spacing w:after="0"/>
              <w:rPr>
                <w:sz w:val="20"/>
                <w:szCs w:val="20"/>
                <w:color w:val="auto"/>
              </w:rPr>
            </w:pPr>
            <w:r>
              <w:rPr>
                <w:rFonts w:ascii="Arial" w:cs="Arial" w:eastAsia="Arial" w:hAnsi="Arial"/>
                <w:sz w:val="18"/>
                <w:szCs w:val="18"/>
                <w:color w:val="auto"/>
              </w:rPr>
              <w:t>2,580,643</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93,707,098</w:t>
            </w:r>
          </w:p>
        </w:tc>
        <w:tc>
          <w:tcPr>
            <w:tcW w:w="1620" w:type="dxa"/>
            <w:vAlign w:val="bottom"/>
            <w:shd w:val="clear" w:color="auto" w:fill="DEEAF6"/>
          </w:tcPr>
          <w:p>
            <w:pPr>
              <w:jc w:val="right"/>
              <w:ind w:right="730"/>
              <w:spacing w:after="0"/>
              <w:rPr>
                <w:sz w:val="20"/>
                <w:szCs w:val="20"/>
                <w:color w:val="auto"/>
              </w:rPr>
            </w:pPr>
            <w:r>
              <w:rPr>
                <w:rFonts w:ascii="Arial" w:cs="Arial" w:eastAsia="Arial" w:hAnsi="Arial"/>
                <w:sz w:val="18"/>
                <w:szCs w:val="18"/>
                <w:color w:val="auto"/>
                <w:w w:val="97"/>
              </w:rPr>
              <w:t>2,580,643</w:t>
            </w:r>
          </w:p>
        </w:tc>
        <w:tc>
          <w:tcPr>
            <w:tcW w:w="1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93,707,098</w:t>
            </w:r>
          </w:p>
        </w:tc>
        <w:tc>
          <w:tcPr>
            <w:tcW w:w="0" w:type="dxa"/>
            <w:vAlign w:val="bottom"/>
          </w:tcPr>
          <w:p>
            <w:pPr>
              <w:spacing w:after="0"/>
              <w:rPr>
                <w:sz w:val="1"/>
                <w:szCs w:val="1"/>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BCCJ, LLC</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89"/>
              </w:rPr>
              <w:t>221,817</w:t>
            </w:r>
          </w:p>
        </w:tc>
        <w:tc>
          <w:tcPr>
            <w:tcW w:w="1260" w:type="dxa"/>
            <w:vAlign w:val="bottom"/>
          </w:tcPr>
          <w:p>
            <w:pPr>
              <w:ind w:left="220"/>
              <w:spacing w:after="0"/>
              <w:rPr>
                <w:sz w:val="20"/>
                <w:szCs w:val="20"/>
                <w:color w:val="auto"/>
              </w:rPr>
            </w:pPr>
            <w:r>
              <w:rPr>
                <w:rFonts w:ascii="Arial" w:cs="Arial" w:eastAsia="Arial" w:hAnsi="Arial"/>
                <w:sz w:val="18"/>
                <w:szCs w:val="18"/>
                <w:color w:val="auto"/>
              </w:rPr>
              <w:t>0.2%</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221,817</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221,817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240" w:firstLine="216"/>
        <w:spacing w:after="0" w:line="232" w:lineRule="auto"/>
        <w:rPr>
          <w:sz w:val="20"/>
          <w:szCs w:val="20"/>
          <w:color w:val="auto"/>
        </w:rPr>
      </w:pPr>
      <w:r>
        <w:rPr>
          <w:rFonts w:ascii="Arial" w:cs="Arial" w:eastAsia="Arial" w:hAnsi="Arial"/>
          <w:sz w:val="22"/>
          <w:szCs w:val="22"/>
          <w:color w:val="auto"/>
        </w:rPr>
        <w:t>NVX is the record holder of 807,300 shares of Class A Common Stock and 92,677,981 LLC Interests. BCCJ, LLC is the record holder of 178,000 shares of Class A Common Stock and 43,817 LLC Interests.</w:t>
      </w:r>
    </w:p>
    <w:p>
      <w:pPr>
        <w:spacing w:after="0" w:line="186" w:lineRule="exact"/>
        <w:rPr>
          <w:sz w:val="20"/>
          <w:szCs w:val="20"/>
          <w:color w:val="auto"/>
        </w:rPr>
      </w:pPr>
    </w:p>
    <w:p>
      <w:pPr>
        <w:ind w:left="660" w:right="180" w:firstLine="216"/>
        <w:spacing w:after="0" w:line="223" w:lineRule="auto"/>
        <w:rPr>
          <w:sz w:val="20"/>
          <w:szCs w:val="20"/>
          <w:color w:val="auto"/>
        </w:rPr>
      </w:pPr>
      <w:r>
        <w:rPr>
          <w:rFonts w:ascii="Arial" w:cs="Arial" w:eastAsia="Arial" w:hAnsi="Arial"/>
          <w:sz w:val="22"/>
          <w:szCs w:val="22"/>
          <w:color w:val="auto"/>
        </w:rPr>
        <w:t>Messrs. Jones and Cruz are the Chief Executive Officer and President of NVX, respectively, and are members of the Board of Managers of BCCJ. As a result, Messrs. Jones and Cruz may be deemed to beneficially own the securities held by each of NVX and BCCJ.</w:t>
      </w:r>
    </w:p>
    <w:p>
      <w:pPr>
        <w:spacing w:after="0" w:line="186" w:lineRule="exact"/>
        <w:rPr>
          <w:sz w:val="20"/>
          <w:szCs w:val="20"/>
          <w:color w:val="auto"/>
        </w:rPr>
      </w:pPr>
    </w:p>
    <w:p>
      <w:pPr>
        <w:ind w:left="660" w:right="60" w:firstLine="216"/>
        <w:spacing w:after="0" w:line="218" w:lineRule="auto"/>
        <w:rPr>
          <w:sz w:val="20"/>
          <w:szCs w:val="20"/>
          <w:color w:val="auto"/>
        </w:rPr>
      </w:pPr>
      <w:r>
        <w:rPr>
          <w:rFonts w:ascii="Arial" w:cs="Arial" w:eastAsia="Arial" w:hAnsi="Arial"/>
          <w:sz w:val="22"/>
          <w:szCs w:val="22"/>
          <w:color w:val="auto"/>
        </w:rPr>
        <w:t>In addition, each of Messrs. Jones and Cruz may be deemed to beneficially own: (i) 37,625 shares of Class A Common Stock underlying stock options, (ii) 45,014 shares of Class A Common Stock underlying restricted stock units and (iii) 2,498,004 shares of Class A Common Stock underlying Blizzard Management Feeder LLC Interests, in each case that are currently vested or will vest on or before March 1, 2022.</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ind w:left="920" w:right="580" w:hanging="906"/>
        <w:spacing w:after="0" w:line="235"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440" w:right="339" w:bottom="1440" w:gutter="0" w:footer="0" w:header="0"/>
        </w:sectPr>
      </w:pPr>
    </w:p>
    <w:bookmarkStart w:id="7" w:name="page8"/>
    <w:bookmarkEnd w:id="7"/>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February 10, 2022</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NVX Holdings, Inc.</w:t>
      </w:r>
    </w:p>
    <w:p>
      <w:pPr>
        <w:spacing w:after="0" w:line="193" w:lineRule="exact"/>
        <w:rPr>
          <w:sz w:val="20"/>
          <w:szCs w:val="20"/>
          <w:color w:val="auto"/>
        </w:rPr>
      </w:pPr>
    </w:p>
    <w:p>
      <w:pPr>
        <w:ind w:left="414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Clinton P. Jones</w:t>
      </w:r>
    </w:p>
    <w:p>
      <w:pPr>
        <w:ind w:left="4140"/>
        <w:spacing w:after="0" w:line="204" w:lineRule="auto"/>
        <w:rPr>
          <w:sz w:val="20"/>
          <w:szCs w:val="20"/>
          <w:color w:val="auto"/>
        </w:rPr>
      </w:pPr>
      <w:r>
        <w:rPr>
          <w:rFonts w:ascii="Arial" w:cs="Arial" w:eastAsia="Arial" w:hAnsi="Arial"/>
          <w:sz w:val="22"/>
          <w:szCs w:val="22"/>
          <w:color w:val="auto"/>
        </w:rPr>
        <w:t>Name: Clinton P. Jones</w:t>
      </w:r>
    </w:p>
    <w:p>
      <w:pPr>
        <w:spacing w:after="0" w:line="1" w:lineRule="exact"/>
        <w:rPr>
          <w:sz w:val="20"/>
          <w:szCs w:val="20"/>
          <w:color w:val="auto"/>
        </w:rPr>
      </w:pPr>
    </w:p>
    <w:p>
      <w:pPr>
        <w:ind w:left="4140"/>
        <w:spacing w:after="0"/>
        <w:tabs>
          <w:tab w:leader="none" w:pos="4840" w:val="left"/>
        </w:tabs>
        <w:rPr>
          <w:sz w:val="20"/>
          <w:szCs w:val="20"/>
          <w:color w:val="auto"/>
        </w:rPr>
      </w:pPr>
      <w:r>
        <w:rPr>
          <w:rFonts w:ascii="Arial" w:cs="Arial" w:eastAsia="Arial" w:hAnsi="Arial"/>
          <w:sz w:val="22"/>
          <w:szCs w:val="22"/>
          <w:color w:val="auto"/>
        </w:rPr>
        <w:t>Title:</w:t>
        <w:tab/>
        <w:t>Chief Executive Officer</w:t>
      </w:r>
    </w:p>
    <w:p>
      <w:pPr>
        <w:spacing w:after="0" w:line="200" w:lineRule="exact"/>
        <w:rPr>
          <w:sz w:val="20"/>
          <w:szCs w:val="20"/>
          <w:color w:val="auto"/>
        </w:rPr>
      </w:pPr>
    </w:p>
    <w:p>
      <w:pPr>
        <w:spacing w:after="0" w:line="225"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Clinton P. Jones</w:t>
      </w:r>
    </w:p>
    <w:p>
      <w:pPr>
        <w:spacing w:after="0" w:line="21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Clinton P. Jones</w:t>
      </w:r>
    </w:p>
    <w:p>
      <w:pPr>
        <w:spacing w:after="0" w:line="200" w:lineRule="exact"/>
        <w:rPr>
          <w:sz w:val="20"/>
          <w:szCs w:val="20"/>
          <w:color w:val="auto"/>
        </w:rPr>
      </w:pPr>
    </w:p>
    <w:p>
      <w:pPr>
        <w:spacing w:after="0" w:line="24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Brandon M. Cruz</w:t>
      </w:r>
    </w:p>
    <w:p>
      <w:pPr>
        <w:spacing w:after="0" w:line="21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Brandon M. Cruz</w:t>
      </w:r>
    </w:p>
    <w:p>
      <w:pPr>
        <w:spacing w:after="0" w:line="200" w:lineRule="exact"/>
        <w:rPr>
          <w:sz w:val="20"/>
          <w:szCs w:val="20"/>
          <w:color w:val="auto"/>
        </w:rPr>
      </w:pPr>
    </w:p>
    <w:p>
      <w:pPr>
        <w:spacing w:after="0" w:line="24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BCCJ, LLC.</w:t>
      </w:r>
    </w:p>
    <w:p>
      <w:pPr>
        <w:spacing w:after="0" w:line="193" w:lineRule="exact"/>
        <w:rPr>
          <w:sz w:val="20"/>
          <w:szCs w:val="20"/>
          <w:color w:val="auto"/>
        </w:rPr>
      </w:pPr>
    </w:p>
    <w:p>
      <w:pPr>
        <w:ind w:left="414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Clinton P. Jones</w:t>
      </w:r>
    </w:p>
    <w:p>
      <w:pPr>
        <w:ind w:left="4140"/>
        <w:spacing w:after="0" w:line="204" w:lineRule="auto"/>
        <w:rPr>
          <w:sz w:val="20"/>
          <w:szCs w:val="20"/>
          <w:color w:val="auto"/>
        </w:rPr>
      </w:pPr>
      <w:r>
        <w:rPr>
          <w:rFonts w:ascii="Arial" w:cs="Arial" w:eastAsia="Arial" w:hAnsi="Arial"/>
          <w:sz w:val="22"/>
          <w:szCs w:val="22"/>
          <w:color w:val="auto"/>
        </w:rPr>
        <w:t>Name: Clinton P. Jones</w:t>
      </w:r>
    </w:p>
    <w:p>
      <w:pPr>
        <w:spacing w:after="0" w:line="1" w:lineRule="exact"/>
        <w:rPr>
          <w:sz w:val="20"/>
          <w:szCs w:val="20"/>
          <w:color w:val="auto"/>
        </w:rPr>
      </w:pPr>
    </w:p>
    <w:p>
      <w:pPr>
        <w:ind w:left="4140"/>
        <w:spacing w:after="0"/>
        <w:tabs>
          <w:tab w:leader="none" w:pos="4840" w:val="left"/>
        </w:tabs>
        <w:rPr>
          <w:sz w:val="20"/>
          <w:szCs w:val="20"/>
          <w:color w:val="auto"/>
        </w:rPr>
      </w:pPr>
      <w:r>
        <w:rPr>
          <w:rFonts w:ascii="Arial" w:cs="Arial" w:eastAsia="Arial" w:hAnsi="Arial"/>
          <w:sz w:val="22"/>
          <w:szCs w:val="22"/>
          <w:color w:val="auto"/>
        </w:rPr>
        <w:t>Title:</w:t>
        <w:tab/>
        <w:t>Manager</w:t>
      </w:r>
    </w:p>
    <w:p>
      <w:pPr>
        <w:sectPr>
          <w:pgSz w:w="11900" w:h="16838" w:orient="portrait"/>
          <w:cols w:equalWidth="0" w:num="1">
            <w:col w:w="10480"/>
          </w:cols>
          <w:pgMar w:left="320" w:top="1395" w:right="1099" w:bottom="1440" w:gutter="0" w:footer="0" w:header="0"/>
        </w:sectPr>
      </w:pPr>
    </w:p>
    <w:bookmarkStart w:id="8" w:name="page9"/>
    <w:bookmarkEnd w:id="8"/>
    <w:p>
      <w:pPr>
        <w:jc w:val="right"/>
        <w:ind w:right="3539"/>
        <w:spacing w:after="0"/>
        <w:rPr>
          <w:sz w:val="20"/>
          <w:szCs w:val="20"/>
          <w:color w:val="auto"/>
        </w:rPr>
      </w:pPr>
      <w:r>
        <w:rPr>
          <w:rFonts w:ascii="Arial" w:cs="Arial" w:eastAsia="Arial" w:hAnsi="Arial"/>
          <w:sz w:val="22"/>
          <w:szCs w:val="22"/>
          <w:b w:val="1"/>
          <w:bCs w:val="1"/>
          <w:color w:val="auto"/>
        </w:rPr>
        <w:t>LIST OF EXHIBITS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jc w:val="right"/>
              <w:spacing w:after="0"/>
              <w:rPr>
                <w:sz w:val="20"/>
                <w:szCs w:val="20"/>
                <w:color w:val="auto"/>
              </w:rPr>
            </w:pPr>
            <w:r>
              <w:rPr>
                <w:rFonts w:ascii="Arial" w:cs="Arial" w:eastAsia="Arial" w:hAnsi="Arial"/>
                <w:sz w:val="22"/>
                <w:szCs w:val="22"/>
                <w:b w:val="1"/>
                <w:bCs w:val="1"/>
                <w:color w:val="auto"/>
                <w:w w:val="90"/>
              </w:rPr>
              <w:t>Exhibit No.</w:t>
            </w:r>
          </w:p>
        </w:tc>
        <w:tc>
          <w:tcPr>
            <w:tcW w:w="320" w:type="dxa"/>
            <w:vAlign w:val="bottom"/>
          </w:tcPr>
          <w:p>
            <w:pPr>
              <w:spacing w:after="0"/>
              <w:rPr>
                <w:sz w:val="21"/>
                <w:szCs w:val="21"/>
                <w:color w:val="auto"/>
              </w:rPr>
            </w:pPr>
          </w:p>
        </w:tc>
        <w:tc>
          <w:tcPr>
            <w:tcW w:w="3940" w:type="dxa"/>
            <w:vAlign w:val="bottom"/>
            <w:gridSpan w:val="3"/>
          </w:tcPr>
          <w:p>
            <w:pPr>
              <w:ind w:left="340"/>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00"/>
        </w:trPr>
        <w:tc>
          <w:tcPr>
            <w:tcW w:w="1060" w:type="dxa"/>
            <w:vAlign w:val="bottom"/>
          </w:tcPr>
          <w:p>
            <w:pPr>
              <w:jc w:val="right"/>
              <w:ind w:right="52"/>
              <w:spacing w:after="0"/>
              <w:rPr>
                <w:sz w:val="20"/>
                <w:szCs w:val="20"/>
                <w:color w:val="auto"/>
              </w:rPr>
            </w:pPr>
            <w:r>
              <w:rPr>
                <w:rFonts w:ascii="Arial" w:cs="Arial" w:eastAsia="Arial" w:hAnsi="Arial"/>
                <w:sz w:val="22"/>
                <w:szCs w:val="22"/>
                <w:color w:val="auto"/>
              </w:rPr>
              <w:t>99</w:t>
            </w:r>
          </w:p>
        </w:tc>
        <w:tc>
          <w:tcPr>
            <w:tcW w:w="320" w:type="dxa"/>
            <w:vAlign w:val="bottom"/>
          </w:tcPr>
          <w:p>
            <w:pPr>
              <w:spacing w:after="0"/>
              <w:rPr>
                <w:sz w:val="24"/>
                <w:szCs w:val="24"/>
                <w:color w:val="auto"/>
              </w:rPr>
            </w:pPr>
          </w:p>
        </w:tc>
        <w:tc>
          <w:tcPr>
            <w:tcW w:w="3940" w:type="dxa"/>
            <w:vAlign w:val="bottom"/>
            <w:gridSpan w:val="3"/>
          </w:tcPr>
          <w:p>
            <w:pPr>
              <w:ind w:left="340"/>
              <w:spacing w:after="0"/>
              <w:rPr>
                <w:sz w:val="20"/>
                <w:szCs w:val="20"/>
                <w:color w:val="auto"/>
              </w:rPr>
            </w:pPr>
            <w:r>
              <w:rPr>
                <w:rFonts w:ascii="Arial" w:cs="Arial" w:eastAsia="Arial" w:hAnsi="Arial"/>
                <w:sz w:val="22"/>
                <w:szCs w:val="22"/>
                <w:color w:val="auto"/>
                <w:w w:val="91"/>
              </w:rPr>
              <w:t>Joint Filing Agreement (previously filed).</w:t>
            </w:r>
          </w:p>
        </w:tc>
      </w:tr>
    </w:tbl>
    <w:p>
      <w:pPr>
        <w:spacing w:after="0" w:line="1" w:lineRule="exact"/>
        <w:rPr>
          <w:sz w:val="20"/>
          <w:szCs w:val="20"/>
          <w:color w:val="auto"/>
        </w:rPr>
      </w:pPr>
    </w:p>
    <w:sectPr>
      <w:pgSz w:w="11900" w:h="16838" w:orient="portrait"/>
      <w:cols w:equalWidth="0" w:num="1">
        <w:col w:w="10059"/>
      </w:cols>
      <w:pgMar w:left="400" w:top="13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3"/>
      <w:numFmt w:val="bullet"/>
      <w:start w:val="1"/>
    </w:lvl>
  </w:abstractNum>
  <w:abstractNum w:abstractNumId="5">
    <w:nsid w:val="79838CB2"/>
    <w:multiLevelType w:val="hybridMultilevel"/>
    <w:lvl w:ilvl="0">
      <w:lvlJc w:val="left"/>
      <w:lvlText w:val="4"/>
      <w:numFmt w:val="bullet"/>
      <w:start w:val="1"/>
    </w:lvl>
  </w:abstractNum>
  <w:abstractNum w:abstractNumId="6">
    <w:nsid w:val="4353D0CD"/>
    <w:multiLevelType w:val="hybridMultilevel"/>
    <w:lvl w:ilvl="0">
      <w:lvlJc w:val="left"/>
      <w:lvlText w:val="5"/>
      <w:numFmt w:val="bullet"/>
      <w:start w:val="1"/>
    </w:lvl>
  </w:abstractNum>
  <w:abstractNum w:abstractNumId="7">
    <w:nsid w:val="B03E0C6"/>
    <w:multiLevelType w:val="hybridMultilevel"/>
    <w:lvl w:ilvl="0">
      <w:lvlJc w:val="left"/>
      <w:lvlText w:val="6"/>
      <w:numFmt w:val="bullet"/>
      <w:start w:val="1"/>
    </w:lvl>
  </w:abstractNum>
  <w:abstractNum w:abstractNumId="8">
    <w:nsid w:val="189A769B"/>
    <w:multiLevelType w:val="hybridMultilevel"/>
    <w:lvl w:ilvl="0">
      <w:lvlJc w:val="left"/>
      <w:lvlText w:val="7"/>
      <w:numFmt w:val="bullet"/>
      <w:start w:val="1"/>
    </w:lvl>
  </w:abstractNum>
  <w:abstractNum w:abstractNumId="9">
    <w:nsid w:val="54E49EB4"/>
    <w:multiLevelType w:val="hybridMultilevel"/>
    <w:lvl w:ilvl="0">
      <w:lvlJc w:val="left"/>
      <w:lvlText w:val="8"/>
      <w:numFmt w:val="bullet"/>
      <w:start w:val="1"/>
    </w:lvl>
  </w:abstractNum>
  <w:abstractNum w:abstractNumId="10">
    <w:nsid w:val="71F32454"/>
    <w:multiLevelType w:val="hybridMultilevel"/>
    <w:lvl w:ilvl="0">
      <w:lvlJc w:val="left"/>
      <w:lvlText w:val="9"/>
      <w:numFmt w:val="bullet"/>
      <w:start w:val="1"/>
    </w:lvl>
  </w:abstractNum>
  <w:abstractNum w:abstractNumId="11">
    <w:nsid w:val="2CA88611"/>
    <w:multiLevelType w:val="hybridMultilevel"/>
    <w:lvl w:ilvl="0">
      <w:lvlJc w:val="left"/>
      <w:lvlText w:val="%1"/>
      <w:numFmt w:val="decimal"/>
      <w:start w:val="12"/>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3"/>
      <w:numFmt w:val="bullet"/>
      <w:start w:val="1"/>
    </w:lvl>
  </w:abstractNum>
  <w:abstractNum w:abstractNumId="14">
    <w:nsid w:val="3A95F874"/>
    <w:multiLevelType w:val="hybridMultilevel"/>
    <w:lvl w:ilvl="0">
      <w:lvlJc w:val="left"/>
      <w:lvlText w:val="4"/>
      <w:numFmt w:val="bullet"/>
      <w:start w:val="1"/>
    </w:lvl>
  </w:abstractNum>
  <w:abstractNum w:abstractNumId="15">
    <w:nsid w:val="8138641"/>
    <w:multiLevelType w:val="hybridMultilevel"/>
    <w:lvl w:ilvl="0">
      <w:lvlJc w:val="left"/>
      <w:lvlText w:val="5"/>
      <w:numFmt w:val="bullet"/>
      <w:start w:val="1"/>
    </w:lvl>
  </w:abstractNum>
  <w:abstractNum w:abstractNumId="16">
    <w:nsid w:val="1E7FF521"/>
    <w:multiLevelType w:val="hybridMultilevel"/>
    <w:lvl w:ilvl="0">
      <w:lvlJc w:val="left"/>
      <w:lvlText w:val="6"/>
      <w:numFmt w:val="bullet"/>
      <w:start w:val="1"/>
    </w:lvl>
  </w:abstractNum>
  <w:abstractNum w:abstractNumId="17">
    <w:nsid w:val="7C3DBD3D"/>
    <w:multiLevelType w:val="hybridMultilevel"/>
    <w:lvl w:ilvl="0">
      <w:lvlJc w:val="left"/>
      <w:lvlText w:val="7"/>
      <w:numFmt w:val="bullet"/>
      <w:start w:val="1"/>
    </w:lvl>
  </w:abstractNum>
  <w:abstractNum w:abstractNumId="18">
    <w:nsid w:val="737B8DDC"/>
    <w:multiLevelType w:val="hybridMultilevel"/>
    <w:lvl w:ilvl="0">
      <w:lvlJc w:val="left"/>
      <w:lvlText w:val="8"/>
      <w:numFmt w:val="bullet"/>
      <w:start w:val="1"/>
    </w:lvl>
  </w:abstractNum>
  <w:abstractNum w:abstractNumId="19">
    <w:nsid w:val="6CEAF087"/>
    <w:multiLevelType w:val="hybridMultilevel"/>
    <w:lvl w:ilvl="0">
      <w:lvlJc w:val="left"/>
      <w:lvlText w:val="9"/>
      <w:numFmt w:val="bullet"/>
      <w:start w:val="1"/>
    </w:lvl>
  </w:abstractNum>
  <w:abstractNum w:abstractNumId="20">
    <w:nsid w:val="22221A70"/>
    <w:multiLevelType w:val="hybridMultilevel"/>
    <w:lvl w:ilvl="0">
      <w:lvlJc w:val="left"/>
      <w:lvlText w:val="%1"/>
      <w:numFmt w:val="decimal"/>
      <w:start w:val="12"/>
    </w:lvl>
  </w:abstractNum>
  <w:abstractNum w:abstractNumId="21">
    <w:nsid w:val="4516DDE9"/>
    <w:multiLevelType w:val="hybridMultilevel"/>
    <w:lvl w:ilvl="0">
      <w:lvlJc w:val="left"/>
      <w:lvlText w:val="1"/>
      <w:numFmt w:val="bullet"/>
      <w:start w:val="1"/>
    </w:lvl>
  </w:abstractNum>
  <w:abstractNum w:abstractNumId="22">
    <w:nsid w:val="3006C83E"/>
    <w:multiLevelType w:val="hybridMultilevel"/>
    <w:lvl w:ilvl="0">
      <w:lvlJc w:val="left"/>
      <w:lvlText w:val="3"/>
      <w:numFmt w:val="bullet"/>
      <w:start w:val="1"/>
    </w:lvl>
  </w:abstractNum>
  <w:abstractNum w:abstractNumId="23">
    <w:nsid w:val="614FD4A1"/>
    <w:multiLevelType w:val="hybridMultilevel"/>
    <w:lvl w:ilvl="0">
      <w:lvlJc w:val="left"/>
      <w:lvlText w:val="4"/>
      <w:numFmt w:val="bullet"/>
      <w:start w:val="1"/>
    </w:lvl>
  </w:abstractNum>
  <w:abstractNum w:abstractNumId="24">
    <w:nsid w:val="419AC241"/>
    <w:multiLevelType w:val="hybridMultilevel"/>
    <w:lvl w:ilvl="0">
      <w:lvlJc w:val="left"/>
      <w:lvlText w:val="5"/>
      <w:numFmt w:val="bullet"/>
      <w:start w:val="1"/>
    </w:lvl>
  </w:abstractNum>
  <w:abstractNum w:abstractNumId="25">
    <w:nsid w:val="5577F8E1"/>
    <w:multiLevelType w:val="hybridMultilevel"/>
    <w:lvl w:ilvl="0">
      <w:lvlJc w:val="left"/>
      <w:lvlText w:val="6"/>
      <w:numFmt w:val="bullet"/>
      <w:start w:val="1"/>
    </w:lvl>
  </w:abstractNum>
  <w:abstractNum w:abstractNumId="26">
    <w:nsid w:val="440BADFC"/>
    <w:multiLevelType w:val="hybridMultilevel"/>
    <w:lvl w:ilvl="0">
      <w:lvlJc w:val="left"/>
      <w:lvlText w:val="7"/>
      <w:numFmt w:val="bullet"/>
      <w:start w:val="1"/>
    </w:lvl>
  </w:abstractNum>
  <w:abstractNum w:abstractNumId="27">
    <w:nsid w:val="5072367"/>
    <w:multiLevelType w:val="hybridMultilevel"/>
    <w:lvl w:ilvl="0">
      <w:lvlJc w:val="left"/>
      <w:lvlText w:val="8"/>
      <w:numFmt w:val="bullet"/>
      <w:start w:val="1"/>
    </w:lvl>
  </w:abstractNum>
  <w:abstractNum w:abstractNumId="28">
    <w:nsid w:val="3804823E"/>
    <w:multiLevelType w:val="hybridMultilevel"/>
    <w:lvl w:ilvl="0">
      <w:lvlJc w:val="left"/>
      <w:lvlText w:val="9"/>
      <w:numFmt w:val="bullet"/>
      <w:start w:val="1"/>
    </w:lvl>
  </w:abstractNum>
  <w:abstractNum w:abstractNumId="29">
    <w:nsid w:val="77465F01"/>
    <w:multiLevelType w:val="hybridMultilevel"/>
    <w:lvl w:ilvl="0">
      <w:lvlJc w:val="left"/>
      <w:lvlText w:val="%1"/>
      <w:numFmt w:val="decimal"/>
      <w:start w:val="12"/>
    </w:lvl>
  </w:abstractNum>
  <w:abstractNum w:abstractNumId="30">
    <w:nsid w:val="7724C67E"/>
    <w:multiLevelType w:val="hybridMultilevel"/>
    <w:lvl w:ilvl="0">
      <w:lvlJc w:val="left"/>
      <w:lvlText w:val="1"/>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4"/>
      <w:numFmt w:val="bullet"/>
      <w:start w:val="1"/>
    </w:lvl>
  </w:abstractNum>
  <w:abstractNum w:abstractNumId="33">
    <w:nsid w:val="5E884ADC"/>
    <w:multiLevelType w:val="hybridMultilevel"/>
    <w:lvl w:ilvl="0">
      <w:lvlJc w:val="left"/>
      <w:lvlText w:val="5"/>
      <w:numFmt w:val="bullet"/>
      <w:start w:val="1"/>
    </w:lvl>
  </w:abstractNum>
  <w:abstractNum w:abstractNumId="34">
    <w:nsid w:val="51EAD36B"/>
    <w:multiLevelType w:val="hybridMultilevel"/>
    <w:lvl w:ilvl="0">
      <w:lvlJc w:val="left"/>
      <w:lvlText w:val="6"/>
      <w:numFmt w:val="bullet"/>
      <w:start w:val="1"/>
    </w:lvl>
  </w:abstractNum>
  <w:abstractNum w:abstractNumId="35">
    <w:nsid w:val="2D517796"/>
    <w:multiLevelType w:val="hybridMultilevel"/>
    <w:lvl w:ilvl="0">
      <w:lvlJc w:val="left"/>
      <w:lvlText w:val="7"/>
      <w:numFmt w:val="bullet"/>
      <w:start w:val="1"/>
    </w:lvl>
  </w:abstractNum>
  <w:abstractNum w:abstractNumId="36">
    <w:nsid w:val="580BD78F"/>
    <w:multiLevelType w:val="hybridMultilevel"/>
    <w:lvl w:ilvl="0">
      <w:lvlJc w:val="left"/>
      <w:lvlText w:val="8"/>
      <w:numFmt w:val="bullet"/>
      <w:start w:val="1"/>
    </w:lvl>
  </w:abstractNum>
  <w:abstractNum w:abstractNumId="37">
    <w:nsid w:val="153EA438"/>
    <w:multiLevelType w:val="hybridMultilevel"/>
    <w:lvl w:ilvl="0">
      <w:lvlJc w:val="left"/>
      <w:lvlText w:val="9"/>
      <w:numFmt w:val="bullet"/>
      <w:start w:val="1"/>
    </w:lvl>
  </w:abstractNum>
  <w:abstractNum w:abstractNumId="38">
    <w:nsid w:val="3855585C"/>
    <w:multiLevelType w:val="hybridMultilevel"/>
    <w:lvl w:ilvl="0">
      <w:lvlJc w:val="left"/>
      <w:lvlText w:val="%1"/>
      <w:numFmt w:val="decimal"/>
      <w:start w:val="12"/>
    </w:lvl>
    <w:lvl w:ilvl="1">
      <w:lvlJc w:val="left"/>
      <w:lvlText w:val="%2"/>
      <w:numFmt w:val="upp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lowerLetter"/>
      <w:start w:val="3"/>
    </w:lvl>
  </w:abstractNum>
  <w:abstractNum w:abstractNumId="42">
    <w:nsid w:val="1D4ED43B"/>
    <w:multiLevelType w:val="hybridMultilevel"/>
    <w:lvl w:ilvl="0">
      <w:lvlJc w:val="left"/>
      <w:lvlText w:val="(%1)"/>
      <w:numFmt w:val="lowerLetter"/>
      <w:start w:val="4"/>
    </w:lvl>
  </w:abstractNum>
  <w:abstractNum w:abstractNumId="43">
    <w:nsid w:val="725A06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2022-02-14T16:57:07Z</dcterms:created>
  <dcterms:modified xsi:type="dcterms:W3CDTF">2022-02-14T16:57:07Z</dcterms:modified>
</cp:coreProperties>
</file>