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001-39390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85-0563805</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1"/>
              </w:rPr>
              <w:t>214 West Huron St.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1"/>
              </w:rPr>
              <w:t>Chicago, Illinois</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60654</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386-8200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GOCO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On July 17, 2020, GoHealth, Inc. (the “Company”) closed its initial public offering (“IPO”) of 43,500,000 shares of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$0.0001 par value per share (the “Class A Common Stock”), at an offering price of $21.00 per share, pursuant to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S-1 (File No. 333-239287), as amended (the “Registration Statement”). In connection therewith and with the closing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IPO, the Company entered into the following agreements, the forms of which were previously filed as exhibits to the Registration Statement:</w:t>
      </w:r>
    </w:p>
    <w:p>
      <w:pPr>
        <w:spacing w:after="0" w:line="128" w:lineRule="exact"/>
        <w:rPr>
          <w:sz w:val="20"/>
          <w:szCs w:val="20"/>
          <w:color w:val="auto"/>
        </w:rPr>
      </w:pPr>
    </w:p>
    <w:p>
      <w:pPr>
        <w:ind w:left="960" w:right="60" w:hanging="424"/>
        <w:spacing w:after="0" w:line="279"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Tax Receivable Agreement, dated July 15, 2020, by and among the Company, GoHealth Holdings, LLC, a Delaware limited liability company and subsidiary of the Company (“GoHealth, LLC”), CB Blizzard Co-Invest Holdings, L.P., a Delaware limited partnership, CCP III AIV VII Holdings, L.P., a Delaware limited partnership and each of the Members (as defined therein) from time to time party thereto, a copy of which is filed as Exhibit 10.1 to this Current Report on Form 8-K and is incorporated herein by reference;</w:t>
      </w:r>
    </w:p>
    <w:p>
      <w:pPr>
        <w:spacing w:after="0" w:line="76" w:lineRule="exact"/>
        <w:rPr>
          <w:rFonts w:ascii="Arial" w:cs="Arial" w:eastAsia="Arial" w:hAnsi="Arial"/>
          <w:sz w:val="17"/>
          <w:szCs w:val="17"/>
          <w:color w:val="auto"/>
        </w:rPr>
      </w:pPr>
    </w:p>
    <w:p>
      <w:pPr>
        <w:ind w:left="960" w:right="34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Rights Agreement, dated July 15, 2020, by and among the Company and each other person identified on the schedule of investors attached thereto, a copy of which is filed as Exhibit 10.2 to this Current Report on Form 8-K and is incorporated herein by reference;</w:t>
      </w:r>
    </w:p>
    <w:p>
      <w:pPr>
        <w:spacing w:after="0" w:line="89" w:lineRule="exact"/>
        <w:rPr>
          <w:rFonts w:ascii="Arial" w:cs="Arial" w:eastAsia="Arial" w:hAnsi="Arial"/>
          <w:sz w:val="18"/>
          <w:szCs w:val="18"/>
          <w:color w:val="auto"/>
        </w:rPr>
      </w:pPr>
    </w:p>
    <w:p>
      <w:pPr>
        <w:jc w:val="both"/>
        <w:ind w:left="960" w:right="2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Second Amended and Restated Limited Liability Company Agreement of GoHealth, LLC, dated July 15, 2020, by and among GoHealth, LLC and its Members (as defined therein), a copy of which is filed as Exhibit 10.3 to this Current Report on Form 8-K and is incorporated herein by reference; and</w:t>
      </w:r>
    </w:p>
    <w:p>
      <w:pPr>
        <w:spacing w:after="0" w:line="89" w:lineRule="exact"/>
        <w:rPr>
          <w:rFonts w:ascii="Arial" w:cs="Arial" w:eastAsia="Arial" w:hAnsi="Arial"/>
          <w:sz w:val="18"/>
          <w:szCs w:val="18"/>
          <w:color w:val="auto"/>
        </w:rPr>
      </w:pPr>
    </w:p>
    <w:p>
      <w:pPr>
        <w:ind w:left="960" w:right="160" w:hanging="424"/>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Stockholders Agreement, dated July 15, 2020, by and among the Company and the persons and entities listed on the schedules attached thereto, a copy of which is filed as Exhibit 10.4 to this Current Report on Form 8-K and is incorporated herein by reference.</w:t>
      </w:r>
    </w:p>
    <w:p>
      <w:pPr>
        <w:spacing w:after="0" w:line="124"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The terms of these agreements are substantially the same as the terms set forth in the forms of such agreements filed as exhibits to the Registration Statement and as described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1420" w:hanging="43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18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89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Tax Receivable Agreement, dated July 15, 2020, by and among the GoHealth, Inc., GoHealth, LLC, CB Blizzard Co-Invest</w:t>
              </w:r>
            </w:hyperlink>
          </w:p>
        </w:tc>
        <w:tc>
          <w:tcPr>
            <w:tcW w:w="720" w:type="dxa"/>
            <w:vAlign w:val="bottom"/>
            <w:gridSpan w:val="3"/>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60" w:type="dxa"/>
            <w:vAlign w:val="bottom"/>
            <w:gridSpan w:val="9"/>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Holdings, L.P., CCP III AIV VII Holdings, L.P. and each of the Members from time to time party thereto</w:t>
              </w:r>
            </w:hyperlink>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96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Registration Rights Agreement, dated July 15, 2020, by and among GoHealth, Inc. and each other person identified on the schedule of</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investors attached thereto</w:t>
              </w:r>
            </w:hyperlink>
          </w:p>
        </w:tc>
        <w:tc>
          <w:tcPr>
            <w:tcW w:w="7820" w:type="dxa"/>
            <w:vAlign w:val="bottom"/>
            <w:gridSpan w:val="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9660" w:type="dxa"/>
            <w:vAlign w:val="bottom"/>
            <w:gridSpan w:val="9"/>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Second Amended and Restated Limited Liability Company Agreement of GoHealth, LLC, dated July 15, 2020, by and among</w:t>
              </w:r>
            </w:hyperlink>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GoHealth, LLC and its Members</w:t>
              </w:r>
            </w:hyperlink>
          </w:p>
        </w:tc>
        <w:tc>
          <w:tcPr>
            <w:tcW w:w="58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8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53">
              <w:r>
                <w:rPr>
                  <w:rFonts w:ascii="Arial" w:cs="Arial" w:eastAsia="Arial" w:hAnsi="Arial"/>
                  <w:sz w:val="18"/>
                  <w:szCs w:val="18"/>
                  <w:color w:val="0000EE"/>
                  <w:w w:val="89"/>
                </w:rPr>
                <w:t>Stockholders Agreement, dated July 15, 2020, by and among GoHealth, Inc. and the persons and entities listed on the schedules</w:t>
              </w:r>
            </w:hyperlink>
          </w:p>
        </w:tc>
        <w:tc>
          <w:tcPr>
            <w:tcW w:w="46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153">
              <w:r>
                <w:rPr>
                  <w:rFonts w:ascii="Arial" w:cs="Arial" w:eastAsia="Arial" w:hAnsi="Arial"/>
                  <w:sz w:val="18"/>
                  <w:szCs w:val="18"/>
                  <w:color w:val="0000EE"/>
                  <w:w w:val="86"/>
                </w:rPr>
                <w:t>attached thereto</w:t>
              </w:r>
            </w:hyperlink>
          </w:p>
        </w:tc>
        <w:tc>
          <w:tcPr>
            <w:tcW w:w="8520" w:type="dxa"/>
            <w:vAlign w:val="bottom"/>
            <w:gridSpan w:val="8"/>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Certain portions of this exhibit (indicated by “####”) have been omitted pursuant to Regulation S-K, Item 601(a)(6).</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GOHEALTH,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Farley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2020</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TAX RECEIVABLE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GOHEALTH,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GOHEALTH HOLDINGS,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SEVERAL TRA HOLDERS (AS DEFINED HEREIN)</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FROM TIME TO TIME PARTY HERETO</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July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420" w:type="dxa"/>
            <w:vAlign w:val="bottom"/>
          </w:tcPr>
          <w:p>
            <w:pPr>
              <w:jc w:val="center"/>
              <w:ind w:right="81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r>
      <w:tr>
        <w:trPr>
          <w:trHeight w:val="392"/>
        </w:trPr>
        <w:tc>
          <w:tcPr>
            <w:tcW w:w="124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rPr>
              <w:t>ARTICLE I</w:t>
            </w:r>
          </w:p>
        </w:tc>
        <w:tc>
          <w:tcPr>
            <w:tcW w:w="300" w:type="dxa"/>
            <w:vAlign w:val="bottom"/>
          </w:tcPr>
          <w:p>
            <w:pPr>
              <w:spacing w:after="0"/>
              <w:rPr>
                <w:sz w:val="24"/>
                <w:szCs w:val="24"/>
                <w:color w:val="auto"/>
              </w:rPr>
            </w:pP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w w:val="90"/>
              </w:rPr>
              <w:t>Definitions</w:t>
            </w:r>
          </w:p>
        </w:tc>
        <w:tc>
          <w:tcPr>
            <w:tcW w:w="30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1.1.</w:t>
            </w:r>
          </w:p>
        </w:tc>
        <w:tc>
          <w:tcPr>
            <w:tcW w:w="942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1.2.</w:t>
            </w:r>
          </w:p>
        </w:tc>
        <w:tc>
          <w:tcPr>
            <w:tcW w:w="9420" w:type="dxa"/>
            <w:vAlign w:val="bottom"/>
          </w:tcPr>
          <w:p>
            <w:pPr>
              <w:ind w:left="160"/>
              <w:spacing w:after="0"/>
              <w:rPr>
                <w:sz w:val="20"/>
                <w:szCs w:val="20"/>
                <w:color w:val="auto"/>
              </w:rPr>
            </w:pPr>
            <w:r>
              <w:rPr>
                <w:rFonts w:ascii="Arial" w:cs="Arial" w:eastAsia="Arial" w:hAnsi="Arial"/>
                <w:sz w:val="18"/>
                <w:szCs w:val="18"/>
                <w:color w:val="auto"/>
              </w:rPr>
              <w:t>Rules of Construction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rPr>
              <w:t>ARTICLE II</w:t>
            </w:r>
          </w:p>
        </w:tc>
        <w:tc>
          <w:tcPr>
            <w:tcW w:w="300" w:type="dxa"/>
            <w:vAlign w:val="bottom"/>
          </w:tcPr>
          <w:p>
            <w:pPr>
              <w:spacing w:after="0"/>
              <w:rPr>
                <w:sz w:val="24"/>
                <w:szCs w:val="24"/>
                <w:color w:val="auto"/>
              </w:rPr>
            </w:pP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Determination of Realized Tax Benefit</w:t>
            </w:r>
          </w:p>
        </w:tc>
        <w:tc>
          <w:tcPr>
            <w:tcW w:w="30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2.1.</w:t>
            </w:r>
          </w:p>
        </w:tc>
        <w:tc>
          <w:tcPr>
            <w:tcW w:w="9420" w:type="dxa"/>
            <w:vAlign w:val="bottom"/>
          </w:tcPr>
          <w:p>
            <w:pPr>
              <w:ind w:left="160"/>
              <w:spacing w:after="0"/>
              <w:rPr>
                <w:sz w:val="20"/>
                <w:szCs w:val="20"/>
                <w:color w:val="auto"/>
              </w:rPr>
            </w:pPr>
            <w:r>
              <w:rPr>
                <w:rFonts w:ascii="Arial" w:cs="Arial" w:eastAsia="Arial" w:hAnsi="Arial"/>
                <w:sz w:val="18"/>
                <w:szCs w:val="18"/>
                <w:color w:val="auto"/>
              </w:rPr>
              <w:t>Basis Adjustments; GoHealth Holdings 754 Election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2.2.</w:t>
            </w:r>
          </w:p>
        </w:tc>
        <w:tc>
          <w:tcPr>
            <w:tcW w:w="9420" w:type="dxa"/>
            <w:vAlign w:val="bottom"/>
          </w:tcPr>
          <w:p>
            <w:pPr>
              <w:ind w:left="160"/>
              <w:spacing w:after="0"/>
              <w:rPr>
                <w:sz w:val="20"/>
                <w:szCs w:val="20"/>
                <w:color w:val="auto"/>
              </w:rPr>
            </w:pPr>
            <w:r>
              <w:rPr>
                <w:rFonts w:ascii="Arial" w:cs="Arial" w:eastAsia="Arial" w:hAnsi="Arial"/>
                <w:sz w:val="18"/>
                <w:szCs w:val="18"/>
                <w:color w:val="auto"/>
              </w:rPr>
              <w:t>Basis Schedules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2.3.</w:t>
            </w:r>
          </w:p>
        </w:tc>
        <w:tc>
          <w:tcPr>
            <w:tcW w:w="9420" w:type="dxa"/>
            <w:vAlign w:val="bottom"/>
          </w:tcPr>
          <w:p>
            <w:pPr>
              <w:ind w:left="160"/>
              <w:spacing w:after="0"/>
              <w:rPr>
                <w:sz w:val="20"/>
                <w:szCs w:val="20"/>
                <w:color w:val="auto"/>
              </w:rPr>
            </w:pPr>
            <w:r>
              <w:rPr>
                <w:rFonts w:ascii="Arial" w:cs="Arial" w:eastAsia="Arial" w:hAnsi="Arial"/>
                <w:sz w:val="18"/>
                <w:szCs w:val="18"/>
                <w:color w:val="auto"/>
              </w:rPr>
              <w:t>Tax Benefit Schedules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2.4.</w:t>
            </w:r>
          </w:p>
        </w:tc>
        <w:tc>
          <w:tcPr>
            <w:tcW w:w="9420" w:type="dxa"/>
            <w:vAlign w:val="bottom"/>
          </w:tcPr>
          <w:p>
            <w:pPr>
              <w:ind w:left="160"/>
              <w:spacing w:after="0"/>
              <w:rPr>
                <w:sz w:val="20"/>
                <w:szCs w:val="20"/>
                <w:color w:val="auto"/>
              </w:rPr>
            </w:pPr>
            <w:r>
              <w:rPr>
                <w:rFonts w:ascii="Arial" w:cs="Arial" w:eastAsia="Arial" w:hAnsi="Arial"/>
                <w:sz w:val="18"/>
                <w:szCs w:val="18"/>
                <w:color w:val="auto"/>
              </w:rPr>
              <w:t>Procedures; Amendments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rPr>
              <w:t>ARTICLE III</w:t>
            </w:r>
          </w:p>
        </w:tc>
        <w:tc>
          <w:tcPr>
            <w:tcW w:w="300" w:type="dxa"/>
            <w:vAlign w:val="bottom"/>
          </w:tcPr>
          <w:p>
            <w:pPr>
              <w:spacing w:after="0"/>
              <w:rPr>
                <w:sz w:val="24"/>
                <w:szCs w:val="24"/>
                <w:color w:val="auto"/>
              </w:rPr>
            </w:pP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w w:val="89"/>
              </w:rPr>
              <w:t>Tax Benefit Payments</w:t>
            </w:r>
          </w:p>
        </w:tc>
        <w:tc>
          <w:tcPr>
            <w:tcW w:w="30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3.1.</w:t>
            </w:r>
          </w:p>
        </w:tc>
        <w:tc>
          <w:tcPr>
            <w:tcW w:w="9420" w:type="dxa"/>
            <w:vAlign w:val="bottom"/>
          </w:tcPr>
          <w:p>
            <w:pPr>
              <w:ind w:left="160"/>
              <w:spacing w:after="0"/>
              <w:rPr>
                <w:sz w:val="20"/>
                <w:szCs w:val="20"/>
                <w:color w:val="auto"/>
              </w:rPr>
            </w:pPr>
            <w:r>
              <w:rPr>
                <w:rFonts w:ascii="Arial" w:cs="Arial" w:eastAsia="Arial" w:hAnsi="Arial"/>
                <w:sz w:val="18"/>
                <w:szCs w:val="18"/>
                <w:color w:val="auto"/>
              </w:rPr>
              <w:t>Timing and Amount of Tax Benefit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3.2.</w:t>
            </w:r>
          </w:p>
        </w:tc>
        <w:tc>
          <w:tcPr>
            <w:tcW w:w="9420" w:type="dxa"/>
            <w:vAlign w:val="bottom"/>
          </w:tcPr>
          <w:p>
            <w:pPr>
              <w:ind w:left="160"/>
              <w:spacing w:after="0"/>
              <w:rPr>
                <w:sz w:val="20"/>
                <w:szCs w:val="20"/>
                <w:color w:val="auto"/>
              </w:rPr>
            </w:pPr>
            <w:r>
              <w:rPr>
                <w:rFonts w:ascii="Arial" w:cs="Arial" w:eastAsia="Arial" w:hAnsi="Arial"/>
                <w:sz w:val="18"/>
                <w:szCs w:val="18"/>
                <w:color w:val="auto"/>
              </w:rPr>
              <w:t>No Duplicative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3.3.</w:t>
            </w:r>
          </w:p>
        </w:tc>
        <w:tc>
          <w:tcPr>
            <w:tcW w:w="9420" w:type="dxa"/>
            <w:vAlign w:val="bottom"/>
          </w:tcPr>
          <w:p>
            <w:pPr>
              <w:ind w:left="160"/>
              <w:spacing w:after="0"/>
              <w:rPr>
                <w:sz w:val="20"/>
                <w:szCs w:val="20"/>
                <w:color w:val="auto"/>
              </w:rPr>
            </w:pPr>
            <w:r>
              <w:rPr>
                <w:rFonts w:ascii="Arial" w:cs="Arial" w:eastAsia="Arial" w:hAnsi="Arial"/>
                <w:sz w:val="18"/>
                <w:szCs w:val="18"/>
                <w:color w:val="auto"/>
              </w:rPr>
              <w:t>Pro-Ration of Payments as Between the TRA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70"/>
              <w:spacing w:after="0"/>
              <w:rPr>
                <w:sz w:val="20"/>
                <w:szCs w:val="20"/>
                <w:color w:val="auto"/>
              </w:rPr>
            </w:pPr>
            <w:r>
              <w:rPr>
                <w:rFonts w:ascii="Arial" w:cs="Arial" w:eastAsia="Arial" w:hAnsi="Arial"/>
                <w:sz w:val="18"/>
                <w:szCs w:val="18"/>
                <w:b w:val="1"/>
                <w:bCs w:val="1"/>
                <w:color w:val="auto"/>
              </w:rPr>
              <w:t>ARTICLE IV</w:t>
            </w:r>
          </w:p>
        </w:tc>
        <w:tc>
          <w:tcPr>
            <w:tcW w:w="300" w:type="dxa"/>
            <w:vAlign w:val="bottom"/>
          </w:tcPr>
          <w:p>
            <w:pPr>
              <w:spacing w:after="0"/>
              <w:rPr>
                <w:sz w:val="24"/>
                <w:szCs w:val="24"/>
                <w:color w:val="auto"/>
              </w:rPr>
            </w:pP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w w:val="93"/>
              </w:rPr>
              <w:t>Termination</w:t>
            </w:r>
          </w:p>
        </w:tc>
        <w:tc>
          <w:tcPr>
            <w:tcW w:w="30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4.1.</w:t>
            </w:r>
          </w:p>
        </w:tc>
        <w:tc>
          <w:tcPr>
            <w:tcW w:w="9420" w:type="dxa"/>
            <w:vAlign w:val="bottom"/>
          </w:tcPr>
          <w:p>
            <w:pPr>
              <w:ind w:left="160"/>
              <w:spacing w:after="0"/>
              <w:rPr>
                <w:sz w:val="20"/>
                <w:szCs w:val="20"/>
                <w:color w:val="auto"/>
              </w:rPr>
            </w:pPr>
            <w:r>
              <w:rPr>
                <w:rFonts w:ascii="Arial" w:cs="Arial" w:eastAsia="Arial" w:hAnsi="Arial"/>
                <w:sz w:val="18"/>
                <w:szCs w:val="18"/>
                <w:color w:val="auto"/>
              </w:rPr>
              <w:t>Early Termination of Agreement; Acceleration Events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4.2.</w:t>
            </w:r>
          </w:p>
        </w:tc>
        <w:tc>
          <w:tcPr>
            <w:tcW w:w="9420" w:type="dxa"/>
            <w:vAlign w:val="bottom"/>
          </w:tcPr>
          <w:p>
            <w:pPr>
              <w:ind w:left="160"/>
              <w:spacing w:after="0"/>
              <w:rPr>
                <w:sz w:val="20"/>
                <w:szCs w:val="20"/>
                <w:color w:val="auto"/>
              </w:rPr>
            </w:pPr>
            <w:r>
              <w:rPr>
                <w:rFonts w:ascii="Arial" w:cs="Arial" w:eastAsia="Arial" w:hAnsi="Arial"/>
                <w:sz w:val="18"/>
                <w:szCs w:val="18"/>
                <w:color w:val="auto"/>
              </w:rPr>
              <w:t>Early Termination Notice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4.3.</w:t>
            </w:r>
          </w:p>
        </w:tc>
        <w:tc>
          <w:tcPr>
            <w:tcW w:w="9420" w:type="dxa"/>
            <w:vAlign w:val="bottom"/>
          </w:tcPr>
          <w:p>
            <w:pPr>
              <w:ind w:left="160"/>
              <w:spacing w:after="0"/>
              <w:rPr>
                <w:sz w:val="20"/>
                <w:szCs w:val="20"/>
                <w:color w:val="auto"/>
              </w:rPr>
            </w:pPr>
            <w:r>
              <w:rPr>
                <w:rFonts w:ascii="Arial" w:cs="Arial" w:eastAsia="Arial" w:hAnsi="Arial"/>
                <w:sz w:val="18"/>
                <w:szCs w:val="18"/>
                <w:color w:val="auto"/>
              </w:rPr>
              <w:t>Payment upon Early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rPr>
              <w:t>ARTICLE V</w:t>
            </w:r>
          </w:p>
        </w:tc>
        <w:tc>
          <w:tcPr>
            <w:tcW w:w="300" w:type="dxa"/>
            <w:vAlign w:val="bottom"/>
          </w:tcPr>
          <w:p>
            <w:pPr>
              <w:spacing w:after="0"/>
              <w:rPr>
                <w:sz w:val="24"/>
                <w:szCs w:val="24"/>
                <w:color w:val="auto"/>
              </w:rPr>
            </w:pP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w w:val="90"/>
              </w:rPr>
              <w:t>Subordination and Late Payments</w:t>
            </w:r>
          </w:p>
        </w:tc>
        <w:tc>
          <w:tcPr>
            <w:tcW w:w="30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5.1.</w:t>
            </w:r>
          </w:p>
        </w:tc>
        <w:tc>
          <w:tcPr>
            <w:tcW w:w="9420" w:type="dxa"/>
            <w:vAlign w:val="bottom"/>
          </w:tcPr>
          <w:p>
            <w:pPr>
              <w:ind w:left="160"/>
              <w:spacing w:after="0"/>
              <w:rPr>
                <w:sz w:val="20"/>
                <w:szCs w:val="20"/>
                <w:color w:val="auto"/>
              </w:rPr>
            </w:pPr>
            <w:r>
              <w:rPr>
                <w:rFonts w:ascii="Arial" w:cs="Arial" w:eastAsia="Arial" w:hAnsi="Arial"/>
                <w:sz w:val="18"/>
                <w:szCs w:val="18"/>
                <w:color w:val="auto"/>
              </w:rPr>
              <w:t>Subordination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5.2.</w:t>
            </w:r>
          </w:p>
        </w:tc>
        <w:tc>
          <w:tcPr>
            <w:tcW w:w="9420" w:type="dxa"/>
            <w:vAlign w:val="bottom"/>
          </w:tcPr>
          <w:p>
            <w:pPr>
              <w:ind w:left="160"/>
              <w:spacing w:after="0"/>
              <w:rPr>
                <w:sz w:val="20"/>
                <w:szCs w:val="20"/>
                <w:color w:val="auto"/>
              </w:rPr>
            </w:pPr>
            <w:r>
              <w:rPr>
                <w:rFonts w:ascii="Arial" w:cs="Arial" w:eastAsia="Arial" w:hAnsi="Arial"/>
                <w:sz w:val="18"/>
                <w:szCs w:val="18"/>
                <w:color w:val="auto"/>
              </w:rPr>
              <w:t>Late Payments by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70"/>
              <w:spacing w:after="0"/>
              <w:rPr>
                <w:sz w:val="20"/>
                <w:szCs w:val="20"/>
                <w:color w:val="auto"/>
              </w:rPr>
            </w:pPr>
            <w:r>
              <w:rPr>
                <w:rFonts w:ascii="Arial" w:cs="Arial" w:eastAsia="Arial" w:hAnsi="Arial"/>
                <w:sz w:val="18"/>
                <w:szCs w:val="18"/>
                <w:b w:val="1"/>
                <w:bCs w:val="1"/>
                <w:color w:val="auto"/>
              </w:rPr>
              <w:t>ARTICLE VI</w:t>
            </w:r>
          </w:p>
        </w:tc>
        <w:tc>
          <w:tcPr>
            <w:tcW w:w="300" w:type="dxa"/>
            <w:vAlign w:val="bottom"/>
          </w:tcPr>
          <w:p>
            <w:pPr>
              <w:spacing w:after="0"/>
              <w:rPr>
                <w:sz w:val="24"/>
                <w:szCs w:val="24"/>
                <w:color w:val="auto"/>
              </w:rPr>
            </w:pPr>
          </w:p>
        </w:tc>
      </w:tr>
      <w:tr>
        <w:trPr>
          <w:trHeight w:val="324"/>
        </w:trPr>
        <w:tc>
          <w:tcPr>
            <w:tcW w:w="1240" w:type="dxa"/>
            <w:vAlign w:val="bottom"/>
          </w:tcPr>
          <w:p>
            <w:pPr>
              <w:spacing w:after="0"/>
              <w:rPr>
                <w:sz w:val="24"/>
                <w:szCs w:val="24"/>
                <w:color w:val="auto"/>
              </w:rPr>
            </w:pPr>
          </w:p>
        </w:tc>
        <w:tc>
          <w:tcPr>
            <w:tcW w:w="9420" w:type="dxa"/>
            <w:vAlign w:val="bottom"/>
          </w:tcPr>
          <w:p>
            <w:pPr>
              <w:jc w:val="center"/>
              <w:ind w:right="850"/>
              <w:spacing w:after="0"/>
              <w:rPr>
                <w:sz w:val="20"/>
                <w:szCs w:val="20"/>
                <w:color w:val="auto"/>
              </w:rPr>
            </w:pPr>
            <w:r>
              <w:rPr>
                <w:rFonts w:ascii="Arial" w:cs="Arial" w:eastAsia="Arial" w:hAnsi="Arial"/>
                <w:sz w:val="18"/>
                <w:szCs w:val="18"/>
                <w:b w:val="1"/>
                <w:bCs w:val="1"/>
                <w:color w:val="auto"/>
                <w:w w:val="90"/>
              </w:rPr>
              <w:t>Tax Matters; Consistency; Cooperation</w:t>
            </w:r>
          </w:p>
        </w:tc>
        <w:tc>
          <w:tcPr>
            <w:tcW w:w="300" w:type="dxa"/>
            <w:vAlign w:val="bottom"/>
          </w:tcPr>
          <w:p>
            <w:pPr>
              <w:spacing w:after="0"/>
              <w:rPr>
                <w:sz w:val="24"/>
                <w:szCs w:val="24"/>
                <w:color w:val="auto"/>
              </w:rPr>
            </w:pP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6.1.</w:t>
            </w:r>
          </w:p>
        </w:tc>
        <w:tc>
          <w:tcPr>
            <w:tcW w:w="9420" w:type="dxa"/>
            <w:vAlign w:val="bottom"/>
          </w:tcPr>
          <w:p>
            <w:pPr>
              <w:ind w:left="160"/>
              <w:spacing w:after="0"/>
              <w:rPr>
                <w:sz w:val="20"/>
                <w:szCs w:val="20"/>
                <w:color w:val="auto"/>
              </w:rPr>
            </w:pPr>
            <w:r>
              <w:rPr>
                <w:rFonts w:ascii="Arial" w:cs="Arial" w:eastAsia="Arial" w:hAnsi="Arial"/>
                <w:sz w:val="18"/>
                <w:szCs w:val="18"/>
                <w:color w:val="auto"/>
              </w:rPr>
              <w:t>Participation in the Corporation’s and GoHealth Holdings’ Tax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1240" w:type="dxa"/>
            <w:vAlign w:val="bottom"/>
          </w:tcPr>
          <w:p>
            <w:pPr>
              <w:spacing w:after="0"/>
              <w:rPr>
                <w:sz w:val="24"/>
                <w:szCs w:val="24"/>
                <w:color w:val="auto"/>
              </w:rPr>
            </w:pPr>
          </w:p>
        </w:tc>
        <w:tc>
          <w:tcPr>
            <w:tcW w:w="9420" w:type="dxa"/>
            <w:vAlign w:val="bottom"/>
          </w:tcPr>
          <w:p>
            <w:pPr>
              <w:jc w:val="center"/>
              <w:ind w:right="810"/>
              <w:spacing w:after="0"/>
              <w:rPr>
                <w:sz w:val="20"/>
                <w:szCs w:val="20"/>
                <w:color w:val="auto"/>
              </w:rPr>
            </w:pPr>
            <w:r>
              <w:rPr>
                <w:rFonts w:ascii="Arial" w:cs="Arial" w:eastAsia="Arial" w:hAnsi="Arial"/>
                <w:sz w:val="18"/>
                <w:szCs w:val="18"/>
                <w:color w:val="auto"/>
                <w:w w:val="98"/>
              </w:rPr>
              <w:t>i</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6.2.</w:t>
            </w:r>
          </w:p>
        </w:tc>
        <w:tc>
          <w:tcPr>
            <w:tcW w:w="8000" w:type="dxa"/>
            <w:vAlign w:val="bottom"/>
          </w:tcPr>
          <w:p>
            <w:pPr>
              <w:ind w:left="160"/>
              <w:spacing w:after="0"/>
              <w:rPr>
                <w:sz w:val="20"/>
                <w:szCs w:val="20"/>
                <w:color w:val="auto"/>
              </w:rPr>
            </w:pPr>
            <w:r>
              <w:rPr>
                <w:rFonts w:ascii="Arial" w:cs="Arial" w:eastAsia="Arial" w:hAnsi="Arial"/>
                <w:sz w:val="18"/>
                <w:szCs w:val="18"/>
                <w:color w:val="auto"/>
              </w:rPr>
              <w:t>Consistency</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6.3.</w:t>
            </w:r>
          </w:p>
        </w:tc>
        <w:tc>
          <w:tcPr>
            <w:tcW w:w="8000" w:type="dxa"/>
            <w:vAlign w:val="bottom"/>
          </w:tcPr>
          <w:p>
            <w:pPr>
              <w:ind w:left="160"/>
              <w:spacing w:after="0"/>
              <w:rPr>
                <w:sz w:val="20"/>
                <w:szCs w:val="20"/>
                <w:color w:val="auto"/>
              </w:rPr>
            </w:pPr>
            <w:r>
              <w:rPr>
                <w:rFonts w:ascii="Arial" w:cs="Arial" w:eastAsia="Arial" w:hAnsi="Arial"/>
                <w:sz w:val="18"/>
                <w:szCs w:val="18"/>
                <w:color w:val="auto"/>
              </w:rPr>
              <w:t>Cooperation</w:t>
            </w:r>
          </w:p>
        </w:tc>
        <w:tc>
          <w:tcPr>
            <w:tcW w:w="1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340" w:type="dxa"/>
            <w:vAlign w:val="bottom"/>
          </w:tcPr>
          <w:p>
            <w:pPr>
              <w:spacing w:after="0"/>
              <w:rPr>
                <w:sz w:val="24"/>
                <w:szCs w:val="24"/>
                <w:color w:val="auto"/>
              </w:rPr>
            </w:pPr>
          </w:p>
        </w:tc>
        <w:tc>
          <w:tcPr>
            <w:tcW w:w="8000" w:type="dxa"/>
            <w:vAlign w:val="bottom"/>
          </w:tcPr>
          <w:p>
            <w:pPr>
              <w:ind w:left="3580"/>
              <w:spacing w:after="0"/>
              <w:rPr>
                <w:sz w:val="20"/>
                <w:szCs w:val="20"/>
                <w:color w:val="auto"/>
              </w:rPr>
            </w:pPr>
            <w:r>
              <w:rPr>
                <w:rFonts w:ascii="Arial" w:cs="Arial" w:eastAsia="Arial" w:hAnsi="Arial"/>
                <w:sz w:val="18"/>
                <w:szCs w:val="18"/>
                <w:b w:val="1"/>
                <w:bCs w:val="1"/>
                <w:color w:val="auto"/>
              </w:rPr>
              <w:t>ARTICLE VII</w:t>
            </w:r>
          </w:p>
        </w:tc>
        <w:tc>
          <w:tcPr>
            <w:tcW w:w="16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8000" w:type="dxa"/>
            <w:vAlign w:val="bottom"/>
          </w:tcPr>
          <w:p>
            <w:pPr>
              <w:ind w:left="3600"/>
              <w:spacing w:after="0"/>
              <w:rPr>
                <w:sz w:val="20"/>
                <w:szCs w:val="20"/>
                <w:color w:val="auto"/>
              </w:rPr>
            </w:pPr>
            <w:r>
              <w:rPr>
                <w:rFonts w:ascii="Arial" w:cs="Arial" w:eastAsia="Arial" w:hAnsi="Arial"/>
                <w:sz w:val="18"/>
                <w:szCs w:val="18"/>
                <w:b w:val="1"/>
                <w:bCs w:val="1"/>
                <w:color w:val="auto"/>
              </w:rPr>
              <w:t>Miscellaneous</w:t>
            </w:r>
          </w:p>
        </w:tc>
        <w:tc>
          <w:tcPr>
            <w:tcW w:w="16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7.1.</w:t>
            </w:r>
          </w:p>
        </w:tc>
        <w:tc>
          <w:tcPr>
            <w:tcW w:w="8000" w:type="dxa"/>
            <w:vAlign w:val="bottom"/>
          </w:tcPr>
          <w:p>
            <w:pPr>
              <w:ind w:left="160"/>
              <w:spacing w:after="0"/>
              <w:rPr>
                <w:sz w:val="20"/>
                <w:szCs w:val="20"/>
                <w:color w:val="auto"/>
              </w:rPr>
            </w:pPr>
            <w:r>
              <w:rPr>
                <w:rFonts w:ascii="Arial" w:cs="Arial" w:eastAsia="Arial" w:hAnsi="Arial"/>
                <w:sz w:val="18"/>
                <w:szCs w:val="18"/>
                <w:color w:val="auto"/>
              </w:rPr>
              <w:t>Notices</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7.2.</w:t>
            </w:r>
          </w:p>
        </w:tc>
        <w:tc>
          <w:tcPr>
            <w:tcW w:w="800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7.3.</w:t>
            </w:r>
          </w:p>
        </w:tc>
        <w:tc>
          <w:tcPr>
            <w:tcW w:w="8000" w:type="dxa"/>
            <w:vAlign w:val="bottom"/>
          </w:tcPr>
          <w:p>
            <w:pPr>
              <w:ind w:left="160"/>
              <w:spacing w:after="0"/>
              <w:rPr>
                <w:sz w:val="20"/>
                <w:szCs w:val="20"/>
                <w:color w:val="auto"/>
              </w:rPr>
            </w:pPr>
            <w:r>
              <w:rPr>
                <w:rFonts w:ascii="Arial" w:cs="Arial" w:eastAsia="Arial" w:hAnsi="Arial"/>
                <w:sz w:val="18"/>
                <w:szCs w:val="18"/>
                <w:color w:val="auto"/>
              </w:rPr>
              <w:t>Entire Agreement; No Third-Party Beneficiaries</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7.4.</w:t>
            </w:r>
          </w:p>
        </w:tc>
        <w:tc>
          <w:tcPr>
            <w:tcW w:w="80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7.5.</w:t>
            </w:r>
          </w:p>
        </w:tc>
        <w:tc>
          <w:tcPr>
            <w:tcW w:w="8000" w:type="dxa"/>
            <w:vAlign w:val="bottom"/>
          </w:tcPr>
          <w:p>
            <w:pPr>
              <w:ind w:left="160"/>
              <w:spacing w:after="0"/>
              <w:rPr>
                <w:sz w:val="20"/>
                <w:szCs w:val="20"/>
                <w:color w:val="auto"/>
              </w:rPr>
            </w:pPr>
            <w:r>
              <w:rPr>
                <w:rFonts w:ascii="Arial" w:cs="Arial" w:eastAsia="Arial" w:hAnsi="Arial"/>
                <w:sz w:val="18"/>
                <w:szCs w:val="18"/>
                <w:color w:val="auto"/>
              </w:rPr>
              <w:t>Assignments; Amendments; Successors; No Waiver</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7.6.</w:t>
            </w:r>
          </w:p>
        </w:tc>
        <w:tc>
          <w:tcPr>
            <w:tcW w:w="8000" w:type="dxa"/>
            <w:vAlign w:val="bottom"/>
          </w:tcPr>
          <w:p>
            <w:pPr>
              <w:ind w:left="160"/>
              <w:spacing w:after="0"/>
              <w:rPr>
                <w:sz w:val="20"/>
                <w:szCs w:val="20"/>
                <w:color w:val="auto"/>
              </w:rPr>
            </w:pPr>
            <w:r>
              <w:rPr>
                <w:rFonts w:ascii="Arial" w:cs="Arial" w:eastAsia="Arial" w:hAnsi="Arial"/>
                <w:sz w:val="18"/>
                <w:szCs w:val="18"/>
                <w:color w:val="auto"/>
              </w:rPr>
              <w:t>Titles and Subtitles</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7.7.</w:t>
            </w:r>
          </w:p>
        </w:tc>
        <w:tc>
          <w:tcPr>
            <w:tcW w:w="8000" w:type="dxa"/>
            <w:vAlign w:val="bottom"/>
          </w:tcPr>
          <w:p>
            <w:pPr>
              <w:ind w:left="160"/>
              <w:spacing w:after="0"/>
              <w:rPr>
                <w:sz w:val="20"/>
                <w:szCs w:val="20"/>
                <w:color w:val="auto"/>
              </w:rPr>
            </w:pPr>
            <w:r>
              <w:rPr>
                <w:rFonts w:ascii="Arial" w:cs="Arial" w:eastAsia="Arial" w:hAnsi="Arial"/>
                <w:sz w:val="18"/>
                <w:szCs w:val="18"/>
                <w:color w:val="auto"/>
              </w:rPr>
              <w:t>Resolution of Disputes; Governing Law</w:t>
            </w: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7.8.</w:t>
            </w:r>
          </w:p>
        </w:tc>
        <w:tc>
          <w:tcPr>
            <w:tcW w:w="8000" w:type="dxa"/>
            <w:vAlign w:val="bottom"/>
          </w:tcPr>
          <w:p>
            <w:pPr>
              <w:ind w:left="160"/>
              <w:spacing w:after="0"/>
              <w:rPr>
                <w:sz w:val="20"/>
                <w:szCs w:val="20"/>
                <w:color w:val="auto"/>
              </w:rPr>
            </w:pPr>
            <w:r>
              <w:rPr>
                <w:rFonts w:ascii="Arial" w:cs="Arial" w:eastAsia="Arial" w:hAnsi="Arial"/>
                <w:sz w:val="18"/>
                <w:szCs w:val="18"/>
                <w:color w:val="auto"/>
              </w:rPr>
              <w:t>Reconciliation Procedures</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7.9.</w:t>
            </w:r>
          </w:p>
        </w:tc>
        <w:tc>
          <w:tcPr>
            <w:tcW w:w="800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7.10.</w:t>
            </w:r>
          </w:p>
        </w:tc>
        <w:tc>
          <w:tcPr>
            <w:tcW w:w="8000" w:type="dxa"/>
            <w:vAlign w:val="bottom"/>
          </w:tcPr>
          <w:p>
            <w:pPr>
              <w:ind w:left="160"/>
              <w:spacing w:after="0"/>
              <w:rPr>
                <w:sz w:val="20"/>
                <w:szCs w:val="20"/>
                <w:color w:val="auto"/>
              </w:rPr>
            </w:pPr>
            <w:r>
              <w:rPr>
                <w:rFonts w:ascii="Arial" w:cs="Arial" w:eastAsia="Arial" w:hAnsi="Arial"/>
                <w:sz w:val="18"/>
                <w:szCs w:val="18"/>
                <w:color w:val="auto"/>
              </w:rPr>
              <w:t>Admission of the Corporation into a Consolidated Group; Transfers of Corporate Assets.</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7.11.</w:t>
            </w:r>
          </w:p>
        </w:tc>
        <w:tc>
          <w:tcPr>
            <w:tcW w:w="80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7.12.</w:t>
            </w:r>
          </w:p>
        </w:tc>
        <w:tc>
          <w:tcPr>
            <w:tcW w:w="8000" w:type="dxa"/>
            <w:vAlign w:val="bottom"/>
          </w:tcPr>
          <w:p>
            <w:pPr>
              <w:ind w:left="160"/>
              <w:spacing w:after="0"/>
              <w:rPr>
                <w:sz w:val="20"/>
                <w:szCs w:val="20"/>
                <w:color w:val="auto"/>
              </w:rPr>
            </w:pPr>
            <w:r>
              <w:rPr>
                <w:rFonts w:ascii="Arial" w:cs="Arial" w:eastAsia="Arial" w:hAnsi="Arial"/>
                <w:sz w:val="18"/>
                <w:szCs w:val="18"/>
                <w:color w:val="auto"/>
              </w:rPr>
              <w:t>Change in Law</w:t>
            </w:r>
          </w:p>
        </w:tc>
        <w:tc>
          <w:tcPr>
            <w:tcW w:w="1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7.13.</w:t>
            </w:r>
          </w:p>
        </w:tc>
        <w:tc>
          <w:tcPr>
            <w:tcW w:w="8000" w:type="dxa"/>
            <w:vAlign w:val="bottom"/>
          </w:tcPr>
          <w:p>
            <w:pPr>
              <w:ind w:left="160"/>
              <w:spacing w:after="0"/>
              <w:rPr>
                <w:sz w:val="20"/>
                <w:szCs w:val="20"/>
                <w:color w:val="auto"/>
              </w:rPr>
            </w:pPr>
            <w:r>
              <w:rPr>
                <w:rFonts w:ascii="Arial" w:cs="Arial" w:eastAsia="Arial" w:hAnsi="Arial"/>
                <w:sz w:val="18"/>
                <w:szCs w:val="18"/>
                <w:color w:val="auto"/>
              </w:rPr>
              <w:t>Interest Rate Limitation</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7.14.</w:t>
            </w:r>
          </w:p>
        </w:tc>
        <w:tc>
          <w:tcPr>
            <w:tcW w:w="8000" w:type="dxa"/>
            <w:vAlign w:val="bottom"/>
          </w:tcPr>
          <w:p>
            <w:pPr>
              <w:ind w:left="160"/>
              <w:spacing w:after="0"/>
              <w:rPr>
                <w:sz w:val="20"/>
                <w:szCs w:val="20"/>
                <w:color w:val="auto"/>
              </w:rPr>
            </w:pPr>
            <w:r>
              <w:rPr>
                <w:rFonts w:ascii="Arial" w:cs="Arial" w:eastAsia="Arial" w:hAnsi="Arial"/>
                <w:sz w:val="18"/>
                <w:szCs w:val="18"/>
                <w:color w:val="auto"/>
              </w:rPr>
              <w:t>Independent Nature of Rights and Obligations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 Form of Joinder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RECEIVABLE AGREEMENT</w:t>
      </w:r>
    </w:p>
    <w:p>
      <w:pPr>
        <w:spacing w:after="0" w:line="229"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This TAX RECEIVABLE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15, 2020, is hereby entered into by and among GoHealth,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GoHealth Holdings, LLC, a Delaware limited liability company (“</w:t>
      </w:r>
      <w:r>
        <w:rPr>
          <w:rFonts w:ascii="Arial" w:cs="Arial" w:eastAsia="Arial" w:hAnsi="Arial"/>
          <w:sz w:val="18"/>
          <w:szCs w:val="18"/>
          <w:u w:val="single" w:color="auto"/>
          <w:color w:val="auto"/>
        </w:rPr>
        <w:t>GoHealth Holdings</w:t>
      </w:r>
      <w:r>
        <w:rPr>
          <w:rFonts w:ascii="Arial" w:cs="Arial" w:eastAsia="Arial" w:hAnsi="Arial"/>
          <w:sz w:val="18"/>
          <w:szCs w:val="18"/>
          <w:color w:val="auto"/>
        </w:rPr>
        <w:t>”), CB Blizzard Co-Invest Holdings, L.P., a Delaware limited partnership (“</w:t>
      </w:r>
      <w:r>
        <w:rPr>
          <w:rFonts w:ascii="Arial" w:cs="Arial" w:eastAsia="Arial" w:hAnsi="Arial"/>
          <w:sz w:val="18"/>
          <w:szCs w:val="18"/>
          <w:u w:val="single" w:color="auto"/>
          <w:color w:val="auto"/>
        </w:rPr>
        <w:t>CB Blizzard</w:t>
      </w:r>
      <w:r>
        <w:rPr>
          <w:rFonts w:ascii="Arial" w:cs="Arial" w:eastAsia="Arial" w:hAnsi="Arial"/>
          <w:sz w:val="18"/>
          <w:szCs w:val="18"/>
          <w:color w:val="auto"/>
        </w:rPr>
        <w:t>”), CCP III AIV VII Holdings, L.P., a Delaware limited partnership (“</w:t>
      </w:r>
      <w:r>
        <w:rPr>
          <w:rFonts w:ascii="Arial" w:cs="Arial" w:eastAsia="Arial" w:hAnsi="Arial"/>
          <w:sz w:val="18"/>
          <w:szCs w:val="18"/>
          <w:u w:val="single" w:color="auto"/>
          <w:color w:val="auto"/>
        </w:rPr>
        <w:t>CCP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AIV</w:t>
      </w:r>
      <w:r>
        <w:rPr>
          <w:rFonts w:ascii="Arial" w:cs="Arial" w:eastAsia="Arial" w:hAnsi="Arial"/>
          <w:sz w:val="18"/>
          <w:szCs w:val="18"/>
          <w:color w:val="auto"/>
        </w:rPr>
        <w:t>”, and together with CB Blizzard, the “</w:t>
      </w:r>
      <w:r>
        <w:rPr>
          <w:rFonts w:ascii="Arial" w:cs="Arial" w:eastAsia="Arial" w:hAnsi="Arial"/>
          <w:sz w:val="18"/>
          <w:szCs w:val="18"/>
          <w:u w:val="single" w:color="auto"/>
          <w:color w:val="auto"/>
        </w:rPr>
        <w:t>Blocker Shareholders</w:t>
      </w:r>
      <w:r>
        <w:rPr>
          <w:rFonts w:ascii="Arial" w:cs="Arial" w:eastAsia="Arial" w:hAnsi="Arial"/>
          <w:sz w:val="18"/>
          <w:szCs w:val="18"/>
          <w:color w:val="auto"/>
        </w:rPr>
        <w:t>”) and each of the Members (as defined herein) from time to time party hereto (collectively with the Blocker Shareholders, the “</w:t>
      </w:r>
      <w:r>
        <w:rPr>
          <w:rFonts w:ascii="Arial" w:cs="Arial" w:eastAsia="Arial" w:hAnsi="Arial"/>
          <w:sz w:val="18"/>
          <w:szCs w:val="18"/>
          <w:u w:val="single" w:color="auto"/>
          <w:color w:val="auto"/>
        </w:rPr>
        <w:t>TRA Holders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GoHealth Holdings is treated as a partnership for U.S. Federal income tax purposes;</w:t>
      </w:r>
    </w:p>
    <w:p>
      <w:pPr>
        <w:spacing w:after="0" w:line="225"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WHEREAS, immediately prior to the consummation of the IPO and the Blocker Mergers (as defined herein), GoHealth Holdings entered into the Operating Agreement (as defined herein) wherein GoHealth Holdings recapitalized all existing ownership interests in GoHealth Holdings into membership interests in the form of Units (as defined herein) (the “</w:t>
      </w:r>
      <w:r>
        <w:rPr>
          <w:rFonts w:ascii="Arial" w:cs="Arial" w:eastAsia="Arial" w:hAnsi="Arial"/>
          <w:sz w:val="18"/>
          <w:szCs w:val="18"/>
          <w:u w:val="single" w:color="auto"/>
          <w:color w:val="auto"/>
        </w:rPr>
        <w:t>Recapitalization</w:t>
      </w:r>
      <w:r>
        <w:rPr>
          <w:rFonts w:ascii="Arial" w:cs="Arial" w:eastAsia="Arial" w:hAnsi="Arial"/>
          <w:sz w:val="18"/>
          <w:szCs w:val="18"/>
          <w:color w:val="auto"/>
        </w:rPr>
        <w:t>”);</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each of the members of GoHealth Holdings as of the date hereof (such members (other than the Corporation), together with each other Person who becomes party hereto by satisfying the Joinder Requirement, the “</w:t>
      </w:r>
      <w:r>
        <w:rPr>
          <w:rFonts w:ascii="Arial" w:cs="Arial" w:eastAsia="Arial" w:hAnsi="Arial"/>
          <w:sz w:val="18"/>
          <w:szCs w:val="18"/>
          <w:u w:val="single" w:color="auto"/>
          <w:color w:val="auto"/>
        </w:rPr>
        <w:t>Members</w:t>
      </w:r>
      <w:r>
        <w:rPr>
          <w:rFonts w:ascii="Arial" w:cs="Arial" w:eastAsia="Arial" w:hAnsi="Arial"/>
          <w:sz w:val="18"/>
          <w:szCs w:val="18"/>
          <w:color w:val="auto"/>
        </w:rPr>
        <w:t>”) own Units;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Corporation is the managing member of GoHealth Holdings;</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WHEREAS, CCP III Blizzard Feeder, LLC, a Delaware limited liability company (the “</w:t>
      </w:r>
      <w:r>
        <w:rPr>
          <w:rFonts w:ascii="Arial" w:cs="Arial" w:eastAsia="Arial" w:hAnsi="Arial"/>
          <w:sz w:val="18"/>
          <w:szCs w:val="18"/>
          <w:u w:val="single" w:color="auto"/>
          <w:color w:val="auto"/>
        </w:rPr>
        <w:t>Blocker Corporation</w:t>
      </w:r>
      <w:r>
        <w:rPr>
          <w:rFonts w:ascii="Arial" w:cs="Arial" w:eastAsia="Arial" w:hAnsi="Arial"/>
          <w:sz w:val="18"/>
          <w:szCs w:val="18"/>
          <w:color w:val="auto"/>
        </w:rPr>
        <w:t>”), is treated as an association taxable as a corporation for U.S. Federal income tax purposes and immediately prior to the consummation of the IPO (as defined herein) all of the equity interests of Blocker Corporation were owned by the Blocker Shareholders;</w:t>
      </w:r>
    </w:p>
    <w:p>
      <w:pPr>
        <w:spacing w:after="0" w:line="184"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WHEREAS, immediately prior to the consummation of the IPO and following the Recapitalization, the Blocker Corporation purchased, pursuant to certain Purchase and Sale Agreements dated on or about the date hereof, by and among the Blocker Corporation, Blizzard Aggregator, LLC and the Sellers (as such term is defined in such Purchase and Sale Agreements) party thereto, certain rights to payments and distributions in respect of GoHealth Holdings from the Sellers in exchange for certain contingent promissory notes (the “</w:t>
      </w:r>
      <w:r>
        <w:rPr>
          <w:rFonts w:ascii="Arial" w:cs="Arial" w:eastAsia="Arial" w:hAnsi="Arial"/>
          <w:sz w:val="16"/>
          <w:szCs w:val="16"/>
          <w:u w:val="single" w:color="auto"/>
          <w:color w:val="auto"/>
        </w:rPr>
        <w:t>Contingent Notes</w:t>
      </w:r>
      <w:r>
        <w:rPr>
          <w:rFonts w:ascii="Arial" w:cs="Arial" w:eastAsia="Arial" w:hAnsi="Arial"/>
          <w:sz w:val="16"/>
          <w:szCs w:val="16"/>
          <w:color w:val="auto"/>
        </w:rPr>
        <w:t>”) in favor of each such Seller;</w:t>
      </w:r>
    </w:p>
    <w:p>
      <w:pPr>
        <w:spacing w:after="0" w:line="157"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WHEREAS, pursuant to the Agreement and Plan of Merger dated on or about the date hereof, by and among the Corporation, the Blocker Corporation, GoHealth Merger Sub, Inc., a Delaware corporation and a wholly-owned subsidiary of the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the Blocker Shareholders, (i) Merger Sub merged with and into the Blocker Corporation with the Blocker Corporation as the surviving entity (the “</w:t>
      </w:r>
      <w:r>
        <w:rPr>
          <w:rFonts w:ascii="Arial" w:cs="Arial" w:eastAsia="Arial" w:hAnsi="Arial"/>
          <w:sz w:val="17"/>
          <w:szCs w:val="17"/>
          <w:u w:val="single" w:color="auto"/>
          <w:color w:val="auto"/>
        </w:rPr>
        <w:t>First Merger</w:t>
      </w:r>
      <w:r>
        <w:rPr>
          <w:rFonts w:ascii="Arial" w:cs="Arial" w:eastAsia="Arial" w:hAnsi="Arial"/>
          <w:sz w:val="17"/>
          <w:szCs w:val="17"/>
          <w:color w:val="auto"/>
        </w:rPr>
        <w:t>”), (ii) in connection with the First Merger, the Blocker Shareholders’ interests in the Blocker</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were automatically converted into a right to receive shares of the Corporation’s Class A common stock, par value $0.001 per share (the</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cash to be paid immediately after the consummation of the IPO and (iii) immediately after the First Merger, the Blocker Corporation merged with and into the Corporation with the Corporation as the surviving entity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u w:val="single" w:color="auto"/>
          <w:color w:val="auto"/>
        </w:rPr>
        <w:t>Blocker Mergers</w:t>
      </w:r>
      <w:r>
        <w:rPr>
          <w:rFonts w:ascii="Arial" w:cs="Arial" w:eastAsia="Arial" w:hAnsi="Arial"/>
          <w:sz w:val="18"/>
          <w:szCs w:val="18"/>
          <w:color w:val="auto"/>
        </w:rPr>
        <w:t>”);</w:t>
      </w:r>
    </w:p>
    <w:p>
      <w:pPr>
        <w:spacing w:after="0" w:line="190"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WHEREAS, on the date hereof, the Corporation issued shares of its Class A Common Stock in an initial public offering of its Class A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WHEREAS, immediately following the consummation of the IPO, the Corporation acquired newly issued Units from GoHealth Holdings using the net proceeds from the IPO (the “</w:t>
      </w:r>
      <w:r>
        <w:rPr>
          <w:rFonts w:ascii="Arial" w:cs="Arial" w:eastAsia="Arial" w:hAnsi="Arial"/>
          <w:sz w:val="18"/>
          <w:szCs w:val="18"/>
          <w:u w:val="single" w:color="auto"/>
          <w:color w:val="auto"/>
        </w:rPr>
        <w:t>Unit Purchase</w:t>
      </w:r>
      <w:r>
        <w:rPr>
          <w:rFonts w:ascii="Arial" w:cs="Arial" w:eastAsia="Arial" w:hAnsi="Arial"/>
          <w:sz w:val="18"/>
          <w:szCs w:val="18"/>
          <w:color w:val="auto"/>
        </w:rPr>
        <w:t>”);</w:t>
      </w:r>
    </w:p>
    <w:p>
      <w:pPr>
        <w:spacing w:after="0" w:line="170"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WHEREAS, immediately following the consummation of the Unit Purchase, GoHealth Holdings used a portion of the net proceeds from the IPO received in connection with the Unit Purchase to redeem certain of the Units held by the Members (the “</w:t>
      </w:r>
      <w:r>
        <w:rPr>
          <w:rFonts w:ascii="Arial" w:cs="Arial" w:eastAsia="Arial" w:hAnsi="Arial"/>
          <w:sz w:val="17"/>
          <w:szCs w:val="17"/>
          <w:u w:val="single" w:color="auto"/>
          <w:color w:val="auto"/>
        </w:rPr>
        <w:t>IPO Unit Redemption</w:t>
      </w:r>
      <w:r>
        <w:rPr>
          <w:rFonts w:ascii="Arial" w:cs="Arial" w:eastAsia="Arial" w:hAnsi="Arial"/>
          <w:sz w:val="17"/>
          <w:szCs w:val="17"/>
          <w:color w:val="auto"/>
        </w:rPr>
        <w:t>”);</w:t>
      </w:r>
    </w:p>
    <w:p>
      <w:pPr>
        <w:spacing w:after="0" w:line="146"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WHEREAS, as a result of the Blocker Mergers, the Corporation will obtain the benefit of the Blocker Transferred Basis (as defined herein) with respect to its share of the Reference Assets (as defined herein) relating to the Units acquired by the Corporation in connection with the Blocker Mergers (the “</w:t>
      </w:r>
      <w:r>
        <w:rPr>
          <w:rFonts w:ascii="Arial" w:cs="Arial" w:eastAsia="Arial" w:hAnsi="Arial"/>
          <w:sz w:val="18"/>
          <w:szCs w:val="18"/>
          <w:u w:val="single" w:color="auto"/>
          <w:color w:val="auto"/>
        </w:rPr>
        <w:t>Blocker Acquired Units</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WHEREAS, as a result of the IPO, the Corporation will obtain the benefit of the Existing Basis (as defined herein) with respect to its share of the Reference Assets relating to the Units acquired in the Unit Purchase;</w:t>
      </w:r>
    </w:p>
    <w:p>
      <w:pPr>
        <w:spacing w:after="0" w:line="170"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WHEREAS, the Operating Agreement (as defined herein) provides each Member a redemption right pursuant to which each Member may cause GoHealth Holdings to redeem all or a portion of its Units from time to time for shares of Class A Common Stock or, at the Corporation’s option, cash (a “</w:t>
      </w:r>
      <w:r>
        <w:rPr>
          <w:rFonts w:ascii="Arial" w:cs="Arial" w:eastAsia="Arial" w:hAnsi="Arial"/>
          <w:sz w:val="16"/>
          <w:szCs w:val="16"/>
          <w:u w:val="single" w:color="auto"/>
          <w:color w:val="auto"/>
        </w:rPr>
        <w:t>Redemption</w:t>
      </w:r>
      <w:r>
        <w:rPr>
          <w:rFonts w:ascii="Arial" w:cs="Arial" w:eastAsia="Arial" w:hAnsi="Arial"/>
          <w:sz w:val="16"/>
          <w:szCs w:val="16"/>
          <w:color w:val="auto"/>
        </w:rPr>
        <w:t>”), subject to the Corporation’s right, in its sole discretion, to elect to effect a direct exchange of cash or shares of Class A Common Stock for such Units between the Corporation and the applicable Member in lieu of such a Redemption (a “</w:t>
      </w:r>
      <w:r>
        <w:rPr>
          <w:rFonts w:ascii="Arial" w:cs="Arial" w:eastAsia="Arial" w:hAnsi="Arial"/>
          <w:sz w:val="16"/>
          <w:szCs w:val="16"/>
          <w:u w:val="single" w:color="auto"/>
          <w:color w:val="auto"/>
        </w:rPr>
        <w:t>Direct Exchange</w:t>
      </w:r>
      <w:r>
        <w:rPr>
          <w:rFonts w:ascii="Arial" w:cs="Arial" w:eastAsia="Arial" w:hAnsi="Arial"/>
          <w:sz w:val="16"/>
          <w:szCs w:val="16"/>
          <w:color w:val="auto"/>
        </w:rPr>
        <w:t>”);</w:t>
      </w:r>
    </w:p>
    <w:p>
      <w:pPr>
        <w:spacing w:after="0" w:line="15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GoHealth Holdings and each of its Subsidiaries (as defined herein) that is treated as a partnership for U.S. Federal income tax purposes will have in effect an election under Section 754 of the Code (as defined herein) for the Taxable Year (as defined herein) in which any Exchange (as defined herein) occurs, which election will cause any such Exchange to result in an adjustment to the Corporation’s proportionate share of the tax basis of the assets owned by GoHealth Holdings and such Subsidiaries; and</w:t>
      </w:r>
    </w:p>
    <w:p>
      <w:pPr>
        <w:spacing w:after="0" w:line="187"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WHEREAS, the parties to this Agreement desire to provide for certain payments and make certain arrangements with respect to any tax benefits to be derived by the Corporation as the result of Tax Attributes (as defined herein) and the making of payments under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 w:name="page9"/>
    <w:bookmarkEnd w:id="8"/>
    <w:p>
      <w:pPr>
        <w:ind w:right="2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in consideration of the foregoing and the respective covenants and agreements set forth herein, the parties hereto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terms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the following meanings (such meanings to be equally applicable to (i) the singular and plural, (ii) the active and passive and (iii) for defined terms that are nouns, the verified forms of the terms defined).</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Tax Liability</w:t>
      </w:r>
      <w:r>
        <w:rPr>
          <w:rFonts w:ascii="Arial" w:cs="Arial" w:eastAsia="Arial" w:hAnsi="Arial"/>
          <w:sz w:val="18"/>
          <w:szCs w:val="18"/>
          <w:color w:val="auto"/>
        </w:rPr>
        <w:t xml:space="preserve">” means, with respect to any Taxable Year, the liability for Covered Taxes of the Corporation (a) appearing on Tax Returns of the Corporation for such Taxable Year or (b) if applicable, determined in accordance with a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determining Actual Tax Liability, the Corporation shall use the Assumed State and Local Tax Rate for purposes of determining liabilities for all state and local Covered Taxes.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Advisory Firm</w:t>
      </w:r>
      <w:r>
        <w:rPr>
          <w:rFonts w:ascii="Arial" w:cs="Arial" w:eastAsia="Arial" w:hAnsi="Arial"/>
          <w:sz w:val="17"/>
          <w:szCs w:val="17"/>
          <w:color w:val="auto"/>
        </w:rPr>
        <w:t>” means an accounting firm that is nationally recognized as being expert in Covered Tax matters, selected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Amount Realized</w:t>
      </w:r>
      <w:r>
        <w:rPr>
          <w:rFonts w:ascii="Arial" w:cs="Arial" w:eastAsia="Arial" w:hAnsi="Arial"/>
          <w:sz w:val="18"/>
          <w:szCs w:val="18"/>
          <w:color w:val="auto"/>
        </w:rPr>
        <w:t>” means, with respect to any Exchange at any time, the sum of (i) the Market Value of the shares of Class A Common Stock or the amount of cash (as applicable) transferred to a Member pursuant to such Exchange, (ii) the amount of payments made pursuant to this Agreement with respect to such Exchange (but excluding any portions thereof attributable to Imputed Interest) and (iii) the amount of liabilities allocated to the Units acquired pursuant to the Exchange under Section 752 of the Code.</w:t>
      </w:r>
    </w:p>
    <w:p>
      <w:pPr>
        <w:spacing w:after="0" w:line="18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Assumed State and Local Tax Rate</w:t>
      </w:r>
      <w:r>
        <w:rPr>
          <w:rFonts w:ascii="Arial" w:cs="Arial" w:eastAsia="Arial" w:hAnsi="Arial"/>
          <w:sz w:val="16"/>
          <w:szCs w:val="16"/>
          <w:color w:val="auto"/>
        </w:rPr>
        <w:t xml:space="preserve">” means the tax rate equal to the product of (i) the Corporation’s income tax apportionment factor for each state and local jurisdiction in which the Corporation files income or franchise tax returns for the relevant Taxable Year and (ii) the highest corporate income and franchise tax rate(s) for each such state and local jurisdiction in which the Corporation files income tax returns for each relevant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Assumed State and Local Tax Rate calculated pursuant to the foregoing shall be reduced by the assumed federal benefit received by the Corporation with respect to state and local jurisdiction income taxes (with such benefit calculated as the product of (A) the Corporation’s marginal U.S. Federal income tax rate for the relevant Taxable Year and (B) the Assumed State and Local Tax Rate (without regard to this proviso)).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9" w:name="page10"/>
    <w:bookmarkEnd w:id="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Attributable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 Committee</w:t>
      </w:r>
      <w:r>
        <w:rPr>
          <w:rFonts w:ascii="Arial" w:cs="Arial" w:eastAsia="Arial" w:hAnsi="Arial"/>
          <w:sz w:val="18"/>
          <w:szCs w:val="18"/>
          <w:color w:val="auto"/>
        </w:rPr>
        <w:t>” means the audit committee of the Board.</w:t>
      </w:r>
    </w:p>
    <w:p>
      <w:pPr>
        <w:spacing w:after="0" w:line="22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Adjustment</w:t>
      </w:r>
      <w:r>
        <w:rPr>
          <w:rFonts w:ascii="Arial" w:cs="Arial" w:eastAsia="Arial" w:hAnsi="Arial"/>
          <w:sz w:val="18"/>
          <w:szCs w:val="18"/>
          <w:color w:val="auto"/>
        </w:rPr>
        <w:t>” means the increase or decrease to, or the Corporation’s proportionate share of, the tax basis of the Reference Assets under Section 732, 734(b), 743(b) or 1012 of the Code (or any similar provisions of state, local or foreign tax Law) as a result of any Exchange or any payment made under this Agreement. For purposes of determining the Corporation’s proportionate share of the tax basis of the Reference Assets with respect to the Units transferred in an Exchange under Treasury Regulations Section 1.743-1(b) (or any similar provisions of state, local or foreign tax Law), the consideration paid by the Corporation for such Units shall be the Amount Realized. Notwithstanding any other provision of this Agreement, the amount of any Basis Adjustment resulting from an Exchange of one or more Units is to be determined as if any Pre-Exchange Transfer of such Units had not occurred.</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means, with respect to any security, a Person who directly or indirectly, through any contract, arrangement, understanding, relationship or otherwise, has or shares (i) voting power, which includes the power to vote, or to direct the voting of, with respect to such security or (ii) investment power, which includes the power to dispose of, or to direct the disposition of, such security.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Acquired Units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Corporation</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Shareholders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Transferred Basis</w:t>
      </w:r>
      <w:r>
        <w:rPr>
          <w:rFonts w:ascii="Arial" w:cs="Arial" w:eastAsia="Arial" w:hAnsi="Arial"/>
          <w:sz w:val="16"/>
          <w:szCs w:val="16"/>
          <w:color w:val="auto"/>
        </w:rPr>
        <w:t xml:space="preserve">” means (i) the Corporation’s proportionate share (determined by reference to the Blocker Corporation’s pro rata share in accordance with percentage interest of Units held immediately after the Recapitalization and prior to the Blocker Mergers and the IPO) of the GoHealth Holdings Group’s tax basis in the Reference Assets that are amortizable under Section 197 of the Code and reported as amortizable on IRS Form 4562 for U.S. Federal income tax purposes (without taking into account Section 704(c) of the Code) corresponding to the Blocker Acquired Units acquired by the Corporation in the Blocker Mergers and (ii) any increase or decrease to such tax basis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under Section 743(b) of the Code (or any similar provision of state, local or foreign tax Law) as a result of (A) the Blocker Mergers, calculated, for the avoidance doubt, without regard to any increase or decrease to such tax basis under Section 743(b) of the Code as a result of any transaction in respect of the Blocker Acquired Units occurring prior the Blocker Mergers pursuant to Treasury Regulations Section 1.743-1(f) and (B) any payment under the Contingent Notes.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 w:name="page11"/>
    <w:bookmarkEnd w:id="10"/>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or a day on which banks located in New York City, New York generally are authorized or required by Law to close.</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Centerbridge</w:t>
      </w:r>
      <w:r>
        <w:rPr>
          <w:rFonts w:ascii="Arial" w:cs="Arial" w:eastAsia="Arial" w:hAnsi="Arial"/>
          <w:sz w:val="18"/>
          <w:szCs w:val="18"/>
          <w:color w:val="auto"/>
        </w:rPr>
        <w:t>” means Blizzard Aggregator, LLC, a Delaware limited liability company, CB Blizzard, CCP III AIV and each of their respective Permitted Transferees.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440" w:right="100" w:firstLine="948"/>
        <w:spacing w:after="0" w:line="291" w:lineRule="auto"/>
        <w:tabs>
          <w:tab w:leader="none" w:pos="1607"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“person” or “group” (within the meaning of Sections 13(d) and 14(d) of the Exchange Act but excluding any (A) employee benefit plan of such person and its subsidiaries, and any person or entity acting in its capacity as trustee, agent or other fiduciary or administrator of any such plan) or (B) “person” or “group” who, on the date of the consummation of the IPO, is the Beneficial Owner of securities of the Corporation representing more than 50% of the combined voting power of the Corporation’s then outstanding voting securities)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50% of the voting power of all of the outstanding shares of capital stock of the Corporation entitled to vote;</w:t>
      </w:r>
    </w:p>
    <w:p>
      <w:pPr>
        <w:spacing w:after="0" w:line="58" w:lineRule="exact"/>
        <w:rPr>
          <w:rFonts w:ascii="Arial" w:cs="Arial" w:eastAsia="Arial" w:hAnsi="Arial"/>
          <w:sz w:val="16"/>
          <w:szCs w:val="16"/>
          <w:color w:val="auto"/>
        </w:rPr>
      </w:pPr>
    </w:p>
    <w:p>
      <w:pPr>
        <w:ind w:left="440" w:firstLine="948"/>
        <w:spacing w:after="0" w:line="311" w:lineRule="auto"/>
        <w:tabs>
          <w:tab w:leader="none" w:pos="165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GoHealth Holdings); or</w:t>
      </w:r>
    </w:p>
    <w:p>
      <w:pPr>
        <w:spacing w:after="0" w:line="40" w:lineRule="exact"/>
        <w:rPr>
          <w:rFonts w:ascii="Arial" w:cs="Arial" w:eastAsia="Arial" w:hAnsi="Arial"/>
          <w:sz w:val="16"/>
          <w:szCs w:val="16"/>
          <w:color w:val="auto"/>
        </w:rPr>
      </w:pPr>
    </w:p>
    <w:p>
      <w:pPr>
        <w:ind w:left="1700" w:hanging="312"/>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Corporation ceases to be the sole managing member of GoHealth Holdings.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Notwithstanding the foregoing, a “Change of Control” shall not be deemed to have occurred by virtue of the consummation of any transaction or series of related transactions immediately following which the beneficial owners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$0.001 per share, of the Corporation.</w:t>
      </w:r>
    </w:p>
    <w:p>
      <w:pPr>
        <w:spacing w:after="0" w:line="225"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Unless the context requires otherwise, any reference herein to a specific section of the Code shall be deemed to include any corresponding provisions of future Law as in effect for the relevant taxable period.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1" w:name="page12"/>
    <w:bookmarkEnd w:id="1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Contingent Notes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direct or indirect possession of the power to direct or cause the direction of the management or policies of a Person, whether through ownership of voting securities, by contract or otherwise.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Taxes</w:t>
      </w:r>
      <w:r>
        <w:rPr>
          <w:rFonts w:ascii="Arial" w:cs="Arial" w:eastAsia="Arial" w:hAnsi="Arial"/>
          <w:sz w:val="18"/>
          <w:szCs w:val="18"/>
          <w:color w:val="auto"/>
        </w:rPr>
        <w:t>” means any U.S. Federal, state and local and foreign taxes, assessments or similar charges that are based on or measured with respect to net income or profits and any interest imposed in respect thereof under applicable Law.</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any similar provisions of state, local or foreign tax Law, as applicable, or any other event (including the execution of IRS Form 870-AD) that finally and conclusively establishes the amount of any liability for tax.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Exchange</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7.7(a)</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Effective Date</w:t>
      </w:r>
      <w:r>
        <w:rPr>
          <w:rFonts w:ascii="Arial" w:cs="Arial" w:eastAsia="Arial" w:hAnsi="Arial"/>
          <w:sz w:val="18"/>
          <w:szCs w:val="18"/>
          <w:color w:val="auto"/>
        </w:rPr>
        <w:t xml:space="preserve">” means (i) with respect to an early termination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the date an Early Termination Notice is delivered, (ii) with respect to an early termination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the date of the applicable Change of Control and (iii) with respect to an early termination pursuant to </w:t>
      </w:r>
      <w:r>
        <w:rPr>
          <w:rFonts w:ascii="Arial" w:cs="Arial" w:eastAsia="Arial" w:hAnsi="Arial"/>
          <w:sz w:val="18"/>
          <w:szCs w:val="18"/>
          <w:u w:val="single" w:color="auto"/>
          <w:color w:val="auto"/>
        </w:rPr>
        <w:t>Section 4.1(c)</w:t>
      </w:r>
      <w:r>
        <w:rPr>
          <w:rFonts w:ascii="Arial" w:cs="Arial" w:eastAsia="Arial" w:hAnsi="Arial"/>
          <w:sz w:val="18"/>
          <w:szCs w:val="18"/>
          <w:color w:val="auto"/>
        </w:rPr>
        <w:t>, the date of the applicable Material Breach.</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Reference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means (i) any Direct Exchange, (ii) any Redemption, (iii) any transaction using proceeds from the IPO or the Over-Allotment Option (as defined in the Operating Agreement), including the IPO Unit Redemption, that results in a Basis Adjustment or (iv) any distribution (including a deemed distribution) by GoHealth Holdings to a Member that results in a Basis Adjustment.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2" w:name="page13"/>
    <w:bookmarkEnd w:id="12"/>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 and applicable rules and regulations thereunder, and any successor to such statute, rules or regulations.</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Basis</w:t>
      </w:r>
      <w:r>
        <w:rPr>
          <w:rFonts w:ascii="Arial" w:cs="Arial" w:eastAsia="Arial" w:hAnsi="Arial"/>
          <w:sz w:val="18"/>
          <w:szCs w:val="18"/>
          <w:color w:val="auto"/>
        </w:rPr>
        <w:t>” means the Corporation’s proportionate share of the GoHealth Holding Group’s tax basis in the Reference Assets that are amortizable under Section 197 of the Code and reported as amortizable on IRS Form 4562 for U.S. Federal income tax purposes (without taking into account Section 704(c) of the Code) arising from an Exchange.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Basis</w:t>
      </w:r>
      <w:r>
        <w:rPr>
          <w:rFonts w:ascii="Arial" w:cs="Arial" w:eastAsia="Arial" w:hAnsi="Arial"/>
          <w:sz w:val="18"/>
          <w:szCs w:val="18"/>
          <w:color w:val="auto"/>
        </w:rPr>
        <w:t>” means (i) the Corporation’s proportionate share of the GoHealth Holdings Group’s tax basis in the Reference Assets (other than the Blocker Transferred Basis) held by the GoHealth Holdings Group at the time of the IPO that are amortizable under Section 197 of the Code and reported as amortizable on IRS Form 4562 for U.S. Federal income tax purposes (without taking into account Section 704(c) of the Code) corresponding to (A) the Units acquired by the Corporation in the Unit Purchase at the time of the IPO or (B) any Units acquired by the Corporation after the IPO (other than any Units acquired (or deemed acquired) by the Corporation in connection with a Redemption, Direct Exchange or other transaction treated as a direct purchase of Units by the Corporation from a Member pursuant to Section 707(a)(2)(B) of the Code) (such acquisition of Units, a “</w:t>
      </w:r>
      <w:r>
        <w:rPr>
          <w:rFonts w:ascii="Arial" w:cs="Arial" w:eastAsia="Arial" w:hAnsi="Arial"/>
          <w:sz w:val="18"/>
          <w:szCs w:val="18"/>
          <w:u w:val="single" w:color="auto"/>
          <w:color w:val="auto"/>
        </w:rPr>
        <w:t>Subsequent Capital Contribution</w:t>
      </w:r>
      <w:r>
        <w:rPr>
          <w:rFonts w:ascii="Arial" w:cs="Arial" w:eastAsia="Arial" w:hAnsi="Arial"/>
          <w:sz w:val="18"/>
          <w:szCs w:val="18"/>
          <w:color w:val="auto"/>
        </w:rPr>
        <w:t xml:space="preserve">”) and (ii) any increase or decrease (if any) to such tax basis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under Section 732, 734(b), 743(b) or 1012 of the Code (or any similar provisions of state, local or foreign tax Law) as a result of the entry into this Agreement and any such Unit acquisition.</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Payment Date</w:t>
      </w:r>
      <w:r>
        <w:rPr>
          <w:rFonts w:ascii="Arial" w:cs="Arial" w:eastAsia="Arial" w:hAnsi="Arial"/>
          <w:sz w:val="18"/>
          <w:szCs w:val="18"/>
          <w:color w:val="auto"/>
        </w:rPr>
        <w:t xml:space="preserve">” means any date on which a Payment is required to be made pursuant to this Agreement. The Final Payment Date in respect of (i) a Tax Benefit Payment is determined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(ii) an Early Termination Payment is determined pursuant to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GoHealth Holdings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GoHealth Holdings Group</w:t>
      </w:r>
      <w:r>
        <w:rPr>
          <w:rFonts w:ascii="Arial" w:cs="Arial" w:eastAsia="Arial" w:hAnsi="Arial"/>
          <w:sz w:val="18"/>
          <w:szCs w:val="18"/>
          <w:color w:val="auto"/>
        </w:rPr>
        <w:t>” means GoHealth Holdings and each of its direct or indirect Subsidiaries that is treated as a partnership or disregarded entity for applicable tax purposes (but excluding any such Subsidiary that is directly or indirectly held by any entity treated as a corporation for applicable tax purposes (other than the Corporation)).</w:t>
      </w:r>
    </w:p>
    <w:p>
      <w:pPr>
        <w:spacing w:after="0" w:line="184"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Hypothetical Tax Liability</w:t>
      </w:r>
      <w:r>
        <w:rPr>
          <w:rFonts w:ascii="Arial" w:cs="Arial" w:eastAsia="Arial" w:hAnsi="Arial"/>
          <w:sz w:val="16"/>
          <w:szCs w:val="16"/>
          <w:color w:val="auto"/>
        </w:rPr>
        <w:t>” means, with respect to any Taxable Year, the hypothetical liability of the Corporation that would arise in respect of Covered Taxes, using the same methods, elections, conventions and similar practices used on the actual relevant Tax Returns of the Corporation but (i) calculating depreciation, amortization or other similar deductions, or otherwise calculating any items of income, gain or loss, using the Corporation’s proportionate share of (A) the Non-Blocker Transferred Basis as reflected on the Basis Schedule, including amendments thereto, for such Taxable Year, (B) the Non-Existing Basis as reflected on the Basis Schedule, including amendments thereto, for such Taxable Year, (C)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3" w:name="page14"/>
    <w:bookmarkEnd w:id="13"/>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Non-Exchange Basis as reflected on the Basis Schedule, including amendments thereto, for such Taxable Year and (D) the Non-Adjusted Tax Basis as reflected on the Basis Schedule, including amendments thereto, for such Taxable Year and (ii) excluding any deduction attributable to Imputed Interest for such Taxable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the Hypothetical Tax Liability, the combined tax rate for U.S. state and local Covered Taxes (but not, for the avoidance of doubt, federal Covered Taxes) shall be the Assumed State and Local Tax Rate. For the avoidance of doubt, the Hypothetical Tax Liability shall be determined without taking into account the carryover or carryback of any tax item (or portions thereof) that is attributable to any of the items described in </w:t>
      </w:r>
      <w:r>
        <w:rPr>
          <w:rFonts w:ascii="Arial" w:cs="Arial" w:eastAsia="Arial" w:hAnsi="Arial"/>
          <w:sz w:val="17"/>
          <w:szCs w:val="17"/>
          <w:u w:val="single" w:color="auto"/>
          <w:color w:val="auto"/>
        </w:rPr>
        <w:t>clauses (i) or (ii)</w:t>
      </w:r>
      <w:r>
        <w:rPr>
          <w:rFonts w:ascii="Arial" w:cs="Arial" w:eastAsia="Arial" w:hAnsi="Arial"/>
          <w:sz w:val="17"/>
          <w:szCs w:val="17"/>
          <w:color w:val="auto"/>
        </w:rPr>
        <w:t xml:space="preserve"> of the previous sentence.</w:t>
      </w:r>
    </w:p>
    <w:p>
      <w:pPr>
        <w:spacing w:after="0" w:line="178"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Imputed Interest</w:t>
      </w:r>
      <w:r>
        <w:rPr>
          <w:rFonts w:ascii="Arial" w:cs="Arial" w:eastAsia="Arial" w:hAnsi="Arial"/>
          <w:sz w:val="17"/>
          <w:szCs w:val="17"/>
          <w:color w:val="auto"/>
        </w:rPr>
        <w:t>” means any interest imputed under Section 483, 1272 or 1274 or any other provision of the Code or any similar provisions of state, local or foreign tax Law with respect to the Corporation’s payment obligations under this Agreement.</w:t>
      </w:r>
    </w:p>
    <w:p>
      <w:pPr>
        <w:spacing w:after="0" w:line="146"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members of the Board who are “independent” under the standards of the principal U.S. securities exchange on which the Class A Common Stock is traded or quoted.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Unit Redemption</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means a joinder to this Agreement, in form and substance substantially similar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Requirement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all laws, statutes, ordinances, rules and regulations of the U.S., any foreign country and each state, commonwealth, city, county, municipality, regulatory or self-regulatory body, agency or other political subdivision thereof.</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during any period, a rate per annum equal to the London interbank offered rate as administered by the ICE Benchmark Administration (or any other Person that takes over the administration of such rate) for deposits in dollars for a period of one month (for delivery on the first day of such period), as published on the applicable Reuters screen page (or such other commercially available source providing quotations of such rate as may be designated by the Corporation from time to time in its reasonable discretion) at approximately 11:00 a.m., London time, 2 Business Days prior to the commencement of such period.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means the Common Unit Redemption Price, as defined in the Operating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14" w:name="page15"/>
    <w:bookmarkEnd w:id="14"/>
    <w:p>
      <w:pPr>
        <w:ind w:right="2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Material Breach</w:t>
      </w:r>
      <w:r>
        <w:rPr>
          <w:rFonts w:ascii="Arial" w:cs="Arial" w:eastAsia="Arial" w:hAnsi="Arial"/>
          <w:sz w:val="18"/>
          <w:szCs w:val="18"/>
          <w:color w:val="auto"/>
        </w:rPr>
        <w:t>” means the (i) material breach by the Corporation of a material obligation under this Agreement or (ii) the rejection of this Agreement by operation of law in a case commenced in bankruptcy or otherwise.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3.1(b)(ii)</w:t>
      </w:r>
      <w:r>
        <w:rPr>
          <w:rFonts w:ascii="Arial" w:cs="Arial" w:eastAsia="Arial" w:hAnsi="Arial"/>
          <w:sz w:val="18"/>
          <w:szCs w:val="18"/>
          <w:color w:val="auto"/>
        </w:rPr>
        <w:t>.</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Non-Adjusted Tax Basis</w:t>
      </w:r>
      <w:r>
        <w:rPr>
          <w:rFonts w:ascii="Arial" w:cs="Arial" w:eastAsia="Arial" w:hAnsi="Arial"/>
          <w:sz w:val="18"/>
          <w:szCs w:val="18"/>
          <w:color w:val="auto"/>
        </w:rPr>
        <w:t>” means, with respect to any Reference Asset of the GoHealth Holdings Group at any time, the tax basis that such asset would have had at such time if no Basis Adjustments had been made.</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Non-Blocker Transferred Basis</w:t>
      </w:r>
      <w:r>
        <w:rPr>
          <w:rFonts w:ascii="Arial" w:cs="Arial" w:eastAsia="Arial" w:hAnsi="Arial"/>
          <w:sz w:val="18"/>
          <w:szCs w:val="18"/>
          <w:color w:val="auto"/>
        </w:rPr>
        <w:t>” means, with respect to any Reference Asset at the time of the Blocker Mergers that is amortizable under Section 197 of the Code and reported as amortizable on IRS Form 4562 for U.S. Federal income tax purposes, the tax basis that such Reference Asset would have had if the Blocker Transferred Basis at the time of the Blocker Mergers was equal to zero.</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Non-Exchange Basis</w:t>
      </w:r>
      <w:r>
        <w:rPr>
          <w:rFonts w:ascii="Arial" w:cs="Arial" w:eastAsia="Arial" w:hAnsi="Arial"/>
          <w:sz w:val="18"/>
          <w:szCs w:val="18"/>
          <w:color w:val="auto"/>
        </w:rPr>
        <w:t>” means, with respect to any Reference Asset at the time of an Exchange that is amortizable under Section 197 of the Code and reported as amortizable on IRS Form 4562 for U.S. Federal income tax purposes, the tax basis that such Reference Asset would have had if the Exchange Basis at the time of such Exchange was equal to zero.</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Non-Existing Basis</w:t>
      </w:r>
      <w:r>
        <w:rPr>
          <w:rFonts w:ascii="Arial" w:cs="Arial" w:eastAsia="Arial" w:hAnsi="Arial"/>
          <w:sz w:val="18"/>
          <w:szCs w:val="18"/>
          <w:color w:val="auto"/>
        </w:rPr>
        <w:t>” means, with respect to any Reference Asset at the time of the IPO that is amortizable under Section 197 of the Code and reported as amortizable on IRS Form 4562 for U.S. Federal income tax purposes, the tax basis that such Reference Asset would have had if the Existing Basis at the time of the IPO (or, in the case of any adjustments as a result of the Unit Purchase and the entry into this Agreement, at the time of the Unit Purchase) or a Subsequent Capital Contribution, as applicable was equal to zero.</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NVX Holdings</w:t>
      </w:r>
      <w:r>
        <w:rPr>
          <w:rFonts w:ascii="Arial" w:cs="Arial" w:eastAsia="Arial" w:hAnsi="Arial"/>
          <w:sz w:val="18"/>
          <w:szCs w:val="18"/>
          <w:color w:val="auto"/>
        </w:rPr>
        <w:t>” means NVX Holdings, Inc., a Delaware corporation, and its Permitted Transferees.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2.4(a)(ii)</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Agreement</w:t>
      </w:r>
      <w:r>
        <w:rPr>
          <w:rFonts w:ascii="Arial" w:cs="Arial" w:eastAsia="Arial" w:hAnsi="Arial"/>
          <w:sz w:val="16"/>
          <w:szCs w:val="16"/>
          <w:color w:val="auto"/>
        </w:rPr>
        <w:t>” means that certain Second Amended and Restated Limited Liability Company Agreement of GoHealth Holdings, dated as of the date hereof, as such agreement may be further amended, restated, supplemented or otherwise modified from time to time.</w:t>
      </w:r>
    </w:p>
    <w:p>
      <w:pPr>
        <w:spacing w:after="0" w:line="124" w:lineRule="exact"/>
        <w:rPr>
          <w:sz w:val="20"/>
          <w:szCs w:val="20"/>
          <w:color w:val="auto"/>
        </w:rPr>
      </w:pPr>
    </w:p>
    <w:p>
      <w:pPr>
        <w:ind w:right="9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the parties named on the signature pages to this agreement and each additional party that satisfies the Joinder Requirement, in each case with their respective successors and assigns.</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means any Tax Benefit Payment or Early Termination Payment and in each case, unless otherwise specified, refers to the entire amount of such Payment or any portion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5" w:name="page16"/>
    <w:bookmarkEnd w:id="1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 holder of Units pursuant to any transfer of such Units permitted by the Operating Agreement.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Pre-Exchange Transfer</w:t>
      </w:r>
      <w:r>
        <w:rPr>
          <w:rFonts w:ascii="Arial" w:cs="Arial" w:eastAsia="Arial" w:hAnsi="Arial"/>
          <w:sz w:val="17"/>
          <w:szCs w:val="17"/>
          <w:color w:val="auto"/>
        </w:rPr>
        <w:t>” means any transfer (or deemed transfer) of one or more Units (i) that occurs after the consummation of the IPO but prior to an Exchange of such Units and (ii) to which Section 743(b) of the Code applies, excluding the IPO Unit Redemption.</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3.1(b)(iv)</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Asset</w:t>
      </w:r>
      <w:r>
        <w:rPr>
          <w:rFonts w:ascii="Arial" w:cs="Arial" w:eastAsia="Arial" w:hAnsi="Arial"/>
          <w:sz w:val="18"/>
          <w:szCs w:val="18"/>
          <w:color w:val="auto"/>
        </w:rPr>
        <w:t>” means any asset of any member of the GoHealth Holdings Group on the relevant date of determination under this Agreement (including at the time of an Exchange, the Blocker Mergers and the IPO, as applicable). A Reference Asset also includes any asset the tax basis of which is determined, in whole or in part, by reference to the tax basis of an asset that is described in the preceding sentence, including “substituted basis property” within the meaning of Section 7701(a)(42) of the Code.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of the following: (i) a Basis Schedule, (ii) a Tax Benefit Schedule, (iii) an Early Termination Schedule and (iv) any Amended Schedule.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Capital Contribution</w:t>
      </w:r>
      <w:r>
        <w:rPr>
          <w:rFonts w:ascii="Arial" w:cs="Arial" w:eastAsia="Arial" w:hAnsi="Arial"/>
          <w:sz w:val="18"/>
          <w:szCs w:val="18"/>
          <w:color w:val="auto"/>
        </w:rPr>
        <w:t>” is defined in the definition of Existing Basis.</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and as of any determination date, any other Person as to which such first Person (i) owns, directly or indirectly, or otherwise controls, more than 50% of the voting power or other similar interests of such other Person or (ii) is the sole general partner interest, or managing member or similar interest, of such other Person.</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Attributes</w:t>
      </w:r>
      <w:r>
        <w:rPr>
          <w:rFonts w:ascii="Arial" w:cs="Arial" w:eastAsia="Arial" w:hAnsi="Arial"/>
          <w:sz w:val="18"/>
          <w:szCs w:val="18"/>
          <w:color w:val="auto"/>
        </w:rPr>
        <w:t xml:space="preserve">” means the (i) Blocker Transferred Basis, (ii) Existing Basis, (iii) Exchange Basis, (iv) Basis Adjustments and (v) Imputed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intended that the provisions of this Agreement will not result in duplication among the respective Tax Attributes, and the definitions of each such Tax Attribute shall be consistently interpreted and applied in accordance with that intent.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6" w:name="page17"/>
    <w:bookmarkEnd w:id="1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14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Corporation as defined in Section 441(b) of the Code or any similar provisions of U.S. state or local tax Law, as applicable (and, therefore, for the avoidance of doubt, may include a period of less than 12 months for which a Tax Return is filed), ending on or after the closing date of the IPO.</w:t>
      </w:r>
    </w:p>
    <w:p>
      <w:pPr>
        <w:spacing w:after="0" w:line="184" w:lineRule="exact"/>
        <w:rPr>
          <w:sz w:val="20"/>
          <w:szCs w:val="20"/>
          <w:color w:val="auto"/>
        </w:rPr>
      </w:pPr>
    </w:p>
    <w:p>
      <w:pPr>
        <w:jc w:val="both"/>
        <w:ind w:right="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means any national, federal, state, county, municipal or local government, or any subdivision, agency, commission or authority thereof, or any quasi-governmental body, or any other authority of any kind, exercising regulatory or other authority in relation to tax matters.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Holder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 Holder Approval</w:t>
      </w:r>
      <w:r>
        <w:rPr>
          <w:rFonts w:ascii="Arial" w:cs="Arial" w:eastAsia="Arial" w:hAnsi="Arial"/>
          <w:sz w:val="17"/>
          <w:szCs w:val="17"/>
          <w:color w:val="auto"/>
        </w:rPr>
        <w:t>” means written approval by TRA Holders whose rights under this Agreement are attributable to at least 50% of the Units outstanding (excluding any Units held by the Corporation) immediately after the Unit Purchase (as appropriately adjusted for any subsequent changes to the number of outstanding Units). For purposes of this definition, a TRA Holder’s rights under this Agreement shall be attributed to Units as of the time of a determination of TRA Holder Approval. For the avoidance of doubt, (i) an Exchanged Unit shall be attributed only to the TRA Holder entitled to receive Tax Benefit Payments with respect to such Exchanged Unit (</w:t>
      </w:r>
      <w:r>
        <w:rPr>
          <w:rFonts w:ascii="Arial" w:cs="Arial" w:eastAsia="Arial" w:hAnsi="Arial"/>
          <w:sz w:val="17"/>
          <w:szCs w:val="17"/>
          <w:i w:val="1"/>
          <w:iCs w:val="1"/>
          <w:color w:val="auto"/>
        </w:rPr>
        <w:t>i.e.</w:t>
      </w:r>
      <w:r>
        <w:rPr>
          <w:rFonts w:ascii="Arial" w:cs="Arial" w:eastAsia="Arial" w:hAnsi="Arial"/>
          <w:sz w:val="17"/>
          <w:szCs w:val="17"/>
          <w:color w:val="auto"/>
        </w:rPr>
        <w:t>, the TRA Holder who Exchanged the Unit or the assignee of such TRA Holder’s rights hereunder) and (ii) an outstanding Unit that has not been Exchanged shall be attributed only to the TRA Holder (or, if applicable, the assignee of its rights hereunder) entitled to receive Tax Benefit Payments upon the Exchange of such Unit.</w:t>
      </w:r>
    </w:p>
    <w:p>
      <w:pPr>
        <w:spacing w:after="0" w:line="177"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final, temporary and (to the extent they can be relied upon) proposed regulations under the Code, as promulgated from time to time (including corresponding provisions and succeeding provisions) and as in effect for the relevant taxable period.</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 Purchase</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Common Units, as defined in the Operating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17" w:name="page18"/>
    <w:bookmarkEnd w:id="17"/>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Valuation Assumptions</w:t>
      </w:r>
      <w:r>
        <w:rPr>
          <w:rFonts w:ascii="Arial" w:cs="Arial" w:eastAsia="Arial" w:hAnsi="Arial"/>
          <w:sz w:val="18"/>
          <w:szCs w:val="18"/>
          <w:color w:val="auto"/>
        </w:rPr>
        <w:t>” means, as of an Early Termination Effective Date, the assumptions that:</w:t>
      </w:r>
    </w:p>
    <w:p>
      <w:pPr>
        <w:spacing w:after="0" w:line="117" w:lineRule="exact"/>
        <w:rPr>
          <w:sz w:val="20"/>
          <w:szCs w:val="20"/>
          <w:color w:val="auto"/>
        </w:rPr>
      </w:pPr>
    </w:p>
    <w:p>
      <w:pPr>
        <w:jc w:val="both"/>
        <w:ind w:right="20" w:firstLine="948"/>
        <w:spacing w:after="0" w:line="259" w:lineRule="auto"/>
        <w:tabs>
          <w:tab w:leader="none" w:pos="116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each Taxable Year ending on or after such Early Termination Effective Date, the Corporation will have taxable income sufficient to fully use the deductions arising from the Tax Attributes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w:t>
      </w:r>
    </w:p>
    <w:p>
      <w:pPr>
        <w:spacing w:after="0" w:line="78" w:lineRule="exact"/>
        <w:rPr>
          <w:rFonts w:ascii="Arial" w:cs="Arial" w:eastAsia="Arial" w:hAnsi="Arial"/>
          <w:sz w:val="18"/>
          <w:szCs w:val="18"/>
          <w:color w:val="auto"/>
        </w:rPr>
      </w:pPr>
    </w:p>
    <w:p>
      <w:pPr>
        <w:ind w:right="60" w:firstLine="948"/>
        <w:spacing w:after="0" w:line="259" w:lineRule="auto"/>
        <w:tabs>
          <w:tab w:leader="none" w:pos="12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Federal income tax rates that will be in effect for each such Taxable Year will be those specified for each such Taxable Year by the Code and other applicable Law as in effect on the Early Termination Effective Date, except to the extent any change to such tax rates for such Taxable Year have already been enacted into Law and the combined U.S. state and local income tax rates shall be the Assumed State and Local Tax Rate;</w:t>
      </w:r>
    </w:p>
    <w:p>
      <w:pPr>
        <w:spacing w:after="0" w:line="78" w:lineRule="exact"/>
        <w:rPr>
          <w:rFonts w:ascii="Arial" w:cs="Arial" w:eastAsia="Arial" w:hAnsi="Arial"/>
          <w:sz w:val="18"/>
          <w:szCs w:val="18"/>
          <w:color w:val="auto"/>
        </w:rPr>
      </w:pPr>
    </w:p>
    <w:p>
      <w:pPr>
        <w:ind w:right="140" w:firstLine="948"/>
        <w:spacing w:after="0" w:line="342" w:lineRule="auto"/>
        <w:tabs>
          <w:tab w:leader="none" w:pos="1267"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all taxable income of the Corporation will be subject to the maximum applicable tax rates for each Covered Tax throughout the relevant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combined tax rate for U.S. state and local income taxes shall be the Assumed State and Local Tax Rate;</w:t>
      </w:r>
    </w:p>
    <w:p>
      <w:pPr>
        <w:spacing w:after="0" w:line="15" w:lineRule="exact"/>
        <w:rPr>
          <w:rFonts w:ascii="Arial" w:cs="Arial" w:eastAsia="Arial" w:hAnsi="Arial"/>
          <w:sz w:val="16"/>
          <w:szCs w:val="16"/>
          <w:color w:val="auto"/>
        </w:rPr>
      </w:pPr>
    </w:p>
    <w:p>
      <w:pPr>
        <w:ind w:firstLine="948"/>
        <w:spacing w:after="0" w:line="291" w:lineRule="auto"/>
        <w:tabs>
          <w:tab w:leader="none" w:pos="1257"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loss carryovers or carrybacks generated by any Tax Attributes (including any Basis Adjustments or Imputed Interest generated as a result of payments made or deemed to be made under this Agreement) and available (taking into account any known and applicable limitations) as of the date of the Early Termination Schedule will be used by the Corporation ratably in each of the 5 consecutive Taxable Years beginning with the Taxable Year that includes the date of the Early Termination Schedule (but, in the case of any such carryover or carryback that has less than 5 remaining Taxable Years, ratably through the scheduled expiration date of such carryover or carryback) (by way of example, if on the date of the Early Termination Schedule the Corporation had $100 of net operating losses, $20 of such net operating losses would be used in each of the 5 consecutive Taxable Years beginning in the Taxable Year of such Early Termination Schedule);</w:t>
      </w:r>
    </w:p>
    <w:p>
      <w:pPr>
        <w:spacing w:after="0" w:line="58" w:lineRule="exact"/>
        <w:rPr>
          <w:rFonts w:ascii="Arial" w:cs="Arial" w:eastAsia="Arial" w:hAnsi="Arial"/>
          <w:sz w:val="16"/>
          <w:szCs w:val="16"/>
          <w:color w:val="auto"/>
        </w:rPr>
      </w:pPr>
    </w:p>
    <w:p>
      <w:pPr>
        <w:ind w:right="180" w:firstLine="948"/>
        <w:spacing w:after="0" w:line="263" w:lineRule="auto"/>
        <w:tabs>
          <w:tab w:leader="none" w:pos="120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non-amortizable assets will be disposed of on the fifteenth anniversary of the earlier of (A) the applicable Exchange (in the case of Basis Adjustments or Exchange Basis) or the date of the IPO (in the case of Blocker Transferred Basis and Existing Basis) and (B) the Early Termination Effective Date;</w:t>
      </w:r>
    </w:p>
    <w:p>
      <w:pPr>
        <w:spacing w:after="0" w:line="75" w:lineRule="exact"/>
        <w:rPr>
          <w:rFonts w:ascii="Arial" w:cs="Arial" w:eastAsia="Arial" w:hAnsi="Arial"/>
          <w:sz w:val="18"/>
          <w:szCs w:val="18"/>
          <w:color w:val="auto"/>
        </w:rPr>
      </w:pPr>
    </w:p>
    <w:p>
      <w:pPr>
        <w:ind w:right="400" w:firstLine="948"/>
        <w:spacing w:after="0" w:line="263" w:lineRule="auto"/>
        <w:tabs>
          <w:tab w:leader="none" w:pos="1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on the Early Termination Effective Date, any Member has Units that have not been Exchanged, then such Units shall be deemed to be Exchanged for the Market Value of the shares of Class A Common Stock or the amount of cash that would be received by such Member had such Units actually been Exchanged on the Early Termination Effective Date;</w:t>
      </w:r>
    </w:p>
    <w:p>
      <w:pPr>
        <w:spacing w:after="0" w:line="75" w:lineRule="exact"/>
        <w:rPr>
          <w:rFonts w:ascii="Arial" w:cs="Arial" w:eastAsia="Arial" w:hAnsi="Arial"/>
          <w:sz w:val="18"/>
          <w:szCs w:val="18"/>
          <w:color w:val="auto"/>
        </w:rPr>
      </w:pPr>
    </w:p>
    <w:p>
      <w:pPr>
        <w:ind w:right="340" w:firstLine="948"/>
        <w:spacing w:after="0" w:line="342" w:lineRule="auto"/>
        <w:tabs>
          <w:tab w:leader="none" w:pos="1307"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future payment obligations pursuant to this Agreement that are used to calculate the Early Termination Payment will be satisfied on the date that any Tax Return to which any such payment obligation relates is required to be filed excluding any extensions; and</w:t>
      </w:r>
    </w:p>
    <w:p>
      <w:pPr>
        <w:spacing w:after="0" w:line="5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80" w:top="274" w:right="479" w:bottom="1440" w:gutter="0" w:footer="0" w:header="0"/>
        </w:sectPr>
      </w:pPr>
    </w:p>
    <w:bookmarkStart w:id="18" w:name="page19"/>
    <w:bookmarkEnd w:id="18"/>
    <w:p>
      <w:pPr>
        <w:ind w:left="440" w:right="140" w:firstLine="948"/>
        <w:spacing w:after="0" w:line="277" w:lineRule="auto"/>
        <w:tabs>
          <w:tab w:leader="none" w:pos="1797"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Taxable Years ending prior to the Early Termination Effective Date, any unpaid Tax Benefit Payments and any applicable Default Rate Interest will be paid.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Voluntary Early Termination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4.2(a)(i)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xml:space="preserve"> Unless otherwise specified herein:</w:t>
      </w:r>
    </w:p>
    <w:p>
      <w:pPr>
        <w:spacing w:after="0" w:line="117" w:lineRule="exact"/>
        <w:rPr>
          <w:sz w:val="20"/>
          <w:szCs w:val="20"/>
          <w:color w:val="auto"/>
        </w:rPr>
      </w:pPr>
    </w:p>
    <w:p>
      <w:pPr>
        <w:ind w:left="1240" w:hanging="25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interpretation of this Agreement:</w:t>
      </w:r>
    </w:p>
    <w:p>
      <w:pPr>
        <w:spacing w:after="0" w:line="117" w:lineRule="exact"/>
        <w:rPr>
          <w:rFonts w:ascii="Arial" w:cs="Arial" w:eastAsia="Arial" w:hAnsi="Arial"/>
          <w:sz w:val="18"/>
          <w:szCs w:val="18"/>
          <w:color w:val="auto"/>
        </w:rPr>
      </w:pPr>
    </w:p>
    <w:p>
      <w:pPr>
        <w:ind w:left="440" w:right="180" w:firstLine="948"/>
        <w:spacing w:after="0" w:line="277" w:lineRule="auto"/>
        <w:tabs>
          <w:tab w:leader="none" w:pos="1607"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this Agreement shall refer to this Agreement as a whole and not to any particular provision thereof.</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Unless specified otherwise, references to an Article, Section or clause refer to the appropriate Article, Section or clause in this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02" w:lineRule="exact"/>
        <w:rPr>
          <w:rFonts w:ascii="Arial" w:cs="Arial" w:eastAsia="Arial" w:hAnsi="Arial"/>
          <w:sz w:val="16"/>
          <w:szCs w:val="16"/>
          <w:color w:val="auto"/>
        </w:rPr>
      </w:pPr>
    </w:p>
    <w:p>
      <w:pPr>
        <w:ind w:left="1700" w:hanging="312"/>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References to dollars or “$” refer to the lawful currency of the U.S.</w:t>
      </w:r>
    </w:p>
    <w:p>
      <w:pPr>
        <w:spacing w:after="0" w:line="117" w:lineRule="exact"/>
        <w:rPr>
          <w:rFonts w:ascii="Arial" w:cs="Arial" w:eastAsia="Arial" w:hAnsi="Arial"/>
          <w:sz w:val="18"/>
          <w:szCs w:val="18"/>
          <w:color w:val="auto"/>
        </w:rPr>
      </w:pPr>
    </w:p>
    <w:p>
      <w:pPr>
        <w:ind w:left="440" w:right="600" w:firstLine="948"/>
        <w:spacing w:after="0" w:line="277" w:lineRule="auto"/>
        <w:tabs>
          <w:tab w:leader="none" w:pos="1697"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terms “include” or “including” are by way of example and not limitation and shall be deemed followed by the words “without limitation”.</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term “or”, when used in a list of two or more items, means “and/or” and may indicate any combination of the items.</w:t>
      </w:r>
    </w:p>
    <w:p>
      <w:pPr>
        <w:spacing w:after="0" w:line="128" w:lineRule="exact"/>
        <w:rPr>
          <w:rFonts w:ascii="Arial" w:cs="Arial" w:eastAsia="Arial" w:hAnsi="Arial"/>
          <w:sz w:val="17"/>
          <w:szCs w:val="17"/>
          <w:color w:val="auto"/>
        </w:rPr>
      </w:pPr>
    </w:p>
    <w:p>
      <w:pPr>
        <w:ind w:left="440" w:right="740" w:firstLine="948"/>
        <w:spacing w:after="0" w:line="277" w:lineRule="auto"/>
        <w:tabs>
          <w:tab w:leader="none" w:pos="1697"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62"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Section headings herein are included for convenience of reference only and shall not affect the interpretation of this Agreement.</w:t>
      </w:r>
    </w:p>
    <w:p>
      <w:pPr>
        <w:spacing w:after="0" w:line="128" w:lineRule="exact"/>
        <w:rPr>
          <w:rFonts w:ascii="Arial" w:cs="Arial" w:eastAsia="Arial" w:hAnsi="Arial"/>
          <w:sz w:val="17"/>
          <w:szCs w:val="17"/>
          <w:color w:val="auto"/>
        </w:rPr>
      </w:pPr>
    </w:p>
    <w:p>
      <w:pPr>
        <w:ind w:firstLine="987"/>
        <w:spacing w:after="0" w:line="275" w:lineRule="auto"/>
        <w:tabs>
          <w:tab w:leader="none" w:pos="1246" w:val="left"/>
        </w:tabs>
        <w:numPr>
          <w:ilvl w:val="0"/>
          <w:numId w:val="7"/>
        </w:numPr>
        <w:rPr>
          <w:rFonts w:ascii="Arial" w:cs="Arial" w:eastAsia="Arial" w:hAnsi="Arial"/>
          <w:sz w:val="17"/>
          <w:szCs w:val="17"/>
          <w:color w:val="auto"/>
        </w:rPr>
      </w:pPr>
      <w:r>
        <w:rPr>
          <w:rFonts w:ascii="Arial" w:cs="Arial" w:eastAsia="Arial" w:hAnsi="Arial"/>
          <w:sz w:val="17"/>
          <w:szCs w:val="17"/>
          <w:color w:val="auto"/>
        </w:rPr>
        <w:t>Unless otherwise expressly provided herein, (i) references to organizational documents (including the Operating Agreement), agreements (including this Agreement) and other contractual instruments shall be deemed to include all subsequent amendments, restatements, extensions, supplements and other modifications thereto, but only to the extent that such amendments, restatements, extensions, supplements and other modifications are permitted hereby, and (ii) references to any Law (including the Code and the Treasury Regulations) include all statutory and regulatory provisions consolidating, amending, replacing, supplementing or interpreting such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Basis Adjustments; GoHealth Holdings 754 Election.</w:t>
      </w:r>
    </w:p>
    <w:p>
      <w:pPr>
        <w:spacing w:after="0" w:line="117" w:lineRule="exact"/>
        <w:rPr>
          <w:sz w:val="20"/>
          <w:szCs w:val="20"/>
          <w:color w:val="auto"/>
        </w:rPr>
      </w:pPr>
    </w:p>
    <w:p>
      <w:pPr>
        <w:ind w:right="300" w:firstLine="987"/>
        <w:spacing w:after="0" w:line="311" w:lineRule="auto"/>
        <w:tabs>
          <w:tab w:leader="none" w:pos="123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Basis Adjustments.</w:t>
      </w:r>
      <w:r>
        <w:rPr>
          <w:rFonts w:ascii="Arial" w:cs="Arial" w:eastAsia="Arial" w:hAnsi="Arial"/>
          <w:sz w:val="16"/>
          <w:szCs w:val="16"/>
          <w:color w:val="auto"/>
        </w:rPr>
        <w:t xml:space="preserve"> The Parties acknowledge and agree that (i) each Redemption and the IPO Unit Redemption shall be treated as a direct purchase of Units by the Corporation from the applicable Member pursuant to Section 707(a)(2)(B) of the Code (or any similar provisions of applicable state, local or foreign tax Law) (</w:t>
      </w:r>
      <w:r>
        <w:rPr>
          <w:rFonts w:ascii="Arial" w:cs="Arial" w:eastAsia="Arial" w:hAnsi="Arial"/>
          <w:sz w:val="16"/>
          <w:szCs w:val="16"/>
          <w:i w:val="1"/>
          <w:iCs w:val="1"/>
          <w:color w:val="auto"/>
        </w:rPr>
        <w:t>i.e.</w:t>
      </w:r>
      <w:r>
        <w:rPr>
          <w:rFonts w:ascii="Arial" w:cs="Arial" w:eastAsia="Arial" w:hAnsi="Arial"/>
          <w:sz w:val="16"/>
          <w:szCs w:val="16"/>
          <w:color w:val="auto"/>
        </w:rPr>
        <w:t>, equivalent to a Direct Exchange) and (ii) each Exchange will give rise to Basis Adjustments.</w:t>
      </w:r>
    </w:p>
    <w:p>
      <w:pPr>
        <w:spacing w:after="0" w:line="40" w:lineRule="exact"/>
        <w:rPr>
          <w:rFonts w:ascii="Arial" w:cs="Arial" w:eastAsia="Arial" w:hAnsi="Arial"/>
          <w:sz w:val="16"/>
          <w:szCs w:val="16"/>
          <w:color w:val="auto"/>
        </w:rPr>
      </w:pPr>
    </w:p>
    <w:p>
      <w:pPr>
        <w:ind w:right="20" w:firstLine="987"/>
        <w:spacing w:after="0" w:line="25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GoHealth Holdings Section 754 Election.</w:t>
      </w:r>
      <w:r>
        <w:rPr>
          <w:rFonts w:ascii="Arial" w:cs="Arial" w:eastAsia="Arial" w:hAnsi="Arial"/>
          <w:sz w:val="18"/>
          <w:szCs w:val="18"/>
          <w:color w:val="auto"/>
        </w:rPr>
        <w:t xml:space="preserve"> The Corporation shall cause GoHealth Holdings and each of its Subsidiaries that is treated as a partnership for U.S. Federal income tax purposes to have in effect an election under Section 754 of the Code (or any similar provisions of applicable state, local or foreign tax Law) for each Taxable Year. The Corporation shall take commercially reasonable efforts to cause each Person in which GoHealth Holdings owns a direct or indirect equity interest (other than a Subsidiary) that is so treated as a partnership to have in effect any such election for each Taxable Year.</w:t>
      </w:r>
    </w:p>
    <w:p>
      <w:pPr>
        <w:spacing w:after="0" w:line="18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Basis Schedules.</w:t>
      </w:r>
      <w:r>
        <w:rPr>
          <w:rFonts w:ascii="Arial" w:cs="Arial" w:eastAsia="Arial" w:hAnsi="Arial"/>
          <w:sz w:val="16"/>
          <w:szCs w:val="16"/>
          <w:color w:val="auto"/>
        </w:rPr>
        <w:t xml:space="preserve"> Within 150 calendar days after the filing of the U.S. Federal income Tax Return of the Corporation for each relevant Taxable Year, the Corporation shall deliver to the TRA Holders a schedule showing, in reasonable detail, (a) the Blocker Transferred Basis of the Reference Assets in respect of such TRA Holder, (b) the Existing Basis of the Reference Assets in respect of such TRA Holder, (c) the Non-Exchange Basis of the Reference Assets in respect of such TRA Holder as of each applicable Exchange Date, (d) Non-Adjusted Tax Basis of the Reference Assets as of each applicable Exchange Date, (e) the Exchange Basis and the Basis Adjustments to the Reference Assets for such Taxable Year, calculated (i) in the aggregate and (ii) solely with respect to each applicable TRA Holder, (f) the periods over which the Reference Assets are amortizable or depreciable and (g) the period over which the Blocker Transferred Basis, the Existing Basis, the Exchange Basis and the Basis Adjustments are amortizable or depreciable (such schedule, a “</w:t>
      </w:r>
      <w:r>
        <w:rPr>
          <w:rFonts w:ascii="Arial" w:cs="Arial" w:eastAsia="Arial" w:hAnsi="Arial"/>
          <w:sz w:val="16"/>
          <w:szCs w:val="16"/>
          <w:u w:val="single" w:color="auto"/>
          <w:color w:val="auto"/>
        </w:rPr>
        <w:t>Basis Schedule</w:t>
      </w:r>
      <w:r>
        <w:rPr>
          <w:rFonts w:ascii="Arial" w:cs="Arial" w:eastAsia="Arial" w:hAnsi="Arial"/>
          <w:sz w:val="16"/>
          <w:szCs w:val="16"/>
          <w:color w:val="auto"/>
        </w:rPr>
        <w:t xml:space="preserve">”). A Basis Schedule will become final and binding on the Parties pursuant to the procedures set forth in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may be amended by the Parties pursuant to the procedures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Tax Benefit Schedules.</w:t>
      </w:r>
    </w:p>
    <w:p>
      <w:pPr>
        <w:spacing w:after="0" w:line="117" w:lineRule="exact"/>
        <w:rPr>
          <w:sz w:val="20"/>
          <w:szCs w:val="20"/>
          <w:color w:val="auto"/>
        </w:rPr>
      </w:pPr>
    </w:p>
    <w:p>
      <w:pPr>
        <w:ind w:firstLine="987"/>
        <w:spacing w:after="0" w:line="25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Within 150 calendar days after the filing of the U.S. Federal income Tax Return of the Corporation for any Taxable Year in which there is a Realized Tax Benefit or Realized Tax Detriment, the Corporation shall provide to the TRA Holders a schedule showing, in reasonable detail, the calculation of the Realized Tax Benefit or Realized Tax Detriment for such Taxable Year (a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A Tax Benefit Schedule will become final and binding on the Parties pursuant to the procedures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may be amended by the Parties pursuant to the procedures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0" w:name="page21"/>
    <w:bookmarkEnd w:id="20"/>
    <w:p>
      <w:pPr>
        <w:ind w:firstLine="987"/>
        <w:spacing w:after="0" w:line="268" w:lineRule="auto"/>
        <w:tabs>
          <w:tab w:leader="none" w:pos="1246"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Principles.</w:t>
      </w:r>
      <w:r>
        <w:rPr>
          <w:rFonts w:ascii="Arial" w:cs="Arial" w:eastAsia="Arial" w:hAnsi="Arial"/>
          <w:sz w:val="17"/>
          <w:szCs w:val="17"/>
          <w:color w:val="auto"/>
        </w:rPr>
        <w:t xml:space="preserve"> Subject to the provisions hereunder, the Realized Tax Benefit or Realized Tax Detriment for each Taxable Year is intended to measure the decrease or increase in the Actual Tax Liability of the Corporation for such Taxable Year attributable to the Tax Attributes, as determined using a “with and without” methodology described in </w:t>
      </w:r>
      <w:r>
        <w:rPr>
          <w:rFonts w:ascii="Arial" w:cs="Arial" w:eastAsia="Arial" w:hAnsi="Arial"/>
          <w:sz w:val="17"/>
          <w:szCs w:val="17"/>
          <w:u w:val="single" w:color="auto"/>
          <w:color w:val="auto"/>
        </w:rPr>
        <w:t>Section 2.4(a)</w:t>
      </w:r>
      <w:r>
        <w:rPr>
          <w:rFonts w:ascii="Arial" w:cs="Arial" w:eastAsia="Arial" w:hAnsi="Arial"/>
          <w:sz w:val="17"/>
          <w:szCs w:val="17"/>
          <w:color w:val="auto"/>
        </w:rPr>
        <w:t>. Carryovers or carrybacks of any tax item attributable to any of the Tax Attributes shall be considered to be subject to the rules of the Code and the Treasury Regulations, and the appropriate provisions of state, local and foreign tax Law, governing the use, limitation or expiration of carryovers or carrybacks of the relevant type. If a carryover or carryback of any tax item includes a portion that is attributable to any Tax Attribute (a “</w:t>
      </w:r>
      <w:r>
        <w:rPr>
          <w:rFonts w:ascii="Arial" w:cs="Arial" w:eastAsia="Arial" w:hAnsi="Arial"/>
          <w:sz w:val="17"/>
          <w:szCs w:val="17"/>
          <w:u w:val="single" w:color="auto"/>
          <w:color w:val="auto"/>
        </w:rPr>
        <w:t>TRA Portion</w:t>
      </w:r>
      <w:r>
        <w:rPr>
          <w:rFonts w:ascii="Arial" w:cs="Arial" w:eastAsia="Arial" w:hAnsi="Arial"/>
          <w:sz w:val="17"/>
          <w:szCs w:val="17"/>
          <w:color w:val="auto"/>
        </w:rPr>
        <w:t>”) and another portion that is not attributable to any Tax Attribute (a “</w:t>
      </w:r>
      <w:r>
        <w:rPr>
          <w:rFonts w:ascii="Arial" w:cs="Arial" w:eastAsia="Arial" w:hAnsi="Arial"/>
          <w:sz w:val="17"/>
          <w:szCs w:val="17"/>
          <w:u w:val="single" w:color="auto"/>
          <w:color w:val="auto"/>
        </w:rPr>
        <w:t>Non-TRA Portion</w:t>
      </w:r>
      <w:r>
        <w:rPr>
          <w:rFonts w:ascii="Arial" w:cs="Arial" w:eastAsia="Arial" w:hAnsi="Arial"/>
          <w:sz w:val="17"/>
          <w:szCs w:val="17"/>
          <w:color w:val="auto"/>
        </w:rPr>
        <w:t xml:space="preserve">”), such portions shall be considered to be used in accordance with the “with and without” methodology so that (i) the amount of any Non-TRA Portion is deemed utilized first, followed by the amount of any TRA Portion (with the TRA Portion being applied on a proportionate basis consistent with the provisions of </w:t>
      </w:r>
      <w:r>
        <w:rPr>
          <w:rFonts w:ascii="Arial" w:cs="Arial" w:eastAsia="Arial" w:hAnsi="Arial"/>
          <w:sz w:val="17"/>
          <w:szCs w:val="17"/>
          <w:u w:val="single" w:color="auto"/>
          <w:color w:val="auto"/>
        </w:rPr>
        <w:t>Section 3.3(a)</w:t>
      </w:r>
      <w:r>
        <w:rPr>
          <w:rFonts w:ascii="Arial" w:cs="Arial" w:eastAsia="Arial" w:hAnsi="Arial"/>
          <w:sz w:val="17"/>
          <w:szCs w:val="17"/>
          <w:color w:val="auto"/>
        </w:rPr>
        <w:t>) and (ii) in the case of a carryback of a Non-TRA Portion, such carryback shall not affect the original “with and without” calculation made in the prior Taxable Year. Except with respect to the portion of any Payment attributable to Imputed Interest and the portion of any Payment attributable to Existing Basis, all Tax Benefit Payments and payments of Default Rate Interest attributable to the Exchange Basis or Basis Adjustments will be treated as subsequent upward purchase price adjustments that give rise to further Basis Adjustments for the Corporation beginning in the Taxable Year of payment, and as a result, such additional Basis Adjustments will be incorporated into such Taxable Year and into future Taxable Years, as appropriate. The Parties agree that, except with respect to the portion attributable to Imputed Interest, all Tax Benefit Payments attributable to Blocker Transferred Basis will be treated as non-qualifying property or money received in connection with the Blocker Mergers for purposes of Section 356 of the Code.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Procedures; Amendments.</w:t>
      </w:r>
    </w:p>
    <w:p>
      <w:pPr>
        <w:spacing w:after="0" w:line="117" w:lineRule="exact"/>
        <w:rPr>
          <w:sz w:val="20"/>
          <w:szCs w:val="20"/>
          <w:color w:val="auto"/>
        </w:rPr>
      </w:pPr>
    </w:p>
    <w:p>
      <w:pPr>
        <w:ind w:right="40" w:firstLine="987"/>
        <w:spacing w:after="0" w:line="269" w:lineRule="auto"/>
        <w:tabs>
          <w:tab w:leader="none" w:pos="123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xml:space="preserve"> At any time at least 90 calendar days before a Schedule is due, the TRA Holders may, by written notice, require the Corporation to retain and cause the Advisory Firm to prepare all subsequently due Schedules necessitated by this Agreement. Each time the Corporation delivers a Schedule to the TRA Holders under this Agreement, the Corporation shall, with respect to such Schedule, also (i) deliver to the TRA Holders supporting schedules and work papers, as determined by the Corporation or as reasonably requested by any TRA Holder, that provide a reasonable level of detail regarding relevant data and calculations and (ii) allow the TRA Holders and their advisors to have reasonable access to the appropriate representatives, as determined by the Corporation or as reasonably requested by the TRA Holders, at the Corporation or the Advisory Firm in connection with a review of relevant information. Without limiting the generality of the preceding sentence, the Corporation shall ensure that any Tax Benefit Schedule that is delivered to the TRA Holders, along with any supporting schedules and work papers, provides a reasonably detailed presentation of the calculations of the Actual Tax Liability for the relevant Taxable Year and the Hypothetical Tax Liability for such Taxable Year, and identifies any material assumptions or operating procedures or principles that were used for purposes of such calculations. A Schedule will become final and binding on the TRA Holders 30 calendar days from the date on which the TRA Holders first received the applicable Schedule unless a TRA Holder, within such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1" w:name="page22"/>
    <w:bookmarkEnd w:id="21"/>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provides the Corporation with written notice of a material objection (made in good faith) to such Schedule and sets forth in reasonable detail such TRA Holder’s material objection (an “</w:t>
      </w:r>
      <w:r>
        <w:rPr>
          <w:rFonts w:ascii="Arial" w:cs="Arial" w:eastAsia="Arial" w:hAnsi="Arial"/>
          <w:sz w:val="16"/>
          <w:szCs w:val="16"/>
          <w:u w:val="single" w:color="auto"/>
          <w:color w:val="auto"/>
        </w:rPr>
        <w:t>Objection Notice</w:t>
      </w:r>
      <w:r>
        <w:rPr>
          <w:rFonts w:ascii="Arial" w:cs="Arial" w:eastAsia="Arial" w:hAnsi="Arial"/>
          <w:sz w:val="16"/>
          <w:szCs w:val="16"/>
          <w:color w:val="auto"/>
        </w:rPr>
        <w:t xml:space="preserve">”). If the Parties, for any reason, are unable to resolve the issues raised in such Objection Notice within 30 calendar days after receipt by the Corporation of the Objection Notice, the Corporation and the applicable TRA Holder shall employ the Reconciliation Procedures described in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and the finalization of the Schedule will be conducted in accordance therewith.</w:t>
      </w:r>
    </w:p>
    <w:p>
      <w:pPr>
        <w:spacing w:after="0" w:line="49" w:lineRule="exact"/>
        <w:rPr>
          <w:sz w:val="20"/>
          <w:szCs w:val="20"/>
          <w:color w:val="auto"/>
        </w:rPr>
      </w:pPr>
    </w:p>
    <w:p>
      <w:pPr>
        <w:ind w:firstLine="987"/>
        <w:spacing w:after="0" w:line="289" w:lineRule="auto"/>
        <w:tabs>
          <w:tab w:leader="none" w:pos="124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Amended Schedule.</w:t>
      </w:r>
      <w:r>
        <w:rPr>
          <w:rFonts w:ascii="Arial" w:cs="Arial" w:eastAsia="Arial" w:hAnsi="Arial"/>
          <w:sz w:val="16"/>
          <w:szCs w:val="16"/>
          <w:color w:val="auto"/>
        </w:rPr>
        <w:t xml:space="preserve"> A Schedule (other than an Early Termination Schedule) for any Taxable Year may only and shall be amended from time to time by the Corporation (i) in connection with a Determination affecting such Schedule, (ii) to correct inaccuracies in such Schedule identified as a result of the receipt of additional factual information relating to a Taxable Year after the date such Schedule was originally provided to the TRA Holders, (iii) to comply with an Expert’s determination under the Reconciliation Procedures, (iv) to reflect a change in the Realized Tax Benefit or Realized Tax Detriment for such Taxable Year attributable to a carryover or carryback of a loss or other tax item to such Taxable Year or (v) to reflect a change in the Realized Tax Benefit or Realized Tax Detriment for such Taxable Year attributable to an amended Tax Return filed for such Taxable Year (any such Schedule in its amended form, an “</w:t>
      </w:r>
      <w:r>
        <w:rPr>
          <w:rFonts w:ascii="Arial" w:cs="Arial" w:eastAsia="Arial" w:hAnsi="Arial"/>
          <w:sz w:val="16"/>
          <w:szCs w:val="16"/>
          <w:u w:val="single" w:color="auto"/>
          <w:color w:val="auto"/>
        </w:rPr>
        <w:t>Amended Schedule</w:t>
      </w:r>
      <w:r>
        <w:rPr>
          <w:rFonts w:ascii="Arial" w:cs="Arial" w:eastAsia="Arial" w:hAnsi="Arial"/>
          <w:sz w:val="16"/>
          <w:szCs w:val="16"/>
          <w:color w:val="auto"/>
        </w:rPr>
        <w:t xml:space="preserve">”). The Corporation shall provide any Amended Schedule to the applicable TRA Holders within 30 calendar days of the occurrence of an event referred to in any of </w:t>
      </w:r>
      <w:r>
        <w:rPr>
          <w:rFonts w:ascii="Arial" w:cs="Arial" w:eastAsia="Arial" w:hAnsi="Arial"/>
          <w:sz w:val="16"/>
          <w:szCs w:val="16"/>
          <w:u w:val="single" w:color="auto"/>
          <w:color w:val="auto"/>
        </w:rPr>
        <w:t>clauses (i) through (v)</w:t>
      </w:r>
      <w:r>
        <w:rPr>
          <w:rFonts w:ascii="Arial" w:cs="Arial" w:eastAsia="Arial" w:hAnsi="Arial"/>
          <w:sz w:val="16"/>
          <w:szCs w:val="16"/>
          <w:color w:val="auto"/>
        </w:rPr>
        <w:t xml:space="preserve"> of the preceding sentence, and the delivery and finalization of any such Amended Schedule shall, for the avoidance of doubt, be subject to the procedures described in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Tax Benefit Payments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Timing and Amount of Tax Benefit Payments.</w:t>
      </w:r>
    </w:p>
    <w:p>
      <w:pPr>
        <w:spacing w:after="0" w:line="117" w:lineRule="exact"/>
        <w:rPr>
          <w:sz w:val="20"/>
          <w:szCs w:val="20"/>
          <w:color w:val="auto"/>
        </w:rPr>
      </w:pPr>
    </w:p>
    <w:p>
      <w:pPr>
        <w:ind w:right="20" w:firstLine="987"/>
        <w:spacing w:after="0" w:line="296" w:lineRule="auto"/>
        <w:tabs>
          <w:tab w:leader="none" w:pos="123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by the date that is 3 Business Days following the date on which each Tax Benefit Schedule becomes final in accordance with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(such date, the “</w:t>
      </w:r>
      <w:r>
        <w:rPr>
          <w:rFonts w:ascii="Arial" w:cs="Arial" w:eastAsia="Arial" w:hAnsi="Arial"/>
          <w:sz w:val="16"/>
          <w:szCs w:val="16"/>
          <w:u w:val="single" w:color="auto"/>
          <w:color w:val="auto"/>
        </w:rPr>
        <w:t>Final Payment Date</w:t>
      </w:r>
      <w:r>
        <w:rPr>
          <w:rFonts w:ascii="Arial" w:cs="Arial" w:eastAsia="Arial" w:hAnsi="Arial"/>
          <w:sz w:val="16"/>
          <w:szCs w:val="16"/>
          <w:color w:val="auto"/>
        </w:rPr>
        <w:t xml:space="preserve">” in respect of any Tax Benefit Payment), the Corporation shall pay in full to each relevant TRA Holder the Tax Benefit Payment as determined pursuant to </w:t>
      </w:r>
      <w:r>
        <w:rPr>
          <w:rFonts w:ascii="Arial" w:cs="Arial" w:eastAsia="Arial" w:hAnsi="Arial"/>
          <w:sz w:val="16"/>
          <w:szCs w:val="16"/>
          <w:u w:val="single" w:color="auto"/>
          <w:color w:val="auto"/>
        </w:rPr>
        <w:t>Section 3.1(b)</w:t>
      </w:r>
      <w:r>
        <w:rPr>
          <w:rFonts w:ascii="Arial" w:cs="Arial" w:eastAsia="Arial" w:hAnsi="Arial"/>
          <w:sz w:val="16"/>
          <w:szCs w:val="16"/>
          <w:color w:val="auto"/>
        </w:rPr>
        <w:t>. Each such Tax Benefit Payment shall be made by wire transfer of immediately available funds to a bank account or accounts designated by such TRA Holder. For the avoidance of doubt, no TRA Holder shall be required under any circumstances to return any Payment or any Default Rate Interest paid by the Corporation to such TRA Holder.</w:t>
      </w:r>
    </w:p>
    <w:p>
      <w:pPr>
        <w:spacing w:after="0" w:line="53" w:lineRule="exact"/>
        <w:rPr>
          <w:rFonts w:ascii="Arial" w:cs="Arial" w:eastAsia="Arial" w:hAnsi="Arial"/>
          <w:sz w:val="16"/>
          <w:szCs w:val="16"/>
          <w:color w:val="auto"/>
        </w:rPr>
      </w:pPr>
    </w:p>
    <w:p>
      <w:pPr>
        <w:ind w:right="40" w:firstLine="987"/>
        <w:spacing w:after="0" w:line="286" w:lineRule="auto"/>
        <w:tabs>
          <w:tab w:leader="none" w:pos="1246"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Amount of Payments.</w:t>
      </w:r>
      <w:r>
        <w:rPr>
          <w:rFonts w:ascii="Arial" w:cs="Arial" w:eastAsia="Arial" w:hAnsi="Arial"/>
          <w:sz w:val="17"/>
          <w:szCs w:val="17"/>
          <w:color w:val="auto"/>
        </w:rPr>
        <w:t xml:space="preserve"> For purposes of this Agreement, a “</w:t>
      </w:r>
      <w:r>
        <w:rPr>
          <w:rFonts w:ascii="Arial" w:cs="Arial" w:eastAsia="Arial" w:hAnsi="Arial"/>
          <w:sz w:val="17"/>
          <w:szCs w:val="17"/>
          <w:u w:val="single" w:color="auto"/>
          <w:color w:val="auto"/>
        </w:rPr>
        <w:t>Tax Benefit Payment</w:t>
      </w:r>
      <w:r>
        <w:rPr>
          <w:rFonts w:ascii="Arial" w:cs="Arial" w:eastAsia="Arial" w:hAnsi="Arial"/>
          <w:sz w:val="17"/>
          <w:szCs w:val="17"/>
          <w:color w:val="auto"/>
        </w:rPr>
        <w:t>” with respect to any TRA Holder means an amount equal to the sum of the Net Tax Benefit that is Attributable to such TRA Holder and the Interest Amount. No Tax Benefit Payment shall be calculated or made in respect of any estimated tax payments, including any estimated U.S. Federal income tax payments.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2" w:name="page23"/>
    <w:bookmarkEnd w:id="22"/>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w:t>
      </w:r>
      <w:r>
        <w:rPr>
          <w:rFonts w:ascii="Arial" w:cs="Arial" w:eastAsia="Arial" w:hAnsi="Arial"/>
          <w:sz w:val="18"/>
          <w:szCs w:val="18"/>
          <w:u w:val="single" w:color="auto"/>
          <w:color w:val="auto"/>
        </w:rPr>
        <w:t>Attributable.</w:t>
      </w:r>
      <w:r>
        <w:rPr>
          <w:rFonts w:ascii="Arial" w:cs="Arial" w:eastAsia="Arial" w:hAnsi="Arial"/>
          <w:sz w:val="18"/>
          <w:szCs w:val="18"/>
          <w:color w:val="auto"/>
        </w:rPr>
        <w:t xml:space="preserve"> A Net Tax Benefit is “</w:t>
      </w:r>
      <w:r>
        <w:rPr>
          <w:rFonts w:ascii="Arial" w:cs="Arial" w:eastAsia="Arial" w:hAnsi="Arial"/>
          <w:sz w:val="18"/>
          <w:szCs w:val="18"/>
          <w:u w:val="single" w:color="auto"/>
          <w:color w:val="auto"/>
        </w:rPr>
        <w:t>Attributable</w:t>
      </w:r>
      <w:r>
        <w:rPr>
          <w:rFonts w:ascii="Arial" w:cs="Arial" w:eastAsia="Arial" w:hAnsi="Arial"/>
          <w:sz w:val="18"/>
          <w:szCs w:val="18"/>
          <w:color w:val="auto"/>
        </w:rPr>
        <w:t>” to a TRA Holder with respect to any Tax Attribute under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principles:</w:t>
      </w:r>
    </w:p>
    <w:p>
      <w:pPr>
        <w:spacing w:after="0" w:line="103" w:lineRule="exact"/>
        <w:rPr>
          <w:sz w:val="20"/>
          <w:szCs w:val="20"/>
          <w:color w:val="auto"/>
        </w:rPr>
      </w:pPr>
    </w:p>
    <w:p>
      <w:pPr>
        <w:ind w:left="540" w:right="60" w:firstLine="910"/>
        <w:spacing w:after="0" w:line="342" w:lineRule="auto"/>
        <w:tabs>
          <w:tab w:leader="none" w:pos="173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Blocker Transferred Basis is Attributable to the Blocker Shareholders in accordance with such Blocker Shareholders’ proportionate ownership of the total equity interests of the Blocker Corporation immediately prior to the Blocker Mergers;</w:t>
      </w:r>
    </w:p>
    <w:p>
      <w:pPr>
        <w:spacing w:after="0" w:line="15" w:lineRule="exact"/>
        <w:rPr>
          <w:rFonts w:ascii="Arial" w:cs="Arial" w:eastAsia="Arial" w:hAnsi="Arial"/>
          <w:sz w:val="16"/>
          <w:szCs w:val="16"/>
          <w:color w:val="auto"/>
        </w:rPr>
      </w:pPr>
    </w:p>
    <w:p>
      <w:pPr>
        <w:ind w:left="540" w:firstLine="910"/>
        <w:spacing w:after="0" w:line="259" w:lineRule="auto"/>
        <w:tabs>
          <w:tab w:leader="none" w:pos="172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Existing Basis shall be determined separately with respect to each Member and is Attributable to a Member based on such Member’s relative pro rata share in accordance with percentage interest of Units held immediately after the Recapitalization and prior to the IPO Unit Redemption and the IPO or, in the case of a Subsequent Capital Contribution, immediately prior to such Subsequent Capital Contribution;</w:t>
      </w:r>
    </w:p>
    <w:p>
      <w:pPr>
        <w:spacing w:after="0" w:line="78" w:lineRule="exact"/>
        <w:rPr>
          <w:rFonts w:ascii="Arial" w:cs="Arial" w:eastAsia="Arial" w:hAnsi="Arial"/>
          <w:sz w:val="18"/>
          <w:szCs w:val="18"/>
          <w:color w:val="auto"/>
        </w:rPr>
      </w:pPr>
    </w:p>
    <w:p>
      <w:pPr>
        <w:ind w:left="540" w:right="120" w:firstLine="910"/>
        <w:spacing w:after="0" w:line="263" w:lineRule="auto"/>
        <w:tabs>
          <w:tab w:leader="none" w:pos="172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Exchange Basis, Basis Adjustment and Imputed Interest shall be determined separately with respect to each Member and each Exchange undertaken by or with respect such Member in an amount equal to the total Exchange Basis, Basis Adjustments and Imputed Interest relating to the Units Exchanged by or with respect to such Member.</w:t>
      </w:r>
    </w:p>
    <w:p>
      <w:pPr>
        <w:spacing w:after="0" w:line="75" w:lineRule="exact"/>
        <w:rPr>
          <w:rFonts w:ascii="Arial" w:cs="Arial" w:eastAsia="Arial" w:hAnsi="Arial"/>
          <w:sz w:val="18"/>
          <w:szCs w:val="18"/>
          <w:color w:val="auto"/>
        </w:rPr>
      </w:pPr>
    </w:p>
    <w:p>
      <w:pPr>
        <w:ind w:right="80" w:firstLine="948"/>
        <w:spacing w:after="0" w:line="259" w:lineRule="auto"/>
        <w:tabs>
          <w:tab w:leader="none" w:pos="121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with respect to a TRA Holder for a Taxable Year equals the amount of the excess, if any, of (A) 85% of the Cumulative Net Realized Tax Benefit Attributable to such TRA Holder as of the end of such Taxable Year over (B) the aggregate amount of all Tax Benefit Payments previously made to such TRA Holder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(excluding payments attributable to Interest Amounts).</w:t>
      </w:r>
    </w:p>
    <w:p>
      <w:pPr>
        <w:spacing w:after="0" w:line="78" w:lineRule="exact"/>
        <w:rPr>
          <w:rFonts w:ascii="Arial" w:cs="Arial" w:eastAsia="Arial" w:hAnsi="Arial"/>
          <w:sz w:val="18"/>
          <w:szCs w:val="18"/>
          <w:color w:val="auto"/>
        </w:rPr>
      </w:pPr>
    </w:p>
    <w:p>
      <w:pPr>
        <w:ind w:right="60" w:firstLine="948"/>
        <w:spacing w:after="0" w:line="301" w:lineRule="auto"/>
        <w:tabs>
          <w:tab w:leader="none" w:pos="1267"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Cumulative Net Realized Tax Benefit.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Cumulative Net Realized Tax Benefit</w:t>
      </w:r>
      <w:r>
        <w:rPr>
          <w:rFonts w:ascii="Arial" w:cs="Arial" w:eastAsia="Arial" w:hAnsi="Arial"/>
          <w:sz w:val="16"/>
          <w:szCs w:val="16"/>
          <w:color w:val="auto"/>
        </w:rPr>
        <w:t>” 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49" w:lineRule="exact"/>
        <w:rPr>
          <w:rFonts w:ascii="Arial" w:cs="Arial" w:eastAsia="Arial" w:hAnsi="Arial"/>
          <w:sz w:val="16"/>
          <w:szCs w:val="16"/>
          <w:color w:val="auto"/>
        </w:rPr>
      </w:pPr>
    </w:p>
    <w:p>
      <w:pPr>
        <w:ind w:right="20" w:firstLine="948"/>
        <w:spacing w:after="0" w:line="259"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Realized Tax Benefit.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for a Taxable Year equals the excess, if any, of the Hypothetical Tax Liability over the Actual Tax Liability for such Taxable Year. If all or a portion of the Actual Tax Liability for such Taxable Year arises as a result of an audit or similar proceeding by a Taxing Authority of any Taxable Year, such liability shall not be included in determining the Realized Tax Benefit unless and until there has been a Determination.</w:t>
      </w:r>
    </w:p>
    <w:p>
      <w:pPr>
        <w:spacing w:after="0" w:line="78" w:lineRule="exact"/>
        <w:rPr>
          <w:rFonts w:ascii="Arial" w:cs="Arial" w:eastAsia="Arial" w:hAnsi="Arial"/>
          <w:sz w:val="18"/>
          <w:szCs w:val="18"/>
          <w:color w:val="auto"/>
        </w:rPr>
      </w:pPr>
    </w:p>
    <w:p>
      <w:pPr>
        <w:ind w:right="100" w:firstLine="948"/>
        <w:spacing w:after="0" w:line="259" w:lineRule="auto"/>
        <w:tabs>
          <w:tab w:leader="none" w:pos="120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Realized Tax Detriment.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for a Taxable Year equals the excess, if any, of the Actual Tax Liability over the Hypothetical Tax Liability for such Taxable Year. If all or a portion of the Actual Tax Liability for such Taxable Year arises as a result of an audit or similar proceeding by a Taxing Authority of any Taxable Year, such liability shall not be included in determining the Realized Tax Detriment unless and until there has been a Determination.</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3" w:name="page24"/>
    <w:bookmarkEnd w:id="23"/>
    <w:p>
      <w:pPr>
        <w:ind w:left="440" w:firstLine="948"/>
        <w:spacing w:after="0" w:line="279" w:lineRule="auto"/>
        <w:tabs>
          <w:tab w:leader="none" w:pos="1696"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Amount.</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Interest Amount</w:t>
      </w:r>
      <w:r>
        <w:rPr>
          <w:rFonts w:ascii="Arial" w:cs="Arial" w:eastAsia="Arial" w:hAnsi="Arial"/>
          <w:sz w:val="17"/>
          <w:szCs w:val="17"/>
          <w:color w:val="auto"/>
        </w:rPr>
        <w:t>” in respect of a TRA Holder equals interest on the unpaid amount of the Net Tax Benefit with respect to such TRA Holder for a Taxable Year, calculated at the Agreed Rate from the due date (without extensions) for filing the U.S. Federal income Tax Return of the Corporation for such Taxable Year until the earlier of (A) the date on which no remaining Tax Benefit Payment to the TRA Holder is due in respect of such Net Tax Benefit and (B) the applicable Final Payment Date.</w:t>
      </w:r>
    </w:p>
    <w:p>
      <w:pPr>
        <w:spacing w:after="0" w:line="63" w:lineRule="exact"/>
        <w:rPr>
          <w:rFonts w:ascii="Arial" w:cs="Arial" w:eastAsia="Arial" w:hAnsi="Arial"/>
          <w:sz w:val="17"/>
          <w:szCs w:val="17"/>
          <w:color w:val="auto"/>
        </w:rPr>
      </w:pPr>
    </w:p>
    <w:p>
      <w:pPr>
        <w:ind w:left="440" w:right="100" w:firstLine="948"/>
        <w:spacing w:after="0" w:line="283" w:lineRule="auto"/>
        <w:tabs>
          <w:tab w:leader="none" w:pos="1747"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TRA Holders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unless the applicable TRA Holder notifies the Corporation otherwise, the stated maximum selling price (within the meaning of Treasury Regulation 15A.453-1(c)(2)) (A) with respect to the Blocker Mergers (including amounts payable to the Blocker Shareholder pursuant to this Agreement) shall not exceed sum of (I) the value of the Class A Common Stock delivered to the Blocker Shareholders in the Blocker Mergers on the closing date of such Blocker Mergers, (II) the amount of cash, if any, delivered to the Blocker Shareholders in the Blocker Mergers plus (III) 40% of Blocker Transferred Basis, and the aggregate Payments under this Agreement to such Blocker Shareholders (other than amounts accounted for as interest under the Code) shall not exceed the amount described in this clause (III) and (B) with respect to any transfer of Units by a Member pursuant to an Exchange shall not exceed the sum of (I) the value of the Class A Common Stock or the amount of cash delivered to the Member, in each case, in the Exchange plus</w:t>
      </w:r>
    </w:p>
    <w:p>
      <w:pPr>
        <w:spacing w:after="0" w:line="4" w:lineRule="exact"/>
        <w:rPr>
          <w:rFonts w:ascii="Arial" w:cs="Arial" w:eastAsia="Arial" w:hAnsi="Arial"/>
          <w:sz w:val="16"/>
          <w:szCs w:val="16"/>
          <w:color w:val="auto"/>
        </w:rPr>
      </w:pPr>
    </w:p>
    <w:p>
      <w:pPr>
        <w:ind w:left="440" w:right="300" w:hanging="4"/>
        <w:spacing w:after="0" w:line="290" w:lineRule="auto"/>
        <w:tabs>
          <w:tab w:leader="none" w:pos="7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65% of all Basis Adjustments arising from such Exchange, and the aggregate Payments under this Agreement to such Member (other than amounts accounted for as interest under the Code) shall not exceed the amount described in this clause (II).</w:t>
      </w:r>
    </w:p>
    <w:p>
      <w:pPr>
        <w:spacing w:after="0" w:line="161"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Duplicative Payments.</w:t>
      </w:r>
      <w:r>
        <w:rPr>
          <w:rFonts w:ascii="Arial" w:cs="Arial" w:eastAsia="Arial" w:hAnsi="Arial"/>
          <w:sz w:val="18"/>
          <w:szCs w:val="18"/>
          <w:color w:val="auto"/>
        </w:rPr>
        <w:t xml:space="preserve"> It is intended that the provisions hereunder will not result in the duplicative payment of any amount that may be required under this Agreement, and the provisions hereunder shall be consistently interpreted and applied in accordance with that intent.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Pro-Ration of Payments as Between the TRA Holders.</w:t>
      </w:r>
    </w:p>
    <w:p>
      <w:pPr>
        <w:spacing w:after="0" w:line="117" w:lineRule="exact"/>
        <w:rPr>
          <w:sz w:val="20"/>
          <w:szCs w:val="20"/>
          <w:color w:val="auto"/>
        </w:rPr>
      </w:pPr>
    </w:p>
    <w:p>
      <w:pPr>
        <w:ind w:right="20" w:firstLine="987"/>
        <w:spacing w:after="0" w:line="296" w:lineRule="auto"/>
        <w:tabs>
          <w:tab w:leader="none" w:pos="123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Insufficient Taxable Income.</w:t>
      </w:r>
      <w:r>
        <w:rPr>
          <w:rFonts w:ascii="Arial" w:cs="Arial" w:eastAsia="Arial" w:hAnsi="Arial"/>
          <w:sz w:val="16"/>
          <w:szCs w:val="16"/>
          <w:color w:val="auto"/>
        </w:rPr>
        <w:t xml:space="preserve"> Notwithstanding anything in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to the contrary, if the aggregate potential Covered Tax benefit of the Corporation as calculated with respect to the Tax Attributes (in each case, without regard to the Taxable Year of origination) is limited in a particular Taxable Year because the Corporation does not have sufficient actual taxable income, then the available Covered Tax benefit for the Corporation shall be allocated among the TRA Holders in proportion to the respective Tax Benefit Payment that would have been payable if the Corporation had sufficient taxable income. For example, if the Corporation had $200 of aggregate potential Covered Tax benefits with</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24" w:name="page25"/>
    <w:bookmarkEnd w:id="24"/>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the Tax Attributes in a particular Taxable Year (with $50 of such Covered Tax benefits Attributable to TRA Holder A and $150 Attributable to TRA Holder B), such that TRA Holder A would have been entitled to a Tax Benefit Payment of $42.50 and TRA Holder B would have been entitled to a Tax Benefit Payment of $127.50 if the Corporation had sufficient actual taxable income, and if the Corporation instead had insufficient actual taxable income in such Taxable Year, such that the Covered Tax benefit was limited to $100, then $25 of the aggregate $100 actual Covered Tax benefit for the Corporation for such Taxable Year would be allocated to TRA Holder A and $75 would be allocated to TRA Holder B, such that TRA Holder A would receive a Tax Benefit Payment of $21.25 and TRA Holder B would receive a Tax Benefit Payment of $63.75.</w:t>
      </w:r>
    </w:p>
    <w:p>
      <w:pPr>
        <w:spacing w:after="0" w:line="56" w:lineRule="exact"/>
        <w:rPr>
          <w:sz w:val="20"/>
          <w:szCs w:val="20"/>
          <w:color w:val="auto"/>
        </w:rPr>
      </w:pPr>
    </w:p>
    <w:p>
      <w:pPr>
        <w:jc w:val="both"/>
        <w:ind w:left="4" w:right="140" w:firstLine="987"/>
        <w:spacing w:after="0" w:line="275" w:lineRule="auto"/>
        <w:tabs>
          <w:tab w:leader="none" w:pos="125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Late Payments.</w:t>
      </w:r>
      <w:r>
        <w:rPr>
          <w:rFonts w:ascii="Arial" w:cs="Arial" w:eastAsia="Arial" w:hAnsi="Arial"/>
          <w:sz w:val="17"/>
          <w:szCs w:val="17"/>
          <w:color w:val="auto"/>
        </w:rPr>
        <w:t xml:space="preserve"> If for any reason the Corporation is not able to fully satisfy its payment obligations to make all Tax Benefit Payments due in respect of a particular Taxable Year, then (i) Default Rate Interest will accrue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(ii) the Corporation shall pay the available amount of such Tax Benefit Payments (and any applicable Default Rate Interest) in respect of such Taxable Year to each TRA Holder pro rata in line with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and (iii) no Tax Benefit Payment shall be made in respect of any Taxable Year until all Tax Benefit Payments (and any applicable Default Rate Interest) to all TRA Holders in respect of all prior Taxable Years have been made in full.</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Early Termination of Agreement; Acceleration Events.</w:t>
      </w:r>
    </w:p>
    <w:p>
      <w:pPr>
        <w:spacing w:after="0" w:line="117" w:lineRule="exact"/>
        <w:rPr>
          <w:sz w:val="20"/>
          <w:szCs w:val="20"/>
          <w:color w:val="auto"/>
        </w:rPr>
      </w:pPr>
    </w:p>
    <w:p>
      <w:pPr>
        <w:ind w:left="4" w:firstLine="987"/>
        <w:spacing w:after="0" w:line="263" w:lineRule="auto"/>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Corporation’s Early Termination Right.</w:t>
      </w:r>
      <w:r>
        <w:rPr>
          <w:rFonts w:ascii="Arial" w:cs="Arial" w:eastAsia="Arial" w:hAnsi="Arial"/>
          <w:sz w:val="18"/>
          <w:szCs w:val="18"/>
          <w:color w:val="auto"/>
        </w:rPr>
        <w:t xml:space="preserve"> With the written approval of a majority of the Independent Directors, the Corporation may terminate this Agreement, as and to the extent provided herein, by paying in full each and every TRA Holder the Early Termination Payment (along with any applicable Default Rate Interest) due to such TRA Holder.</w:t>
      </w:r>
    </w:p>
    <w:p>
      <w:pPr>
        <w:spacing w:after="0" w:line="75" w:lineRule="exact"/>
        <w:rPr>
          <w:rFonts w:ascii="Arial" w:cs="Arial" w:eastAsia="Arial" w:hAnsi="Arial"/>
          <w:sz w:val="18"/>
          <w:szCs w:val="18"/>
          <w:color w:val="auto"/>
        </w:rPr>
      </w:pPr>
    </w:p>
    <w:p>
      <w:pPr>
        <w:ind w:left="4" w:right="240" w:firstLine="987"/>
        <w:spacing w:after="0" w:line="263" w:lineRule="auto"/>
        <w:tabs>
          <w:tab w:leader="none" w:pos="125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of Control.</w:t>
      </w:r>
      <w:r>
        <w:rPr>
          <w:rFonts w:ascii="Arial" w:cs="Arial" w:eastAsia="Arial" w:hAnsi="Arial"/>
          <w:sz w:val="18"/>
          <w:szCs w:val="18"/>
          <w:color w:val="auto"/>
        </w:rPr>
        <w:t xml:space="preserve"> In the event of a Change of Control, the Early Termination Payment (calculated as if an Early Termination Notice had been delivered on the date of the Change of Control) shall become due and payable in accordance with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the Agreement shall terminate, as and to the extent provided herein.</w:t>
      </w:r>
    </w:p>
    <w:p>
      <w:pPr>
        <w:spacing w:after="0" w:line="75" w:lineRule="exact"/>
        <w:rPr>
          <w:rFonts w:ascii="Arial" w:cs="Arial" w:eastAsia="Arial" w:hAnsi="Arial"/>
          <w:sz w:val="18"/>
          <w:szCs w:val="18"/>
          <w:color w:val="auto"/>
        </w:rPr>
      </w:pPr>
    </w:p>
    <w:p>
      <w:pPr>
        <w:ind w:left="4" w:right="140" w:firstLine="987"/>
        <w:spacing w:after="0" w:line="285" w:lineRule="auto"/>
        <w:tabs>
          <w:tab w:leader="none" w:pos="124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Acceleration upon Breach of Agreement.</w:t>
      </w:r>
      <w:r>
        <w:rPr>
          <w:rFonts w:ascii="Arial" w:cs="Arial" w:eastAsia="Arial" w:hAnsi="Arial"/>
          <w:sz w:val="16"/>
          <w:szCs w:val="16"/>
          <w:color w:val="auto"/>
        </w:rPr>
        <w:t xml:space="preserve"> In the event of a Material Breach, the Early Termination Payment (calculated as if an Early Termination Notice had been delivered on the date of the Material Breach) shall become due and payable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the Agreement shall terminate, as and to the extent provided herein. Subject to the next sentence, the Corporation’s failure to make a Payment (along with any applicable Default Rate Interest) within 30 calendar days of the applicable Final Payment Date shall be deemed to constitute a Material Breach. To the extent that any Tax Benefit Payment is not made by the date that is 30 calendar days after the relevant Final Payment Date because the Corporation</w:t>
      </w:r>
    </w:p>
    <w:p>
      <w:pPr>
        <w:spacing w:after="0" w:line="1" w:lineRule="exact"/>
        <w:rPr>
          <w:rFonts w:ascii="Arial" w:cs="Arial" w:eastAsia="Arial" w:hAnsi="Arial"/>
          <w:sz w:val="16"/>
          <w:szCs w:val="16"/>
          <w:color w:val="auto"/>
        </w:rPr>
      </w:pPr>
    </w:p>
    <w:p>
      <w:pPr>
        <w:ind w:left="4" w:right="40" w:hanging="4"/>
        <w:spacing w:after="0" w:line="260"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is prohibited from making such payment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the terms of any agreement governing any Senior Obligations or (ii) does not have, and cannot take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5" w:name="page26"/>
    <w:bookmarkEnd w:id="2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commercially reasonable actions to obtain, sufficient funds to make such payment, such failure will not constitute a Material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5" w:lineRule="exact"/>
        <w:rPr>
          <w:sz w:val="20"/>
          <w:szCs w:val="20"/>
          <w:color w:val="auto"/>
        </w:rPr>
      </w:pPr>
    </w:p>
    <w:p>
      <w:pPr>
        <w:ind w:left="4" w:right="20" w:hanging="4"/>
        <w:spacing w:after="0" w:line="267" w:lineRule="auto"/>
        <w:tabs>
          <w:tab w:leader="none" w:pos="299"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such payment obligation nevertheless will accrue for the benefit of the TRA Holders, (B) the Corporation shall promptly (and in any event, within 3 Business Days) pay the entirety of the unpaid amount (along with any applicable Default Rate Interest) once the Corporation is not prohibited from making such payment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the terms of the agreements governing the Senior Obligations and the Corporation has sufficient funds to make such payment and (C) the failure of the Corporation to do so will constitute a Material Breach;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that the interest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apply to such late payment (unless the Corporation does not have sufficient funds to make such payment as a result of limitations imposed by any Senior Obligations, in which case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apply, but the Default Rate shall be replaced by the Agreed Rate). It shall be a Material Breach if the Corporation makes any distribution of cash or other property (other than shares of Class A Common Stock) to its stockholders or uses cash or other property to repurchase any capital stock of the Corporation (including Class A Common Stock), in each case before all Tax Benefit Payments (along with any applicable Default Rate Interest) have been paid for any Taxable Year that has ended. The Corporation shall use commercially reasonable efforts to (1) obtain sufficient available funds for the purpose of making Tax Benefit Payments under this Agreement and (2) avoid entering into any agreements that could be reasonably anticipated to materially delay the timing of the making of any Tax Benefit Payments under this Agreement.</w:t>
      </w:r>
    </w:p>
    <w:p>
      <w:pPr>
        <w:spacing w:after="0" w:line="76" w:lineRule="exact"/>
        <w:rPr>
          <w:rFonts w:ascii="Arial" w:cs="Arial" w:eastAsia="Arial" w:hAnsi="Arial"/>
          <w:sz w:val="17"/>
          <w:szCs w:val="17"/>
          <w:color w:val="auto"/>
        </w:rPr>
      </w:pPr>
    </w:p>
    <w:p>
      <w:pPr>
        <w:ind w:left="4" w:firstLine="987"/>
        <w:spacing w:after="0" w:line="293" w:lineRule="auto"/>
        <w:tabs>
          <w:tab w:leader="none" w:pos="125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In the case of a termination pursuant to any of the foregoing </w:t>
      </w:r>
      <w:r>
        <w:rPr>
          <w:rFonts w:ascii="Arial" w:cs="Arial" w:eastAsia="Arial" w:hAnsi="Arial"/>
          <w:sz w:val="16"/>
          <w:szCs w:val="16"/>
          <w:u w:val="single" w:color="auto"/>
          <w:color w:val="auto"/>
        </w:rPr>
        <w:t>paragraphs (a), (b) or (c)</w:t>
      </w:r>
      <w:r>
        <w:rPr>
          <w:rFonts w:ascii="Arial" w:cs="Arial" w:eastAsia="Arial" w:hAnsi="Arial"/>
          <w:sz w:val="16"/>
          <w:szCs w:val="16"/>
          <w:color w:val="auto"/>
        </w:rPr>
        <w:t>, upon the Corporation’s payment in full of the Early Termination Payment (along with any applicable Default Rate Interest) to each TRA Holder, the Corporation shall have no further payment obligations under this Agreement other than with respect to any Tax Benefit Payments (along with any applicable Default Rate Interest) in respect of any Taxable Year ending prior to the Early Termination Effective Date, and such payment obligations shall survive the termination of, and be calculated and paid in accordance with, this Agreement. If an Exchange subsequently occurs with respect to Units for which the Corporation has paid the Early Termination Payment in full, the Corporation shall have no obligations under this Agreement with respect to such Exchange.</w:t>
      </w:r>
    </w:p>
    <w:p>
      <w:pPr>
        <w:spacing w:after="0" w:line="16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Early Termination Notice.</w:t>
      </w:r>
    </w:p>
    <w:p>
      <w:pPr>
        <w:spacing w:after="0" w:line="117" w:lineRule="exact"/>
        <w:rPr>
          <w:sz w:val="20"/>
          <w:szCs w:val="20"/>
          <w:color w:val="auto"/>
        </w:rPr>
      </w:pPr>
    </w:p>
    <w:p>
      <w:pPr>
        <w:ind w:left="4" w:right="140" w:firstLine="987"/>
        <w:spacing w:after="0" w:line="275"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If (i) the Corporation chooses to exercise its termination right under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Voluntary Early Termination</w:t>
      </w:r>
      <w:r>
        <w:rPr>
          <w:rFonts w:ascii="Arial" w:cs="Arial" w:eastAsia="Arial" w:hAnsi="Arial"/>
          <w:sz w:val="17"/>
          <w:szCs w:val="17"/>
          <w:color w:val="auto"/>
        </w:rPr>
        <w:t>”), (ii) a Change of Control occurs or (iii) a Material Breach occurs, the Corporation shall, in each case, deliver to the TRA Holders a reasonably detailed notice of the Corporation’s decision to exercise such right or the occurrence of such event, as applicable (an “</w:t>
      </w:r>
      <w:r>
        <w:rPr>
          <w:rFonts w:ascii="Arial" w:cs="Arial" w:eastAsia="Arial" w:hAnsi="Arial"/>
          <w:sz w:val="17"/>
          <w:szCs w:val="17"/>
          <w:u w:val="single" w:color="auto"/>
          <w:color w:val="auto"/>
        </w:rPr>
        <w:t>Early Termination Notice</w:t>
      </w:r>
      <w:r>
        <w:rPr>
          <w:rFonts w:ascii="Arial" w:cs="Arial" w:eastAsia="Arial" w:hAnsi="Arial"/>
          <w:sz w:val="17"/>
          <w:szCs w:val="17"/>
          <w:color w:val="auto"/>
        </w:rPr>
        <w:t>”). In the case of an Early Termination Notice delivered with respect to a Voluntary Early Termination, the Corporation may withdraw such Early Termination Notice and rescind its Voluntary Early Termination at any time prior to the time at which any Early Termination Payment is paid.</w:t>
      </w:r>
    </w:p>
    <w:p>
      <w:pPr>
        <w:spacing w:after="0" w:line="68" w:lineRule="exact"/>
        <w:rPr>
          <w:rFonts w:ascii="Arial" w:cs="Arial" w:eastAsia="Arial" w:hAnsi="Arial"/>
          <w:sz w:val="17"/>
          <w:szCs w:val="17"/>
          <w:color w:val="auto"/>
        </w:rPr>
      </w:pPr>
    </w:p>
    <w:p>
      <w:pPr>
        <w:ind w:left="4" w:right="20" w:firstLine="987"/>
        <w:spacing w:after="0" w:line="257" w:lineRule="auto"/>
        <w:tabs>
          <w:tab w:leader="none" w:pos="12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Corporation shall deliver a schedule showing in reasonable detail the calculation of the Early Termination Payment (an “</w:t>
      </w:r>
      <w:r>
        <w:rPr>
          <w:rFonts w:ascii="Arial" w:cs="Arial" w:eastAsia="Arial" w:hAnsi="Arial"/>
          <w:sz w:val="18"/>
          <w:szCs w:val="18"/>
          <w:u w:val="single" w:color="auto"/>
          <w:color w:val="auto"/>
        </w:rPr>
        <w:t>Early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Schedule</w:t>
      </w:r>
      <w:r>
        <w:rPr>
          <w:rFonts w:ascii="Arial" w:cs="Arial" w:eastAsia="Arial" w:hAnsi="Arial"/>
          <w:sz w:val="18"/>
          <w:szCs w:val="18"/>
          <w:color w:val="auto"/>
        </w:rPr>
        <w:t xml:space="preserve">”) (i) simultaneously with the delivery of an Early Termination Notice or (ii) in the case of a termination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as soon as reasonably practicable following the occurrence of the Change of Control or Material Breach giving rise to such termination. The date on which such Early Termination Schedule becomes final in accordance with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shall be the “</w:t>
      </w:r>
      <w:r>
        <w:rPr>
          <w:rFonts w:ascii="Arial" w:cs="Arial" w:eastAsia="Arial" w:hAnsi="Arial"/>
          <w:sz w:val="18"/>
          <w:szCs w:val="18"/>
          <w:u w:val="single" w:color="auto"/>
          <w:color w:val="auto"/>
        </w:rPr>
        <w:t>Early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Reference Date</w:t>
      </w:r>
      <w:r>
        <w:rPr>
          <w:rFonts w:ascii="Arial" w:cs="Arial" w:eastAsia="Arial" w:hAnsi="Arial"/>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26" w:name="page27"/>
    <w:bookmarkEnd w:id="2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4.3. </w:t>
      </w:r>
      <w:r>
        <w:rPr>
          <w:rFonts w:ascii="Arial" w:cs="Arial" w:eastAsia="Arial" w:hAnsi="Arial"/>
          <w:sz w:val="18"/>
          <w:szCs w:val="18"/>
          <w:u w:val="single" w:color="auto"/>
          <w:color w:val="auto"/>
        </w:rPr>
        <w:t>Payment upon Early Termination.</w:t>
      </w:r>
    </w:p>
    <w:p>
      <w:pPr>
        <w:spacing w:after="0" w:line="117" w:lineRule="exact"/>
        <w:rPr>
          <w:sz w:val="20"/>
          <w:szCs w:val="20"/>
          <w:color w:val="auto"/>
        </w:rPr>
      </w:pPr>
    </w:p>
    <w:p>
      <w:pPr>
        <w:jc w:val="both"/>
        <w:ind w:right="160" w:firstLine="987"/>
        <w:spacing w:after="0" w:line="259" w:lineRule="auto"/>
        <w:tabs>
          <w:tab w:leader="none" w:pos="123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Timing of Payment.</w:t>
      </w:r>
      <w:r>
        <w:rPr>
          <w:rFonts w:ascii="Arial" w:cs="Arial" w:eastAsia="Arial" w:hAnsi="Arial"/>
          <w:sz w:val="18"/>
          <w:szCs w:val="18"/>
          <w:color w:val="auto"/>
        </w:rPr>
        <w:t xml:space="preserve"> By the date that is 3 Business Days after the Early Termination Reference Date (such date, the “</w:t>
      </w:r>
      <w:r>
        <w:rPr>
          <w:rFonts w:ascii="Arial" w:cs="Arial" w:eastAsia="Arial" w:hAnsi="Arial"/>
          <w:sz w:val="18"/>
          <w:szCs w:val="18"/>
          <w:u w:val="single" w:color="auto"/>
          <w:color w:val="auto"/>
        </w:rPr>
        <w:t>Final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in respect of the Early Termination Payment), the Corporation shall pay in full to each TRA Holder an amount equal to the Early Termination Payment applicable to such TRA Holder. Such Early Termination Payment shall be made by the Corporation by wire transfer of immediately available funds to a bank account or accounts designated by the applicable TRA Holder.</w:t>
      </w:r>
    </w:p>
    <w:p>
      <w:pPr>
        <w:spacing w:after="0" w:line="78" w:lineRule="exact"/>
        <w:rPr>
          <w:rFonts w:ascii="Arial" w:cs="Arial" w:eastAsia="Arial" w:hAnsi="Arial"/>
          <w:sz w:val="18"/>
          <w:szCs w:val="18"/>
          <w:color w:val="auto"/>
        </w:rPr>
      </w:pPr>
    </w:p>
    <w:p>
      <w:pPr>
        <w:ind w:right="20" w:firstLine="987"/>
        <w:spacing w:after="0" w:line="255"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Amount of Payment.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payable to a TRA Holder pursuant to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shall equal the present value, discounted at the Agreed Rate and determined as of the Early Termination Reference Date, of all Tax Benefit Payments (other than any Tax Benefit Payments in respect of Taxable Years ending prior to the Early Termination Effective Date) that would be required to be paid by the Corporation to such TRA Holder, beginning from the Early Termination Effective Date and using the Valuation Assumptions. For the avoidance of doubt, an Early Termination Payment shall be made to each TRA Holder in accordance with this Agreement, regardless of whether a TRA Holder has Exchanged all of its Units as of the Early Termination Effective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and Late Payments</w:t>
      </w:r>
    </w:p>
    <w:p>
      <w:pPr>
        <w:spacing w:after="0" w:line="229"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Notwithstanding any other provision of this Agreement to the contrary, any payment required to be made by the Corporation to the TRA Holders under this Agreement shall rank subordinate and junior in right of payment to any principal, interest or other amounts due and payable in respect of any obligations owed in respect of secured indebtedness for borrowed money of the Corporation (“</w:t>
      </w:r>
      <w:r>
        <w:rPr>
          <w:rFonts w:ascii="Arial" w:cs="Arial" w:eastAsia="Arial" w:hAnsi="Arial"/>
          <w:sz w:val="16"/>
          <w:szCs w:val="16"/>
          <w:u w:val="single" w:color="auto"/>
          <w:color w:val="auto"/>
        </w:rPr>
        <w:t>Senior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current or future obligations of the Corporation that are not Senior Obligations.</w:t>
      </w:r>
    </w:p>
    <w:p>
      <w:pPr>
        <w:spacing w:after="0" w:line="157"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Late Payments by the Corporation.</w:t>
      </w:r>
      <w:r>
        <w:rPr>
          <w:rFonts w:ascii="Arial" w:cs="Arial" w:eastAsia="Arial" w:hAnsi="Arial"/>
          <w:sz w:val="17"/>
          <w:szCs w:val="17"/>
          <w:color w:val="auto"/>
        </w:rPr>
        <w:t xml:space="preserve"> The amount of any Payment not made to any TRA Holder by the applicable Final Payment Date shall be payable together with “</w:t>
      </w:r>
      <w:r>
        <w:rPr>
          <w:rFonts w:ascii="Arial" w:cs="Arial" w:eastAsia="Arial" w:hAnsi="Arial"/>
          <w:sz w:val="17"/>
          <w:szCs w:val="17"/>
          <w:u w:val="single" w:color="auto"/>
          <w:color w:val="auto"/>
        </w:rPr>
        <w:t>Default Rate Interest</w:t>
      </w:r>
      <w:r>
        <w:rPr>
          <w:rFonts w:ascii="Arial" w:cs="Arial" w:eastAsia="Arial" w:hAnsi="Arial"/>
          <w:sz w:val="17"/>
          <w:szCs w:val="17"/>
          <w:color w:val="auto"/>
        </w:rPr>
        <w:t>”, calculated at the Default Rate and accruing on the amount of the unpaid Payment from the applicable Final Payment Date until the date on which the Corporation makes such Payment to such TRA Holder.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7" w:name="page28"/>
    <w:bookmarkEnd w:id="2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Tax Matters; Consistency; Cooperation</w:t>
      </w:r>
    </w:p>
    <w:p>
      <w:pPr>
        <w:spacing w:after="0" w:line="229"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Participation in the Corporation’s and GoHealth Holdings’ Tax Matters.</w:t>
      </w:r>
      <w:r>
        <w:rPr>
          <w:rFonts w:ascii="Arial" w:cs="Arial" w:eastAsia="Arial" w:hAnsi="Arial"/>
          <w:sz w:val="16"/>
          <w:szCs w:val="16"/>
          <w:color w:val="auto"/>
        </w:rPr>
        <w:t xml:space="preserve"> Except as otherwise provided herein or in Article IX of the Operating Agreement, the Corporation shall have full responsibility for, and sole discretion over, all tax matters concerning the Corporation and GoHealth Holdings, including preparing, filing or amending any Tax Return and defending, contesting or settling any issue pertaining to taxes. Notwithstanding the foregoing, (i) the Corporation shall notify the relevant TRA Holders of, and keep them reasonably informed with respect to, the portion of any audit by any Taxing Authority of the Corporation, GoHealth Holdings or any of GoHealth Holdings’ Subsidiaries, the outcome of which is reasonably expected to materially affect such TRA Holders’ rights and obligations under this Agreement and (ii) the Corporation shall not settle or fail to contest any issue pertaining to Covered Taxes that is reasonably expected to materially and adversely affect the TRA Holders’ rights and obligations under this Agreement without the consent of Centerbridge and NVX Holdings, such consent not to be unreasonably withheld, conditioned or delayed, and (iii) Centerbridge and NVX Holdings shall have the right to participate in and to monitor at their own expense (but, for the avoidance of doubt, not to control) any such issue in any such Tax audit. If Centerbridge or NVX Holdings fails to respond to any notice with respect to the settlement of any such issue within fifteen (15) days of its receipt of the applicable notice, Centerbridge or NVX Holdings, as applicable, shall be deemed to have consented to the proposed settlement or other disposition. To the extent there is a conflict between this Agreement and the Operating Agreement as it relates to tax matters concerning Covered Taxes and the Corporation and GoHealth Holdings, including preparation, filing or amending of any Tax Return and defending, contesting or settling any issue pertaining to taxes, this Agreement shall control.</w:t>
      </w:r>
    </w:p>
    <w:p>
      <w:pPr>
        <w:spacing w:after="0" w:line="171" w:lineRule="exact"/>
        <w:rPr>
          <w:sz w:val="20"/>
          <w:szCs w:val="20"/>
          <w:color w:val="auto"/>
        </w:rPr>
      </w:pPr>
    </w:p>
    <w:p>
      <w:pPr>
        <w:ind w:left="4" w:right="20" w:firstLine="991"/>
        <w:spacing w:after="0" w:line="25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Consistency.</w:t>
      </w:r>
      <w:r>
        <w:rPr>
          <w:rFonts w:ascii="Arial" w:cs="Arial" w:eastAsia="Arial" w:hAnsi="Arial"/>
          <w:sz w:val="18"/>
          <w:szCs w:val="18"/>
          <w:color w:val="auto"/>
        </w:rPr>
        <w:t xml:space="preserve"> Except upon the written advice of the Advisory Firm, all calculations and determinations made hereunder, including any Basis Adjustments, the Schedules and the determination of any Realized Tax Benefits or Realized Tax Detriments, shall be made in accordance with the elections, methodologies and positions taken by the Corporation and GoHealth Holdings on their respective Tax Returns. Each TRA Holder shall prepare its Tax Returns in a manner consistent with the terms of this Agreement and any related calculations or determinations made hereunder, including the terms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the Schedules provided to each such TRA Holder, except as otherwise required by Law. In the event that an Advisory Firm is replaced with another Advisory Firm acceptable to the Audit Committee, the TRA Holders shall cause such replacement Advisory Firm to perform its services necessitated by this Agreement using procedures and methodologies consistent with those of the previous Advisory Firm, unless otherwise required by Law or unless the Corporation and all of the TRA Holders agree to the use of other procedures and methodologies.</w:t>
      </w:r>
    </w:p>
    <w:p>
      <w:pPr>
        <w:spacing w:after="0" w:line="19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Cooperation.</w:t>
      </w:r>
    </w:p>
    <w:p>
      <w:pPr>
        <w:spacing w:after="0" w:line="117" w:lineRule="exact"/>
        <w:rPr>
          <w:sz w:val="20"/>
          <w:szCs w:val="20"/>
          <w:color w:val="auto"/>
        </w:rPr>
      </w:pPr>
    </w:p>
    <w:p>
      <w:pPr>
        <w:ind w:left="4" w:right="20" w:firstLine="987"/>
        <w:spacing w:after="0" w:line="285" w:lineRule="auto"/>
        <w:tabs>
          <w:tab w:leader="none" w:pos="12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Each TRA Holder shall (i) furnish to the Corporation in a timely manner such information, documents and other materials as the Corporation may reasonably request for purposes of making any determination or computation necessary or appropriate under this Agreement, preparing any Tax Return of GoHealth Holdings or any of its Subsidiaries or contesting or defending any related audit, examination or controversy with any Taxing Authority, (ii) make itself available to the Corporation and its representatives to provide explanations of documents and materials and such other information as the Corporation or its representatives may reasonably request in connection with any of the matters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reasonably cooperate in connection with any such matter.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0" w:right="439" w:bottom="1440" w:gutter="0" w:footer="0" w:header="0"/>
        </w:sectPr>
      </w:pPr>
    </w:p>
    <w:bookmarkStart w:id="28" w:name="page29"/>
    <w:bookmarkEnd w:id="28"/>
    <w:p>
      <w:pPr>
        <w:ind w:right="320" w:firstLine="987"/>
        <w:spacing w:after="0" w:line="277"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Corporation shall reimburse the TRA Holders for any reasonable and documented out-of-pocket costs and expenses incurred pursuant to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consents and other communications required or permitted hereunder shall be in writing and (i) delivered personally, (ii) sent by e-mail or (iii) sent by overnight courier, in each case, addressed as follows: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Corporation,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General Counsel</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 the Corporation)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Ian D. Schuman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980"/>
        <w:spacing w:after="0"/>
        <w:tabs>
          <w:tab w:leader="none" w:pos="17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####@lw.com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Centerbridge or the Blocker Shareholders,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Centerbridge Partners, 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375 Park Avenue, 11th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10152</w:t>
      </w:r>
    </w:p>
    <w:p>
      <w:pPr>
        <w:spacing w:after="0" w:line="9"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Office of the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####@centerbridge.com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NVX Holdings,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214 West Huron St.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980"/>
        <w:spacing w:after="0"/>
        <w:tabs>
          <w:tab w:leader="none" w:pos="16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####@gohealth.com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copies (which shall not constitute notice to NVX Holdings)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Clinton Jones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####@gohealth.com</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440" w:top="274" w:right="599" w:bottom="1440" w:gutter="0" w:footer="0" w:header="0"/>
        </w:sectPr>
      </w:pPr>
    </w:p>
    <w:bookmarkStart w:id="29" w:name="page30"/>
    <w:bookmarkEnd w:id="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Brandon Cruz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####@gohealth.com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to any other TRA Holder, to the address and e-mail address specified on such TRA Holder’s signature page to the applicable Joinder.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Any Party may change its address, fax number or e-mail address by giving each of the other Party written notice thereof in the manner set forth above.</w:t>
      </w:r>
    </w:p>
    <w:p>
      <w:pPr>
        <w:spacing w:after="0" w:line="248"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counterparts, all of which shall be considered one and the same agreement and shall become effective when one or more counterparts have been signed by each of the TRA Holders and delivered to the other TRA Holders, it being understood that all TRA Holders need not sign the same counterpart. Delivery of an executed signature page to this Agreement by e-mail transmission shall be as effective as delivery of a manually signed counterpart of this Agreement.</w:t>
      </w:r>
    </w:p>
    <w:p>
      <w:pPr>
        <w:spacing w:after="0" w:line="17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8"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Law or public policy, all other terms and provisions hereunder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Assignments; Amendments; Successors; No Waiver.</w:t>
      </w:r>
    </w:p>
    <w:p>
      <w:pPr>
        <w:spacing w:after="0" w:line="117" w:lineRule="exact"/>
        <w:rPr>
          <w:sz w:val="20"/>
          <w:szCs w:val="20"/>
          <w:color w:val="auto"/>
        </w:rPr>
      </w:pPr>
    </w:p>
    <w:p>
      <w:pPr>
        <w:jc w:val="both"/>
        <w:ind w:right="260" w:firstLine="987"/>
        <w:spacing w:after="0" w:line="259" w:lineRule="auto"/>
        <w:tabs>
          <w:tab w:leader="none" w:pos="123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No TRA Holder may assign, sell, pledge or otherwise alienate or transfer any interest in this Agreement, including the right to receive any payments under this Agreement, to any Person without such Person executing and delivering a Joinder agreeing to succeed to the applicable portion of such TRA Holder’s interest in this Agreement and to become a Party for all purposes of this Agreement (the “</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7"/>
          <w:szCs w:val="17"/>
          <w:color w:val="auto"/>
        </w:rPr>
        <w:t xml:space="preserve">, that Centerbridge’s and NVX Holdings’ approval and consent rights described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not be transferrable or assignable to any Person (other than Permitted Transferees) without the prior written consent of the Corporation, not to be unreasonably withheld, conditioned or delayed. Notwithstanding the foregoing, if any Member sells, exchanges, distributes or otherwise transfers Units to any Person (other than the Corporation or GoHealth Holdings) in accordance with the terms of the Operating Agreement, such Member shall have the option to assign to the transferee of such Units its rights under this Agreement with respect to such transferred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transferee has satisfied the Joinder Requirement. For the avoidance of doubt, if a Member transfers Units in accordance with the terms of the Operating Agreement but does not assign to the transferee of such Units its rights under this Agreement with respect to such transferred Units, such Member shall continue to be entitled to receive the Tax Benefit Payments arising in respect of a subsequent Exchange of such Units (and any such transferred Units shall be separately identified, so as to facilitate the determination of payments hereunder). The Corporation may not assign any of its rights or obligations under this Agreement to any Person without TRA Holder Approval (and any purported assignment without such consent shall be null and void).</w:t>
      </w:r>
    </w:p>
    <w:p>
      <w:pPr>
        <w:spacing w:after="0" w:line="77" w:lineRule="exact"/>
        <w:rPr>
          <w:sz w:val="20"/>
          <w:szCs w:val="20"/>
          <w:color w:val="auto"/>
        </w:rPr>
      </w:pPr>
    </w:p>
    <w:p>
      <w:pPr>
        <w:ind w:firstLine="987"/>
        <w:spacing w:after="0" w:line="296" w:lineRule="auto"/>
        <w:tabs>
          <w:tab w:leader="none" w:pos="124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No provision of this Agreement may be amended unless such amendment is approved in writing by the Corporation with TRA 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amendment of the definition of Change of Control will also require the written approval of a majority of the Independent Directors;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to the extent any amendment would materially, adversely and disproportionately affect a TRA Holder with respect to any rights under this Agreement, such amendment shall require the written approval of such affected TRA Holder. In the event that LIBOR ceases to be available, the Parties will negotiate in good faith to amend this Agreement to replace LIBOR with a mutually acceptable successor rate.</w:t>
      </w:r>
    </w:p>
    <w:p>
      <w:pPr>
        <w:spacing w:after="0" w:line="53" w:lineRule="exact"/>
        <w:rPr>
          <w:rFonts w:ascii="Arial" w:cs="Arial" w:eastAsia="Arial" w:hAnsi="Arial"/>
          <w:sz w:val="16"/>
          <w:szCs w:val="16"/>
          <w:color w:val="auto"/>
        </w:rPr>
      </w:pPr>
    </w:p>
    <w:p>
      <w:pPr>
        <w:ind w:right="20" w:firstLine="987"/>
        <w:spacing w:after="0" w:line="296" w:lineRule="auto"/>
        <w:tabs>
          <w:tab w:leader="none" w:pos="123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7.5(a)</w:t>
      </w:r>
      <w:r>
        <w:rPr>
          <w:rFonts w:ascii="Arial" w:cs="Arial" w:eastAsia="Arial" w:hAnsi="Arial"/>
          <w:sz w:val="16"/>
          <w:szCs w:val="16"/>
          <w:color w:val="auto"/>
        </w:rPr>
        <w:t>, all of the terms and provisions hereunder shall be binding upon, and shall inure to the benefit of and be enforceable by, the Parties and their respective successors, assigns, heirs, executors, administrators and legal representatives. The Corporation shall require and cause any direct or indirect successor (whether by equity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53"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No provision of this Agreement may be waived unless such waiver is in writing and signed by the Party against whom the waiver is to be effective.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1" w:name="page32"/>
    <w:bookmarkEnd w:id="31"/>
    <w:p>
      <w:pPr>
        <w:ind w:left="4"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7.6.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xml:space="preserve">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Resolution of Disputes; Governing Law.</w:t>
      </w:r>
    </w:p>
    <w:p>
      <w:pPr>
        <w:spacing w:after="0" w:line="117" w:lineRule="exact"/>
        <w:rPr>
          <w:sz w:val="20"/>
          <w:szCs w:val="20"/>
          <w:color w:val="auto"/>
        </w:rPr>
      </w:pPr>
    </w:p>
    <w:p>
      <w:pPr>
        <w:ind w:left="4" w:firstLine="987"/>
        <w:spacing w:after="0" w:line="287" w:lineRule="auto"/>
        <w:tabs>
          <w:tab w:leader="none" w:pos="12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Except for Reconciliation Disputes subject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any and all disputes which cannot be settled after good faith negotiation within 30 calendar days, including any ancillary claims of any Party, arising out of, relating to or in connection with the validity, negotiation, execution, interpretation, performance or non-performance of this Agreement (including the validity, scope and enforceability of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7.8</w:t>
      </w:r>
      <w:r>
        <w:rPr>
          <w:rFonts w:ascii="Arial" w:cs="Arial" w:eastAsia="Arial" w:hAnsi="Arial"/>
          <w:sz w:val="16"/>
          <w:szCs w:val="16"/>
          <w:color w:val="auto"/>
        </w:rPr>
        <w:t>) (each, a “</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shall be finally resolved by arbitration in accordance with the International Institute for Conflict Prevention and Resolution Rules for Non-Administered Arbitration by the majority vote of a panel of three arbitrators, of which the Corporation shall designate one arbitrator and the TRA Holders that are party to such Dispute shall designate one arbitrator, in each case in accordance with the “screened” appointment procedure provided in Resolution Rule 5.4. In addition to monetary damages, the arbitrators shall be empowered and permitted to award equitable relief, including an injunction and specific performance of any obligation under this Agreement. The arbitrators are not empowered to award damages in excess of compensatory damages, and each TRA Holder hereby irrevocably waives any right to recover punitive, exemplary or similar damages with respect to any Dispute. Any award shall be the sole and exclusive remedy between the TRA Holders regarding any claims, counterclaims, issues or accounting presented to the arbitrators.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judgment upon the award rendered by the arbitrators may be entered by any court having jurisdiction thereof. The place of the arbitration shall be New York, New York.</w:t>
      </w:r>
    </w:p>
    <w:p>
      <w:pPr>
        <w:spacing w:after="0" w:line="59" w:lineRule="exact"/>
        <w:rPr>
          <w:rFonts w:ascii="Arial" w:cs="Arial" w:eastAsia="Arial" w:hAnsi="Arial"/>
          <w:sz w:val="16"/>
          <w:szCs w:val="16"/>
          <w:color w:val="auto"/>
        </w:rPr>
      </w:pPr>
    </w:p>
    <w:p>
      <w:pPr>
        <w:ind w:left="4" w:right="60" w:firstLine="987"/>
        <w:spacing w:after="0" w:line="287" w:lineRule="auto"/>
        <w:tabs>
          <w:tab w:leader="none" w:pos="1250"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any Party may bring an action or special proceeding in any court of competent jurisdiction for the purpose of compelling another Party to arbitrate, seeking temporary or preliminary relief in aid of an arbitration hereunder or enforcing an arbitration award and, for the purposes of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each Party (i) expressly consents to the application of </w:t>
      </w:r>
      <w:r>
        <w:rPr>
          <w:rFonts w:ascii="Arial" w:cs="Arial" w:eastAsia="Arial" w:hAnsi="Arial"/>
          <w:sz w:val="16"/>
          <w:szCs w:val="16"/>
          <w:u w:val="single" w:color="auto"/>
          <w:color w:val="auto"/>
        </w:rPr>
        <w:t>paragraphs (c)</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4" w:right="740" w:hanging="4"/>
        <w:spacing w:after="0" w:line="260" w:lineRule="auto"/>
        <w:tabs>
          <w:tab w:leader="none" w:pos="2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to any such action or proceeding and (ii) agrees that proof shall not be required that monetary damages for breach of the provisions hereunder would be difficult to calculate and that remedies at law would be inadequate.</w:t>
      </w:r>
    </w:p>
    <w:p>
      <w:pPr>
        <w:spacing w:after="0" w:line="77" w:lineRule="exact"/>
        <w:rPr>
          <w:rFonts w:ascii="Arial" w:cs="Arial" w:eastAsia="Arial" w:hAnsi="Arial"/>
          <w:sz w:val="18"/>
          <w:szCs w:val="18"/>
          <w:color w:val="auto"/>
        </w:rPr>
      </w:pPr>
    </w:p>
    <w:p>
      <w:pPr>
        <w:ind w:left="4" w:right="60" w:firstLine="987"/>
        <w:spacing w:after="0" w:line="293" w:lineRule="auto"/>
        <w:tabs>
          <w:tab w:leader="none" w:pos="12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in all respects, including as to validity, interpretation and effect, by the internal Laws of the State of New York, without giving effect to the conflict of laws rules thereof. Subject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7.8</w:t>
      </w:r>
      <w:r>
        <w:rPr>
          <w:rFonts w:ascii="Arial" w:cs="Arial" w:eastAsia="Arial" w:hAnsi="Arial"/>
          <w:sz w:val="16"/>
          <w:szCs w:val="16"/>
          <w:color w:val="auto"/>
        </w:rPr>
        <w:t>, the Parties agree that any suit or proceeding in connection with, arising out of or relating to this Agreement shall be instituted only in a New York state court (or U.S. Federal court) located in New York, New York, and the Parties, for the purpose of any such suit or proceeding, irrevocably consent and submit to the exclusive personal jurisdiction and venue of any such court in any such suit or proceeding. Each Party agrees that a final judgment in any such action or proceeding shall be conclusive and may be enforced in other jurisdictions by suit on the judgment or in any other manner provided by Law.</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32" w:name="page33"/>
    <w:bookmarkEnd w:id="32"/>
    <w:p>
      <w:pPr>
        <w:ind w:left="-120" w:right="420" w:firstLine="987"/>
        <w:spacing w:after="0" w:line="311" w:lineRule="auto"/>
        <w:tabs>
          <w:tab w:leader="none" w:pos="1126"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Party irrevocably and unconditionally waives, to the fullest extent permitted by Law, (i) any objection that it may now or hereafter have to the laying of venue of any suit, action or proceeding arising out of or relating to this Agreement in any court referred to in </w:t>
      </w:r>
      <w:r>
        <w:rPr>
          <w:rFonts w:ascii="Arial" w:cs="Arial" w:eastAsia="Arial" w:hAnsi="Arial"/>
          <w:sz w:val="16"/>
          <w:szCs w:val="16"/>
          <w:u w:val="single" w:color="auto"/>
          <w:color w:val="auto"/>
        </w:rPr>
        <w:t>Section 7.7(b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7.7(c)</w:t>
      </w:r>
      <w:r>
        <w:rPr>
          <w:rFonts w:ascii="Arial" w:cs="Arial" w:eastAsia="Arial" w:hAnsi="Arial"/>
          <w:sz w:val="16"/>
          <w:szCs w:val="16"/>
          <w:color w:val="auto"/>
        </w:rPr>
        <w:t xml:space="preserve"> and (ii) the defense of an inconvenient forum to the maintenance of any such suit, action or proceeding in any such court.</w:t>
      </w:r>
    </w:p>
    <w:p>
      <w:pPr>
        <w:spacing w:after="0" w:line="40" w:lineRule="exact"/>
        <w:rPr>
          <w:rFonts w:ascii="Arial" w:cs="Arial" w:eastAsia="Arial" w:hAnsi="Arial"/>
          <w:sz w:val="16"/>
          <w:szCs w:val="16"/>
          <w:color w:val="auto"/>
        </w:rPr>
      </w:pPr>
    </w:p>
    <w:p>
      <w:pPr>
        <w:ind w:left="-120" w:right="220" w:firstLine="987"/>
        <w:spacing w:after="0" w:line="277" w:lineRule="auto"/>
        <w:tabs>
          <w:tab w:leader="none" w:pos="11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Each Party irrevocably consents to service of process by means of notice in the manner provided for in </w:t>
      </w:r>
      <w:r>
        <w:rPr>
          <w:rFonts w:ascii="Arial" w:cs="Arial" w:eastAsia="Arial" w:hAnsi="Arial"/>
          <w:sz w:val="18"/>
          <w:szCs w:val="18"/>
          <w:u w:val="single" w:color="auto"/>
          <w:color w:val="auto"/>
        </w:rPr>
        <w:t>Section 7.1</w:t>
      </w:r>
      <w:r>
        <w:rPr>
          <w:rFonts w:ascii="Arial" w:cs="Arial" w:eastAsia="Arial" w:hAnsi="Arial"/>
          <w:sz w:val="18"/>
          <w:szCs w:val="18"/>
          <w:color w:val="auto"/>
        </w:rPr>
        <w:t>. Nothing in this Agreement shall affect the right of any Party to serve process in any other manner permitted by Law.</w:t>
      </w:r>
    </w:p>
    <w:p>
      <w:pPr>
        <w:spacing w:after="0" w:line="62" w:lineRule="exact"/>
        <w:rPr>
          <w:rFonts w:ascii="Arial" w:cs="Arial" w:eastAsia="Arial" w:hAnsi="Arial"/>
          <w:sz w:val="18"/>
          <w:szCs w:val="18"/>
          <w:color w:val="auto"/>
        </w:rPr>
      </w:pPr>
    </w:p>
    <w:p>
      <w:pPr>
        <w:ind w:left="-120" w:right="60" w:firstLine="987"/>
        <w:spacing w:after="0" w:line="255" w:lineRule="auto"/>
        <w:tabs>
          <w:tab w:leader="none" w:pos="10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WAIVER OF RIGHT TO TRIAL BY JURY. EACH PARTY HERETO HEREBY KNOWINGLY, VOLUNTARILY, INTENTIONALLY AND IRREVOCABLY WAIVES, TO THE FULLEST EXTENT PERMITTED BY APPLICABLE LAW, AND WITH THE ADVICE OF ITS COUNSEL, ANY RIGHT IT MAY HAVE TO A TRIAL BY JURY IN ANY SUIT, ACTION OR PROCEEDING, WHETHER A CLAIM, COUNTERCLAIM, CROSS-CLAIM, OR THIRD PARTY CLAIM, DIRECTLY OR INDIRECTLY ARISING OUT OF OR RELATING IN ANY WAY TO THIS AGREEMENT OR THE TRANSACTIONS CONTEMPLATED HEREBY (WHETHER BASED ON CONTRACT, TORT OR ANY OTHER THEORY).</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Reconciliation Procedures.</w:t>
      </w:r>
    </w:p>
    <w:p>
      <w:pPr>
        <w:spacing w:after="0" w:line="117" w:lineRule="exact"/>
        <w:rPr>
          <w:sz w:val="20"/>
          <w:szCs w:val="20"/>
          <w:color w:val="auto"/>
        </w:rPr>
      </w:pPr>
    </w:p>
    <w:p>
      <w:pPr>
        <w:ind w:left="-120" w:firstLine="987"/>
        <w:spacing w:after="0" w:line="285" w:lineRule="auto"/>
        <w:tabs>
          <w:tab w:leader="none" w:pos="11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 the event that the Corporation and any TRA Holder are unable to resolve a disagreement with respect to a Schedule prepared in accordance with the procedures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as applicable, within the relevant time period designated in this Agreement (a “</w:t>
      </w:r>
      <w:r>
        <w:rPr>
          <w:rFonts w:ascii="Arial" w:cs="Arial" w:eastAsia="Arial" w:hAnsi="Arial"/>
          <w:sz w:val="16"/>
          <w:szCs w:val="16"/>
          <w:u w:val="single" w:color="auto"/>
          <w:color w:val="auto"/>
        </w:rPr>
        <w:t>Reconciliation Dispute</w:t>
      </w:r>
      <w:r>
        <w:rPr>
          <w:rFonts w:ascii="Arial" w:cs="Arial" w:eastAsia="Arial" w:hAnsi="Arial"/>
          <w:sz w:val="16"/>
          <w:szCs w:val="16"/>
          <w:color w:val="auto"/>
        </w:rPr>
        <w:t>”), the procedures described in this paragraph (the “</w:t>
      </w:r>
      <w:r>
        <w:rPr>
          <w:rFonts w:ascii="Arial" w:cs="Arial" w:eastAsia="Arial" w:hAnsi="Arial"/>
          <w:sz w:val="16"/>
          <w:szCs w:val="16"/>
          <w:u w:val="single" w:color="auto"/>
          <w:color w:val="auto"/>
        </w:rPr>
        <w:t>Reconciliation Procedures</w:t>
      </w:r>
      <w:r>
        <w:rPr>
          <w:rFonts w:ascii="Arial" w:cs="Arial" w:eastAsia="Arial" w:hAnsi="Arial"/>
          <w:sz w:val="16"/>
          <w:szCs w:val="16"/>
          <w:color w:val="auto"/>
        </w:rPr>
        <w:t>”) will apply. The applicable TRA Holders shall, within 15 calendar days of the commencement of a Reconciliation Dispute, mutually select a nationally recognized expert in the particular area of disagreement (the “</w:t>
      </w:r>
      <w:r>
        <w:rPr>
          <w:rFonts w:ascii="Arial" w:cs="Arial" w:eastAsia="Arial" w:hAnsi="Arial"/>
          <w:sz w:val="16"/>
          <w:szCs w:val="16"/>
          <w:u w:val="single" w:color="auto"/>
          <w:color w:val="auto"/>
        </w:rPr>
        <w:t>Expert</w:t>
      </w:r>
      <w:r>
        <w:rPr>
          <w:rFonts w:ascii="Arial" w:cs="Arial" w:eastAsia="Arial" w:hAnsi="Arial"/>
          <w:sz w:val="16"/>
          <w:szCs w:val="16"/>
          <w:color w:val="auto"/>
        </w:rPr>
        <w:t xml:space="preserve">”) and submit the Reconciliation Dispute to such Expert for determination. The Expert shall be a partner or principal in a nationally recognized accounting firm, and unless the Corporation and such TRA Holder agree otherwise, the Expert (and its employing firm) shall not have any material relationship with the Corporation or such TRA Holder or other actual or potential conflict of interest. If the applicable Parties are unable to agree on an Expert within such 15 calendar-day time period, the selection of an Expert shall be treated as a Dispute subject to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 an arbitration panel shall pick an Expert from a nationally recognized accounting firm that does not have any material relationship with the applicable Parties or other actual or potential conflict of interest. The Expert shall resolve any matter relating to (i) a Basis Schedule, Early Termination Schedule or an amendment to either within 30 calendar days and (ii) a Tax Benefit Schedule or an amendment thereto within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by the date prescribed by this Agreement and such Tax Return may be filed as prepared by the Corporation, subject to adjustment or amendment upon resolution. The Expert shall finally determine any Reconciliation Dispute, and its determinations pursuant to this </w:t>
      </w:r>
      <w:r>
        <w:rPr>
          <w:rFonts w:ascii="Arial" w:cs="Arial" w:eastAsia="Arial" w:hAnsi="Arial"/>
          <w:sz w:val="16"/>
          <w:szCs w:val="16"/>
          <w:u w:val="single" w:color="auto"/>
          <w:color w:val="auto"/>
        </w:rPr>
        <w:t>Section 7.8(a)</w:t>
      </w:r>
      <w:r>
        <w:rPr>
          <w:rFonts w:ascii="Arial" w:cs="Arial" w:eastAsia="Arial" w:hAnsi="Arial"/>
          <w:sz w:val="16"/>
          <w:szCs w:val="16"/>
          <w:color w:val="auto"/>
        </w:rPr>
        <w:t xml:space="preserve"> shall be binding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60"/>
          </w:cols>
          <w:pgMar w:left="560" w:top="274" w:right="579" w:bottom="1440" w:gutter="0" w:footer="0" w:header="0"/>
        </w:sectPr>
      </w:pPr>
    </w:p>
    <w:bookmarkStart w:id="33" w:name="page34"/>
    <w:bookmarkEnd w:id="3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the applicable Parties and may be entered and enforced in any court having competent jurisdiction. Any dispute as to whether a dispute is a Reconciliation Dispute within the meaning of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or a Dispute within the meaning of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be decided and resolved as a Dispute subject to the procedures set forth in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76" w:lineRule="exact"/>
        <w:rPr>
          <w:sz w:val="20"/>
          <w:szCs w:val="20"/>
          <w:color w:val="auto"/>
        </w:rPr>
      </w:pPr>
    </w:p>
    <w:p>
      <w:pPr>
        <w:ind w:right="280" w:firstLine="987"/>
        <w:spacing w:after="0" w:line="275" w:lineRule="auto"/>
        <w:tabs>
          <w:tab w:leader="none" w:pos="124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to the next sentence, the applicable Parties shall bear their own costs and expenses of such proceeding, unless (i) the Expert adopts the TRA Holder’s position, in which case the Corporation shall reimburse the TRA Holder for any reasonable and documented out-of-pocket costs and expenses in such proceeding or (ii) the Expert adopts the Corporation’s position, in which case the TRA Holders shall reimburse the Corporation for any reasonable and documented out-of-pocket costs and expenses in such proceeding. The costs and expenses relating to the engagement of such Expert or amending any Tax Return shall be borne by the Corporation.</w:t>
      </w:r>
    </w:p>
    <w:p>
      <w:pPr>
        <w:spacing w:after="0" w:line="176"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Corporation and its Affiliates shall be entitled to deduct and withhold from any payment that is payable to any TRA Holder pursuant to this Agreement such amounts as the Corporation is required to deduct and withhold with respect to the making of such payment by applicable Law. To the extent that amounts are so deducted and withheld and paid over to the appropriate Taxing Authority by the Corporation, such deducted and withheld amounts shall be treated for all purposes of this Agreement as having been paid by the Corporation to the relevant TRA Holder in respect of whom the deduction and withholding was made. Each TRA Holder shall promptly provide the Corporation with any applicable tax forms and certifications reasonably requested by the Corporation in connection with determining whether any such deductions and withholdings are required by applicable Law.</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Admission of the Corporation into a Consolidated Group; Transfers of Corporate Assets.</w:t>
      </w:r>
    </w:p>
    <w:p>
      <w:pPr>
        <w:spacing w:after="0" w:line="117" w:lineRule="exact"/>
        <w:rPr>
          <w:sz w:val="20"/>
          <w:szCs w:val="20"/>
          <w:color w:val="auto"/>
        </w:rPr>
      </w:pPr>
    </w:p>
    <w:p>
      <w:pPr>
        <w:ind w:right="20" w:firstLine="987"/>
        <w:spacing w:after="0" w:line="279" w:lineRule="auto"/>
        <w:tabs>
          <w:tab w:leader="none" w:pos="12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the Corporation is or becomes a member of an affiliated or consolidated group of corporations that files a consolidated income Tax Return pursuant to Section 1501 or other applicable sections of the Code governing affiliated or consolidated groups, or any corresponding provisions of state, local or foreign tax Law, then (i) the provisions of this Agreement shall be applied with respect to the group as a whole, and (ii) Payments and other applicable items hereunder shall be computed with reference to the consolidated taxable income of the group as a whole.</w:t>
      </w:r>
    </w:p>
    <w:p>
      <w:pPr>
        <w:spacing w:after="0" w:line="63" w:lineRule="exact"/>
        <w:rPr>
          <w:rFonts w:ascii="Arial" w:cs="Arial" w:eastAsia="Arial" w:hAnsi="Arial"/>
          <w:sz w:val="17"/>
          <w:szCs w:val="17"/>
          <w:color w:val="auto"/>
        </w:rPr>
      </w:pPr>
    </w:p>
    <w:p>
      <w:pPr>
        <w:ind w:firstLine="987"/>
        <w:spacing w:after="0" w:line="254"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If the Corporation or any member of the GoHealth Holdings Group transfers one or more Reference Assets to a Person treated as a corporation for U.S. Federal income tax purposes (with which, in the case of the Corporation, the Corporation does not file a consolidated Tax Return pursuant to Section 1501 of the Code), such transferor, for purposes of calculating the amount of any Payment due hereunder, shall be treated as having disposed of such asset in a fully taxable transaction on the date of such transfer. The consideration deemed to be received by the Corporation or GoHealth Holdings Group member, as the applicable transferor, shall be equal to the fair market value of the transferred asset plus the amount of debt to which such asset is subject, in the case of a transfer of an encumbered asset. For purposes of this </w:t>
      </w:r>
      <w:r>
        <w:rPr>
          <w:rFonts w:ascii="Arial" w:cs="Arial" w:eastAsia="Arial" w:hAnsi="Arial"/>
          <w:sz w:val="18"/>
          <w:szCs w:val="18"/>
          <w:u w:val="single" w:color="auto"/>
          <w:color w:val="auto"/>
        </w:rPr>
        <w:t>Section 7.10</w:t>
      </w:r>
      <w:r>
        <w:rPr>
          <w:rFonts w:ascii="Arial" w:cs="Arial" w:eastAsia="Arial" w:hAnsi="Arial"/>
          <w:sz w:val="18"/>
          <w:szCs w:val="18"/>
          <w:color w:val="auto"/>
        </w:rPr>
        <w:t>, a transfer of a partnership interest shall be treated as a transfer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4" w:name="page35"/>
    <w:bookmarkEnd w:id="34"/>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transferring partner’s applicable share of each of the assets and liabilities of that partnership. Notwithstanding anything to the contrary set forth herein, if the Corporation or any member of a group described in </w:t>
      </w:r>
      <w:r>
        <w:rPr>
          <w:rFonts w:ascii="Arial" w:cs="Arial" w:eastAsia="Arial" w:hAnsi="Arial"/>
          <w:sz w:val="18"/>
          <w:szCs w:val="18"/>
          <w:u w:val="single" w:color="auto"/>
          <w:color w:val="auto"/>
        </w:rPr>
        <w:t>Section 7.10(a)</w:t>
      </w:r>
      <w:r>
        <w:rPr>
          <w:rFonts w:ascii="Arial" w:cs="Arial" w:eastAsia="Arial" w:hAnsi="Arial"/>
          <w:sz w:val="18"/>
          <w:szCs w:val="18"/>
          <w:color w:val="auto"/>
        </w:rPr>
        <w:t xml:space="preserve"> transfers its assets pursuant to a transaction that qualifies as a “reorganization” (within the meaning of Section 368(a) of the Code) in which such entity does not survive or pursuant to any other transaction to which Section 381(a) of the Code applies (other than any such reorganization or any such other transaction, in each case, pursuant to which such entity transfers assets to a corporation with which the Corporation or any member of the group described in </w:t>
      </w:r>
      <w:r>
        <w:rPr>
          <w:rFonts w:ascii="Arial" w:cs="Arial" w:eastAsia="Arial" w:hAnsi="Arial"/>
          <w:sz w:val="18"/>
          <w:szCs w:val="18"/>
          <w:u w:val="single" w:color="auto"/>
          <w:color w:val="auto"/>
        </w:rPr>
        <w:t>Section 7.10(a)</w:t>
      </w:r>
      <w:r>
        <w:rPr>
          <w:rFonts w:ascii="Arial" w:cs="Arial" w:eastAsia="Arial" w:hAnsi="Arial"/>
          <w:sz w:val="18"/>
          <w:szCs w:val="18"/>
          <w:color w:val="auto"/>
        </w:rPr>
        <w:t xml:space="preserve"> (other than any such member being transferred in such reorganization or other transaction) does not file a consolidated Tax Return pursuant to Section 1501 of the Code), the transfer will not cause such entity to be treated as having transferred any assets to a corporation (or a Person classified as a corporation for U.S. Federal income tax purposes) pursuant to this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pacing w:after="0" w:line="192"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TRA Holder and each of its respective assignees acknowledges and agrees that the information of the Corporation is confidential and, except in the course of performing any duties as necessary for the Corporation and its Affiliates, as required by Law or legal process or to enforce the terms of this Agreement, such Person shall keep and retain in the strictest confidence and not disclose to any other Person any confidential information, acquired pursuant to this Agreement, of the Corporation or its controlled Affiliates or their successors. This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shall not apply to (i) any information that has been made publicly available by the Corporation or any of its controlled Affiliates, becomes public knowledge (except as a result of an act of any TRA Holder in violation of this Agreement) or is generally known to the business community,</w:t>
      </w:r>
    </w:p>
    <w:p>
      <w:pPr>
        <w:spacing w:after="0" w:line="4" w:lineRule="exact"/>
        <w:rPr>
          <w:sz w:val="20"/>
          <w:szCs w:val="20"/>
          <w:color w:val="auto"/>
        </w:rPr>
      </w:pPr>
    </w:p>
    <w:p>
      <w:pPr>
        <w:ind w:left="264" w:hanging="264"/>
        <w:spacing w:after="0"/>
        <w:tabs>
          <w:tab w:leader="none" w:pos="2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disclosure of information to the extent necessary for a TRA Holder to prosecute or defend claims arising under or relating to this Agreement and</w:t>
      </w:r>
    </w:p>
    <w:p>
      <w:pPr>
        <w:spacing w:after="0" w:line="32" w:lineRule="exact"/>
        <w:rPr>
          <w:rFonts w:ascii="Arial" w:cs="Arial" w:eastAsia="Arial" w:hAnsi="Arial"/>
          <w:sz w:val="16"/>
          <w:szCs w:val="16"/>
          <w:color w:val="auto"/>
        </w:rPr>
      </w:pPr>
    </w:p>
    <w:p>
      <w:pPr>
        <w:ind w:left="4" w:right="80" w:hanging="4"/>
        <w:spacing w:after="0" w:line="281" w:lineRule="auto"/>
        <w:tabs>
          <w:tab w:leader="none" w:pos="319"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disclosure of information to the extent necessary for a TRA Holder to prepare and file its Tax Returns, to respond to any inquiries regarding the same from any Taxing Authority or to prosecute or defend any action, proceeding or audit by any Taxing Authority with respect to such Tax Returns. Notwithstanding anything to the contrary herein, the TRA Holders and each of their assignees (and each employee, representative or other agent of the TRA Holders or their assignees, as applicable) may disclose at their discretion to any and all Persons, without limitation of any kind, the tax treatment and tax structure of the Corporation, the TRA Holders and any of their transactions, and all materials of any kind (including tax opinions or other tax analyses) that are provided to the TRA Holders relating to such tax treatment and tax structure. If a TRA Holder or an assignee commits, or threatens to commit, a breach of any of the provisions of this </w:t>
      </w:r>
      <w:r>
        <w:rPr>
          <w:rFonts w:ascii="Arial" w:cs="Arial" w:eastAsia="Arial" w:hAnsi="Arial"/>
          <w:sz w:val="16"/>
          <w:szCs w:val="16"/>
          <w:u w:val="single" w:color="auto"/>
          <w:color w:val="auto"/>
        </w:rPr>
        <w:t>Section 7.11</w:t>
      </w:r>
      <w:r>
        <w:rPr>
          <w:rFonts w:ascii="Arial" w:cs="Arial" w:eastAsia="Arial" w:hAnsi="Arial"/>
          <w:sz w:val="16"/>
          <w:szCs w:val="16"/>
          <w:color w:val="auto"/>
        </w:rPr>
        <w:t>, the Corporation shall have the right and remedy to have the provisions of this</w:t>
      </w:r>
    </w:p>
    <w:p>
      <w:pPr>
        <w:spacing w:after="0" w:line="4" w:lineRule="exact"/>
        <w:rPr>
          <w:rFonts w:ascii="Arial" w:cs="Arial" w:eastAsia="Arial" w:hAnsi="Arial"/>
          <w:sz w:val="16"/>
          <w:szCs w:val="16"/>
          <w:color w:val="auto"/>
        </w:rPr>
      </w:pPr>
    </w:p>
    <w:p>
      <w:pPr>
        <w:ind w:left="4" w:right="12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specifically enforced by injunctive relief or otherwise by any court of competent jurisdiction without the need to post any bond or other security, it being acknowledged and agreed that any such breach or threatened breach will cause irreparable injury to the Corporation or any of its controlled Affiliates and that money damages alone will not provide an adequate remedy to such Persons. Such rights and remedies shall be in addition to, and not in lieu of, any other rights and remedies available at Law or in equity.</w:t>
      </w:r>
    </w:p>
    <w:p>
      <w:pPr>
        <w:spacing w:after="0" w:line="193"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Notwithstanding anything herein to the contrary, if, in connection with an actual or proposed change in Law, a TRA Holder reasonably believes that the existence of this Agreement could cause income (other than income arising from receipt of a payment under this Agreement) recognized by such TRA Holder (or direct or indirect equity holders in such TRA Holder) in connection with any Exchange to be treated as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5" w:name="page36"/>
    <w:bookmarkEnd w:id="35"/>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ordinary income (other than with respect to assets described in Section 751(a) of the Code) rather than capital gain (or otherwise taxed at ordinary income rates) for U.S. Federal income tax purposes or would have other material adverse tax consequences to such TRA Holder or any direct or indirect owner of such TRA Holder, then, at the written election of such TRA Holder in its sole discretion (in an instrument signed by such TRA Holder and delivered to the Corporation) and to the extent specified therein by such TRA Holder, this Agreement shall cease to have further effect and shall not apply to an Exchange occurring after a date specified by such TRA Holder, or may be amended in a manner reasonably determined by such TRA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shall not result in an increase in any payments owed by the Corporation under this Agreement at any time as compared to the amounts and times of payments that would have been due in the absence of such amendment.</w:t>
      </w:r>
    </w:p>
    <w:p>
      <w:pPr>
        <w:spacing w:after="0" w:line="177"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xml:space="preserve"> Notwithstanding anything to the contrary contained herein, the interest paid or agreed to be paid hereunder with respect to amounts due to any TRA Holder hereunder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any TRA Holder shall receive interest in an amount that exceeds the Maximum Rate, the excess interest shall be applied to the applicable payment (but in each case exclusive of any component thereof comprising interest) or, if it exceeds such unpaid non-interest amount, refunded to the Corporation. In determining whether the interest contracted for, charged or received by any TRA Holder exceeds the Maximum Rate, such TRA Holder may, to the extent permitted by applicable Law, (i) characterize any payment that is not principal as an expense, fee or premium rather than interest, (ii) exclude voluntary prepayments and the effects thereof or (iii) amortize, prorate, allocate and spread in equal or unequal parts the total amount of interest throughout the contemplated term of the payment obligations owed by the Corporation to such TRA Holder hereunder. Notwithstanding the foregoing, it is the intention of the Parties to conform strictly to any applicable usury Laws.</w:t>
      </w:r>
    </w:p>
    <w:p>
      <w:pPr>
        <w:spacing w:after="0" w:line="16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Independent Nature of Rights and Obligations.</w:t>
      </w:r>
      <w:r>
        <w:rPr>
          <w:rFonts w:ascii="Arial" w:cs="Arial" w:eastAsia="Arial" w:hAnsi="Arial"/>
          <w:sz w:val="18"/>
          <w:szCs w:val="18"/>
          <w:color w:val="auto"/>
        </w:rPr>
        <w:t xml:space="preserve"> The rights and obligations of each TRA Holder hereunder are several and not joint with the rights and obligations of any other Person. A TRA Holder shall not be responsible in any way for the performance of the obligations of any other Person hereunder, nor shall a TRA Holder have the right to enforce the rights or obligations of any other Person hereunder (other than obligations of the Corporation). The obligations of a TRA Holder hereunder are solely for the benefit of, and shall be enforceable solely by, the Corporation. Nothing contained herein or in any other agreement or document delivered in connection herewith, and no action taken by any TRA Holder pursuant hereto or thereto, shall be deemed to constitute the TRA Holders acting as a partnership, association, joint venture or any other kind of entity, or create a presumption that the TRA Holders are in any way acting in concert or as a group with respect to such rights or obligations or the transactions contemplated hereby.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 this Page]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6" w:name="page37"/>
    <w:bookmarkEnd w:id="3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have executed or caused to be executed on their behalf this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CORPORATION:</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14605</wp:posOffset>
            </wp:positionV>
            <wp:extent cx="23228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Clinton P. Jones</w:t>
      </w:r>
    </w:p>
    <w:p>
      <w:pPr>
        <w:spacing w:after="0" w:line="23" w:lineRule="exact"/>
        <w:rPr>
          <w:sz w:val="20"/>
          <w:szCs w:val="20"/>
          <w:color w:val="auto"/>
        </w:rPr>
      </w:pPr>
    </w:p>
    <w:p>
      <w:pPr>
        <w:ind w:left="7360"/>
        <w:spacing w:after="0"/>
        <w:tabs>
          <w:tab w:leader="none" w:pos="792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GOHEALTH HOLDINGS:</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GOHEALTH HOLDINGS, LLC</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GoHealth, Inc.</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14605</wp:posOffset>
            </wp:positionV>
            <wp:extent cx="23228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Clinton P. Jones</w:t>
      </w:r>
    </w:p>
    <w:p>
      <w:pPr>
        <w:spacing w:after="0" w:line="23" w:lineRule="exact"/>
        <w:rPr>
          <w:sz w:val="20"/>
          <w:szCs w:val="20"/>
          <w:color w:val="auto"/>
        </w:rPr>
      </w:pPr>
    </w:p>
    <w:p>
      <w:pPr>
        <w:ind w:left="7360"/>
        <w:spacing w:after="0"/>
        <w:tabs>
          <w:tab w:leader="none" w:pos="792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0600"/>
          </w:cols>
          <w:pgMar w:left="440" w:top="274" w:right="859" w:bottom="1440" w:gutter="0" w:footer="0" w:header="0"/>
        </w:sectPr>
      </w:pPr>
    </w:p>
    <w:bookmarkStart w:id="37" w:name="page38"/>
    <w:bookmarkEnd w:id="3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 HOLDERS:</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CB BLIZZARD CO-INVEST HOLDINGS, L.P.</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Centerbridge Associates III, L.P.</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9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CCP III AIV VII HOLDINGS, L.P.</w:t>
      </w:r>
    </w:p>
    <w:p>
      <w:pPr>
        <w:spacing w:after="0" w:line="22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Centerbridge Associates III,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9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14605</wp:posOffset>
            </wp:positionV>
            <wp:extent cx="23145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9660"/>
          </w:cols>
          <w:pgMar w:left="1440" w:top="270" w:right="799" w:bottom="1440" w:gutter="0" w:footer="0" w:header="0"/>
        </w:sectPr>
      </w:pPr>
    </w:p>
    <w:bookmarkStart w:id="38" w:name="page39"/>
    <w:bookmarkEnd w:id="3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BLIZZARD AGGREGATOR,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BLIZZARD MANAGEMENT FEEDER,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9200"/>
          </w:cols>
          <w:pgMar w:left="1440" w:top="270" w:right="1259" w:bottom="1440" w:gutter="0" w:footer="0" w:header="0"/>
        </w:sectPr>
      </w:pPr>
    </w:p>
    <w:bookmarkStart w:id="39" w:name="page40"/>
    <w:bookmarkEnd w:id="39"/>
    <w:p>
      <w:pPr>
        <w:jc w:val="right"/>
        <w:ind w:right="15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NVX HOLDINGS,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22225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 Brandon M. Cruz</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BCCJ,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22225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 Brandon M. Cruz</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14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40" w:name="page41"/>
    <w:bookmarkEnd w:id="4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NORWEST EQUITY PARTNERS IX,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Itasca Partners IX,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Norwest Venture Capital Management, Inc.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C. DeVries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Timothy C. DeVries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0020"/>
          </w:cols>
          <w:pgMar w:left="1440" w:top="270" w:right="439" w:bottom="1440" w:gutter="0" w:footer="0" w:header="0"/>
        </w:sectPr>
      </w:pPr>
    </w:p>
    <w:bookmarkStart w:id="41" w:name="page42"/>
    <w:bookmarkEnd w:id="4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GREINER INVESTMENTS,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Jeffrey Greiner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President</w:t>
      </w:r>
    </w:p>
    <w:p>
      <w:pPr>
        <w:spacing w:after="0" w:line="14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42" w:name="page43"/>
    <w:bookmarkEnd w:id="4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OWL ROCK GH I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Alexis Maged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Alexis Maged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Authorized Signatory</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OWL ROCK GH II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Alexis Maged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Alexis Maged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Authorized Signatory</w:t>
      </w:r>
    </w:p>
    <w:p>
      <w:pPr>
        <w:spacing w:after="0" w:line="16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43" w:name="page44"/>
    <w:bookmarkEnd w:id="43"/>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Rahm Emanuel</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Rahm Emanuel</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Joesph G. Flanagan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Joesph G. Flanagan</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E. Timm</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Alexander E. Timm</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2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44" w:name="page45"/>
    <w:bookmarkEnd w:id="44"/>
    <w:tbl>
      <w:tblPr>
        <w:tblLayout w:type="fixed"/>
        <w:tblInd w:w="44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Exhibit A</w:t>
            </w:r>
          </w:p>
        </w:tc>
      </w:tr>
      <w:tr>
        <w:trPr>
          <w:trHeight w:val="453"/>
        </w:trPr>
        <w:tc>
          <w:tcPr>
            <w:tcW w:w="3160" w:type="dxa"/>
            <w:vAlign w:val="bottom"/>
          </w:tcPr>
          <w:p>
            <w:pPr>
              <w:spacing w:after="0"/>
              <w:rPr>
                <w:sz w:val="24"/>
                <w:szCs w:val="24"/>
                <w:color w:val="auto"/>
              </w:rPr>
            </w:pPr>
          </w:p>
        </w:tc>
        <w:tc>
          <w:tcPr>
            <w:tcW w:w="7420" w:type="dxa"/>
            <w:vAlign w:val="bottom"/>
            <w:gridSpan w:val="7"/>
          </w:tcPr>
          <w:p>
            <w:pPr>
              <w:ind w:left="440"/>
              <w:spacing w:after="0"/>
              <w:rPr>
                <w:sz w:val="20"/>
                <w:szCs w:val="20"/>
                <w:color w:val="auto"/>
              </w:rPr>
            </w:pPr>
            <w:r>
              <w:rPr>
                <w:rFonts w:ascii="Arial" w:cs="Arial" w:eastAsia="Arial" w:hAnsi="Arial"/>
                <w:sz w:val="18"/>
                <w:szCs w:val="18"/>
                <w:b w:val="1"/>
                <w:bCs w:val="1"/>
                <w:color w:val="auto"/>
              </w:rPr>
              <w:t>FORM OF JOINDER AGREEMENT</w:t>
            </w:r>
          </w:p>
        </w:tc>
      </w:tr>
      <w:tr>
        <w:trPr>
          <w:trHeight w:val="392"/>
        </w:trPr>
        <w:tc>
          <w:tcPr>
            <w:tcW w:w="3160" w:type="dxa"/>
            <w:vAlign w:val="bottom"/>
          </w:tcPr>
          <w:p>
            <w:pPr>
              <w:spacing w:after="0"/>
              <w:rPr>
                <w:sz w:val="20"/>
                <w:szCs w:val="20"/>
                <w:color w:val="auto"/>
              </w:rPr>
            </w:pPr>
            <w:r>
              <w:rPr>
                <w:rFonts w:ascii="Arial" w:cs="Arial" w:eastAsia="Arial" w:hAnsi="Arial"/>
                <w:sz w:val="18"/>
                <w:szCs w:val="18"/>
                <w:color w:val="auto"/>
                <w:w w:val="93"/>
              </w:rPr>
              <w:t>This JOINDER AGREEMENT, dated as of</w:t>
            </w:r>
          </w:p>
        </w:tc>
        <w:tc>
          <w:tcPr>
            <w:tcW w:w="1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360" w:type="dxa"/>
            <w:vAlign w:val="bottom"/>
          </w:tcPr>
          <w:p>
            <w:pPr>
              <w:spacing w:after="0"/>
              <w:rPr>
                <w:sz w:val="24"/>
                <w:szCs w:val="24"/>
                <w:color w:val="auto"/>
              </w:rPr>
            </w:pPr>
          </w:p>
        </w:tc>
        <w:tc>
          <w:tcPr>
            <w:tcW w:w="5520" w:type="dxa"/>
            <w:vAlign w:val="bottom"/>
            <w:gridSpan w:val="4"/>
          </w:tcPr>
          <w:p>
            <w:pPr>
              <w:ind w:left="40"/>
              <w:spacing w:after="0"/>
              <w:rPr>
                <w:sz w:val="20"/>
                <w:szCs w:val="20"/>
                <w:color w:val="auto"/>
              </w:rPr>
            </w:pPr>
            <w:r>
              <w:rPr>
                <w:rFonts w:ascii="Arial" w:cs="Arial" w:eastAsia="Arial" w:hAnsi="Arial"/>
                <w:sz w:val="18"/>
                <w:szCs w:val="18"/>
                <w:color w:val="auto"/>
              </w:rPr>
              <w:t>(this “Joinder”), is delivered pursuant to that certain Tax Receivable</w:t>
            </w:r>
          </w:p>
        </w:tc>
      </w:tr>
      <w:tr>
        <w:trPr>
          <w:trHeight w:val="20"/>
        </w:trPr>
        <w:tc>
          <w:tcPr>
            <w:tcW w:w="3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200"/>
        <w:spacing w:after="0" w:line="255" w:lineRule="auto"/>
        <w:rPr>
          <w:sz w:val="20"/>
          <w:szCs w:val="20"/>
          <w:color w:val="auto"/>
        </w:rPr>
      </w:pPr>
      <w:r>
        <w:rPr>
          <w:rFonts w:ascii="Arial" w:cs="Arial" w:eastAsia="Arial" w:hAnsi="Arial"/>
          <w:sz w:val="18"/>
          <w:szCs w:val="18"/>
          <w:color w:val="auto"/>
        </w:rPr>
        <w:t>Agreement, dated as of July 15, 2020 (as amended, restated, amended and restated, supplemented or otherwise modified from time to time, the “</w:t>
      </w:r>
      <w:r>
        <w:rPr>
          <w:rFonts w:ascii="Arial" w:cs="Arial" w:eastAsia="Arial" w:hAnsi="Arial"/>
          <w:sz w:val="18"/>
          <w:szCs w:val="18"/>
          <w:u w:val="single" w:color="auto"/>
          <w:color w:val="auto"/>
        </w:rPr>
        <w:t>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Receivable Agreement</w:t>
      </w:r>
      <w:r>
        <w:rPr>
          <w:rFonts w:ascii="Arial" w:cs="Arial" w:eastAsia="Arial" w:hAnsi="Arial"/>
          <w:sz w:val="18"/>
          <w:szCs w:val="18"/>
          <w:color w:val="auto"/>
        </w:rPr>
        <w:t>”), by and among GoHealth,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GoHealth Holdings, LLC, a Delaware limited liability company (“</w:t>
      </w:r>
      <w:r>
        <w:rPr>
          <w:rFonts w:ascii="Arial" w:cs="Arial" w:eastAsia="Arial" w:hAnsi="Arial"/>
          <w:sz w:val="18"/>
          <w:szCs w:val="18"/>
          <w:u w:val="single" w:color="auto"/>
          <w:color w:val="auto"/>
        </w:rPr>
        <w:t>GoHealth Holdings</w:t>
      </w:r>
      <w:r>
        <w:rPr>
          <w:rFonts w:ascii="Arial" w:cs="Arial" w:eastAsia="Arial" w:hAnsi="Arial"/>
          <w:sz w:val="18"/>
          <w:szCs w:val="18"/>
          <w:color w:val="auto"/>
        </w:rPr>
        <w:t>”), CB Blizzard Co-Invest Holdings, L.P., a Delaware limited partnership (“</w:t>
      </w:r>
      <w:r>
        <w:rPr>
          <w:rFonts w:ascii="Arial" w:cs="Arial" w:eastAsia="Arial" w:hAnsi="Arial"/>
          <w:sz w:val="18"/>
          <w:szCs w:val="18"/>
          <w:u w:val="single" w:color="auto"/>
          <w:color w:val="auto"/>
        </w:rPr>
        <w:t>CB Blizzard</w:t>
      </w:r>
      <w:r>
        <w:rPr>
          <w:rFonts w:ascii="Arial" w:cs="Arial" w:eastAsia="Arial" w:hAnsi="Arial"/>
          <w:sz w:val="18"/>
          <w:szCs w:val="18"/>
          <w:color w:val="auto"/>
        </w:rPr>
        <w:t>”), CCP III AIV VII Holdings, L.P., a Delaware limited partnership (“</w:t>
      </w:r>
      <w:r>
        <w:rPr>
          <w:rFonts w:ascii="Arial" w:cs="Arial" w:eastAsia="Arial" w:hAnsi="Arial"/>
          <w:sz w:val="18"/>
          <w:szCs w:val="18"/>
          <w:u w:val="single" w:color="auto"/>
          <w:color w:val="auto"/>
        </w:rPr>
        <w:t>CCP III AIV</w:t>
      </w:r>
      <w:r>
        <w:rPr>
          <w:rFonts w:ascii="Arial" w:cs="Arial" w:eastAsia="Arial" w:hAnsi="Arial"/>
          <w:sz w:val="18"/>
          <w:szCs w:val="18"/>
          <w:color w:val="auto"/>
        </w:rPr>
        <w:t>”, and together with CB Blizzard, the “</w:t>
      </w:r>
      <w:r>
        <w:rPr>
          <w:rFonts w:ascii="Arial" w:cs="Arial" w:eastAsia="Arial" w:hAnsi="Arial"/>
          <w:sz w:val="18"/>
          <w:szCs w:val="18"/>
          <w:u w:val="single" w:color="auto"/>
          <w:color w:val="auto"/>
        </w:rPr>
        <w:t>Blocker Shareholders</w:t>
      </w:r>
      <w:r>
        <w:rPr>
          <w:rFonts w:ascii="Arial" w:cs="Arial" w:eastAsia="Arial" w:hAnsi="Arial"/>
          <w:sz w:val="18"/>
          <w:szCs w:val="18"/>
          <w:color w:val="auto"/>
        </w:rPr>
        <w:t>”) and each of the Members from time to time party thereto. Capitalized terms used but not otherwise defined herein have the respective meanings set forth in the Tax Receivable Agreement.</w:t>
      </w:r>
    </w:p>
    <w:p>
      <w:pPr>
        <w:spacing w:after="0" w:line="98" w:lineRule="exact"/>
        <w:rPr>
          <w:sz w:val="20"/>
          <w:szCs w:val="20"/>
          <w:color w:val="auto"/>
        </w:rPr>
      </w:pPr>
    </w:p>
    <w:p>
      <w:pPr>
        <w:ind w:left="960" w:right="22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xml:space="preserve"> The undersigned hereby represents and warrants to the Corporation that, as of the date hereof, the undersigned has been assigned an interest in the Tax Receivable Agreement from a TRA Holder.</w:t>
      </w:r>
    </w:p>
    <w:p>
      <w:pPr>
        <w:spacing w:after="0" w:line="75" w:lineRule="exact"/>
        <w:rPr>
          <w:rFonts w:ascii="Arial" w:cs="Arial" w:eastAsia="Arial" w:hAnsi="Arial"/>
          <w:sz w:val="18"/>
          <w:szCs w:val="18"/>
          <w:color w:val="auto"/>
        </w:rPr>
      </w:pPr>
    </w:p>
    <w:p>
      <w:pPr>
        <w:ind w:left="960" w:right="200" w:hanging="532"/>
        <w:spacing w:after="0" w:line="259"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xml:space="preserve"> Upon the execution of this Joinder by the undersigned and delivery hereof to the Corporation, the undersigned hereby is and hereafter will be a TRA Holder under the Tax Receivable Agreement, with all the rights, privileges and responsibilities of a party thereunder. The undersigned hereby agrees that it shall comply with and be fully bound by the terms of the Tax Receivable Agreement as if it had been a signatory thereto as of the date thereof.</w:t>
      </w:r>
    </w:p>
    <w:p>
      <w:pPr>
        <w:spacing w:after="0" w:line="92"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All terms and conditions of the Tax Receivable Agreement are hereby incorporated by reference in this Joinder as if set forth herein in full.</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xml:space="preserve"> All notices under the Tax Receivable Agreement to the undersigned shall be direct to:</w:t>
      </w:r>
    </w:p>
    <w:p>
      <w:pPr>
        <w:spacing w:after="0" w:line="13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6"/>
          <w:szCs w:val="16"/>
          <w:color w:val="auto"/>
        </w:rPr>
        <w:t>State, Zip Code]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 this Page]</w:t>
      </w:r>
    </w:p>
    <w:p>
      <w:pPr>
        <w:sectPr>
          <w:pgSz w:w="11900" w:h="16838" w:orient="portrait"/>
          <w:cols w:equalWidth="0" w:num="1">
            <w:col w:w="11020"/>
          </w:cols>
          <w:pgMar w:left="440" w:top="257" w:right="439" w:bottom="1440" w:gutter="0" w:footer="0" w:header="0"/>
        </w:sectPr>
      </w:pPr>
    </w:p>
    <w:bookmarkStart w:id="45" w:name="page46"/>
    <w:bookmarkEnd w:id="4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has duly executed and delivered this Joinder as of the day and year first above written.</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NEW TRA 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[Signature Page to Joinder Agreement]</w:t>
      </w:r>
    </w:p>
    <w:p>
      <w:pPr>
        <w:sectPr>
          <w:pgSz w:w="11900" w:h="16838" w:orient="portrait"/>
          <w:cols w:equalWidth="0" w:num="1">
            <w:col w:w="10400"/>
          </w:cols>
          <w:pgMar w:left="440" w:top="274" w:right="10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July 15, 2020 by and among GoHealth,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and each Person identified on the Schedule of Holders attached hereto as of the date hereof (such Persons, collectively, the “</w:t>
      </w:r>
      <w:r>
        <w:rPr>
          <w:rFonts w:ascii="Arial" w:cs="Arial" w:eastAsia="Arial" w:hAnsi="Arial"/>
          <w:sz w:val="18"/>
          <w:szCs w:val="18"/>
          <w:b w:val="1"/>
          <w:bCs w:val="1"/>
          <w:i w:val="1"/>
          <w:iCs w:val="1"/>
          <w:color w:val="auto"/>
        </w:rPr>
        <w:t>Original Equity Owner Parties</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WHEREAS, the Corporation is contemplating an offer and sale of its shares of Class A common stock, par value $0.0001 per share (the “</w:t>
      </w:r>
      <w:r>
        <w:rPr>
          <w:rFonts w:ascii="Arial" w:cs="Arial" w:eastAsia="Arial" w:hAnsi="Arial"/>
          <w:sz w:val="18"/>
          <w:szCs w:val="18"/>
          <w:b w:val="1"/>
          <w:bCs w:val="1"/>
          <w:i w:val="1"/>
          <w:iCs w:val="1"/>
          <w:color w:val="auto"/>
        </w:rPr>
        <w:t>Class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such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to the public in an underwritten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w:t>
      </w:r>
    </w:p>
    <w:p>
      <w:pPr>
        <w:spacing w:after="0" w:line="170"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WHEREAS, the Corporation desires to use a portion of the net proceeds from the IPO to purchase Common Units (as defined below) of GoHealth Holdings, LLC, a Delaware limited liability company (the “</w:t>
      </w:r>
      <w:r>
        <w:rPr>
          <w:rFonts w:ascii="Arial" w:cs="Arial" w:eastAsia="Arial" w:hAnsi="Arial"/>
          <w:sz w:val="18"/>
          <w:szCs w:val="18"/>
          <w:b w:val="1"/>
          <w:bCs w:val="1"/>
          <w:i w:val="1"/>
          <w:iCs w:val="1"/>
          <w:color w:val="auto"/>
        </w:rPr>
        <w:t>LLC Company</w:t>
      </w:r>
      <w:r>
        <w:rPr>
          <w:rFonts w:ascii="Arial" w:cs="Arial" w:eastAsia="Arial" w:hAnsi="Arial"/>
          <w:sz w:val="18"/>
          <w:szCs w:val="18"/>
          <w:color w:val="auto"/>
        </w:rPr>
        <w:t>”), and the LLC Company desires to issue its Common Units to the Corporation in exchange for such portion of the net proceeds from the IPO;</w:t>
      </w:r>
    </w:p>
    <w:p>
      <w:pPr>
        <w:spacing w:after="0" w:line="184"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WHEREAS, immediately prior to or simultaneously with the purchase by the Corporation of the Common Units, the Corporation, the LLC Company and the Original Equity Owner Parties and certain other parties will enter into that certain Second Amended and Restated Limited Liability Company Agreement of the LLC Company (such agreement, as it may be amended, restated, amended and restated, supplemented or otherwise modified form time to time, the “</w:t>
      </w:r>
      <w:r>
        <w:rPr>
          <w:rFonts w:ascii="Arial" w:cs="Arial" w:eastAsia="Arial" w:hAnsi="Arial"/>
          <w:sz w:val="18"/>
          <w:szCs w:val="18"/>
          <w:b w:val="1"/>
          <w:bCs w:val="1"/>
          <w:i w:val="1"/>
          <w:iCs w:val="1"/>
          <w:color w:val="auto"/>
        </w:rPr>
        <w:t>LLC Agreement</w:t>
      </w:r>
      <w:r>
        <w:rPr>
          <w:rFonts w:ascii="Arial" w:cs="Arial" w:eastAsia="Arial" w:hAnsi="Arial"/>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in connection with the closing of the IPO, (i) the Corporation will become the sole managing member of the LLC Company,</w:t>
      </w:r>
    </w:p>
    <w:p>
      <w:pPr>
        <w:spacing w:after="0" w:line="35" w:lineRule="exact"/>
        <w:rPr>
          <w:sz w:val="20"/>
          <w:szCs w:val="20"/>
          <w:color w:val="auto"/>
        </w:rPr>
      </w:pPr>
    </w:p>
    <w:p>
      <w:pPr>
        <w:ind w:left="4" w:right="120" w:hanging="4"/>
        <w:spacing w:after="0" w:line="281" w:lineRule="auto"/>
        <w:tabs>
          <w:tab w:leader="none" w:pos="2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under the LLC Agreement, the equity interests held by the Original Equity Owner Parties and the other equity owners in the LLC Company prior to such time will be cancelled and new Common Units (as defined in the LLC Agreement, the “</w:t>
      </w:r>
      <w:r>
        <w:rPr>
          <w:rFonts w:ascii="Arial" w:cs="Arial" w:eastAsia="Arial" w:hAnsi="Arial"/>
          <w:sz w:val="16"/>
          <w:szCs w:val="16"/>
          <w:b w:val="1"/>
          <w:bCs w:val="1"/>
          <w:i w:val="1"/>
          <w:iCs w:val="1"/>
          <w:color w:val="auto"/>
        </w:rPr>
        <w:t>Common Units</w:t>
      </w:r>
      <w:r>
        <w:rPr>
          <w:rFonts w:ascii="Arial" w:cs="Arial" w:eastAsia="Arial" w:hAnsi="Arial"/>
          <w:sz w:val="16"/>
          <w:szCs w:val="16"/>
          <w:color w:val="auto"/>
        </w:rPr>
        <w:t>”) of the LLC Company will be issued,</w:t>
      </w:r>
    </w:p>
    <w:p>
      <w:pPr>
        <w:spacing w:after="0" w:line="1" w:lineRule="exact"/>
        <w:rPr>
          <w:rFonts w:ascii="Arial" w:cs="Arial" w:eastAsia="Arial" w:hAnsi="Arial"/>
          <w:sz w:val="16"/>
          <w:szCs w:val="16"/>
          <w:color w:val="auto"/>
        </w:rPr>
      </w:pPr>
    </w:p>
    <w:p>
      <w:pPr>
        <w:ind w:left="4" w:right="460" w:hanging="4"/>
        <w:spacing w:after="0" w:line="281" w:lineRule="auto"/>
        <w:tabs>
          <w:tab w:leader="none" w:pos="319"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Continuing Equity Owner Party and certain other equity owners in the LLC Company will become non-managing members of the LLC Company, but otherwise continue to hold Common Units in the LLC Company (such persons, collectively, the “</w:t>
      </w:r>
      <w:r>
        <w:rPr>
          <w:rFonts w:ascii="Arial" w:cs="Arial" w:eastAsia="Arial" w:hAnsi="Arial"/>
          <w:sz w:val="16"/>
          <w:szCs w:val="16"/>
          <w:b w:val="1"/>
          <w:bCs w:val="1"/>
          <w:i w:val="1"/>
          <w:iCs w:val="1"/>
          <w:color w:val="auto"/>
        </w:rPr>
        <w:t>Continuing Equity Owners</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consideration of the Corporation acquiring the Common Units and becoming the managing member of the LLC Company and for other good</w:t>
      </w:r>
    </w:p>
    <w:p>
      <w:pPr>
        <w:spacing w:after="0" w:line="20" w:lineRule="exact"/>
        <w:rPr>
          <w:rFonts w:ascii="Arial" w:cs="Arial" w:eastAsia="Arial" w:hAnsi="Arial"/>
          <w:sz w:val="17"/>
          <w:szCs w:val="17"/>
          <w:color w:val="auto"/>
        </w:rPr>
      </w:pPr>
    </w:p>
    <w:p>
      <w:pPr>
        <w:jc w:val="both"/>
        <w:ind w:left="4" w:right="40"/>
        <w:spacing w:after="0" w:line="255" w:lineRule="auto"/>
        <w:rPr>
          <w:rFonts w:ascii="Arial" w:cs="Arial" w:eastAsia="Arial" w:hAnsi="Arial"/>
          <w:sz w:val="17"/>
          <w:szCs w:val="17"/>
          <w:color w:val="auto"/>
        </w:rPr>
      </w:pPr>
      <w:r>
        <w:rPr>
          <w:rFonts w:ascii="Arial" w:cs="Arial" w:eastAsia="Arial" w:hAnsi="Arial"/>
          <w:sz w:val="18"/>
          <w:szCs w:val="18"/>
          <w:color w:val="auto"/>
        </w:rPr>
        <w:t>consideration, the LLC Company has provided the Continuing Equity Owners with a redemption right pursuant to which the Continuing Equity Owners can redeem their Common Units for, at the Corporation’s option, shares of Class A Common Stock or cash on the terms set forth in the LLC Agreement; and</w:t>
      </w:r>
    </w:p>
    <w:p>
      <w:pPr>
        <w:spacing w:after="0" w:line="190" w:lineRule="exact"/>
        <w:rPr>
          <w:sz w:val="20"/>
          <w:szCs w:val="20"/>
          <w:color w:val="auto"/>
        </w:rPr>
      </w:pPr>
    </w:p>
    <w:p>
      <w:pPr>
        <w:ind w:left="4" w:right="460" w:firstLine="440"/>
        <w:spacing w:after="0" w:line="342" w:lineRule="auto"/>
        <w:rPr>
          <w:sz w:val="20"/>
          <w:szCs w:val="20"/>
          <w:color w:val="auto"/>
        </w:rPr>
      </w:pPr>
      <w:r>
        <w:rPr>
          <w:rFonts w:ascii="Arial" w:cs="Arial" w:eastAsia="Arial" w:hAnsi="Arial"/>
          <w:sz w:val="16"/>
          <w:szCs w:val="16"/>
          <w:color w:val="auto"/>
        </w:rPr>
        <w:t>WHEREAS, in connection with the IPO and the transactions described above, the Corporation has agreed to grant to the Holders (as defined below) certain rights with respect to the registration of the Registrable Securities (as defined below) on the terms and conditions set forth herein.</w:t>
      </w:r>
    </w:p>
    <w:p>
      <w:pPr>
        <w:spacing w:after="0" w:line="124"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to this Agreement hereby agree as follows:</w:t>
      </w:r>
    </w:p>
    <w:p>
      <w:pPr>
        <w:sectPr>
          <w:pgSz w:w="11900" w:h="16838" w:orient="portrait"/>
          <w:cols w:equalWidth="0" w:num="1">
            <w:col w:w="11024"/>
          </w:cols>
          <w:pgMar w:left="436" w:top="121" w:right="43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Agreement, the following terms shall have the meanings specified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Common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Holder</w:t>
      </w:r>
      <w:r>
        <w:rPr>
          <w:rFonts w:ascii="Arial" w:cs="Arial" w:eastAsia="Arial" w:hAnsi="Arial"/>
          <w:sz w:val="18"/>
          <w:szCs w:val="18"/>
          <w:color w:val="auto"/>
        </w:rPr>
        <w:t>” has the meaning set forth in Section 15, and shall be deemed to include each such Person’s Affiliates, immediate family members, heirs, successors and assigns who may succeed to such Person as a Holder hereunder.</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Adverse Disclosure</w:t>
      </w:r>
      <w:r>
        <w:rPr>
          <w:rFonts w:ascii="Arial" w:cs="Arial" w:eastAsia="Arial" w:hAnsi="Arial"/>
          <w:sz w:val="18"/>
          <w:szCs w:val="18"/>
          <w:color w:val="auto"/>
        </w:rPr>
        <w:t>” means public disclosure of material non-public information which, in the Board’s judgment, after consultation with outside legal counsel to the Corporation, (i) would be required to be made in any report or Registration Statement filed with the SEC by the Corporation so that such report or Registration Statement would not be materially misleading; (ii) would not be required to be made at such time but for the filing, effectiveness or continued use of such report or Registration Statement; and (iii) the Corporation has a bona fide business purpose for not disclosing publicly at such time.</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of any Person means any other Person controlled by, controlling or under common control with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Corporation and its Subsidiaries shall not be deemed to be Affiliates of any 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Transferee</w:t>
      </w:r>
      <w:r>
        <w:rPr>
          <w:rFonts w:ascii="Arial" w:cs="Arial" w:eastAsia="Arial" w:hAnsi="Arial"/>
          <w:sz w:val="18"/>
          <w:szCs w:val="18"/>
          <w:color w:val="auto"/>
        </w:rPr>
        <w:t>” means, with respect to any Person, any Transferee that is an Affiliate of such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Automatic Shelf Registration Statement</w:t>
      </w:r>
      <w:r>
        <w:rPr>
          <w:rFonts w:ascii="Arial" w:cs="Arial" w:eastAsia="Arial" w:hAnsi="Arial"/>
          <w:sz w:val="18"/>
          <w:szCs w:val="18"/>
          <w:color w:val="auto"/>
        </w:rPr>
        <w:t>” shall have the meaning set forth in Rule 405.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of the year on which national banking institutions in New York are open to the public for conducting business and are not required or authorized to close.</w:t>
      </w:r>
    </w:p>
    <w:p>
      <w:pPr>
        <w:spacing w:after="0" w:line="170"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xml:space="preserve">” means (i) with respect to any Person that is a corporation, any and 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thereof the right to receive a share of the profits and losses of, or the distribution of assets of the issuing Person, and (iii) any and all warrants, rights (including conversion and exchange rights) and options to purchase any security described in the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CBP</w:t>
      </w:r>
      <w:r>
        <w:rPr>
          <w:rFonts w:ascii="Arial" w:cs="Arial" w:eastAsia="Arial" w:hAnsi="Arial"/>
          <w:sz w:val="17"/>
          <w:szCs w:val="17"/>
          <w:color w:val="auto"/>
        </w:rPr>
        <w:t>” means Centerbridge Partners, L.P., a Delaware limited partnership, or any successor to its investment management business.</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8" w:name="page49"/>
    <w:bookmarkEnd w:id="48"/>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CBP Holders</w:t>
      </w:r>
      <w:r>
        <w:rPr>
          <w:rFonts w:ascii="Arial" w:cs="Arial" w:eastAsia="Arial" w:hAnsi="Arial"/>
          <w:sz w:val="18"/>
          <w:szCs w:val="18"/>
          <w:color w:val="auto"/>
        </w:rPr>
        <w:t>” means the entities designated as Centerbridge Holders on the Schedule of Holders (the “</w:t>
      </w:r>
      <w:r>
        <w:rPr>
          <w:rFonts w:ascii="Arial" w:cs="Arial" w:eastAsia="Arial" w:hAnsi="Arial"/>
          <w:sz w:val="18"/>
          <w:szCs w:val="18"/>
          <w:b w:val="1"/>
          <w:bCs w:val="1"/>
          <w:i w:val="1"/>
          <w:iCs w:val="1"/>
          <w:color w:val="auto"/>
        </w:rPr>
        <w:t>CBP Members</w:t>
      </w:r>
      <w:r>
        <w:rPr>
          <w:rFonts w:ascii="Arial" w:cs="Arial" w:eastAsia="Arial" w:hAnsi="Arial"/>
          <w:sz w:val="18"/>
          <w:szCs w:val="18"/>
          <w:color w:val="auto"/>
        </w:rPr>
        <w:t>”), any Affiliate of the CBP Members, any of its Affiliate Transferees and any Affiliate Transferee of any of the foregoing.</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CBP Initiating Holders</w:t>
      </w:r>
      <w:r>
        <w:rPr>
          <w:rFonts w:ascii="Arial" w:cs="Arial" w:eastAsia="Arial" w:hAnsi="Arial"/>
          <w:sz w:val="18"/>
          <w:szCs w:val="18"/>
          <w:color w:val="auto"/>
        </w:rPr>
        <w:t>” means one or more CBP Holders or any CBP Affiliate Transferee to whom a CBP Holder has transferred rights pursuant to Section 9 below acting pursuant to Sections 2(d) and 3(a)(x).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Corporation’s Class B common stock, par value $0.0001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Equity Owner Parties</w:t>
      </w:r>
      <w:r>
        <w:rPr>
          <w:rFonts w:ascii="Arial" w:cs="Arial" w:eastAsia="Arial" w:hAnsi="Arial"/>
          <w:sz w:val="18"/>
          <w:szCs w:val="18"/>
          <w:color w:val="auto"/>
        </w:rPr>
        <w:t>” has the meaning set forth in the recitals, and shall be deemed to include their respective Affiliates, immediate family members, heirs, successors and assigns who may succeed to such Person as a Holder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Equity Owners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Registrations</w:t>
      </w:r>
      <w:r>
        <w:rPr>
          <w:rFonts w:ascii="Arial" w:cs="Arial" w:eastAsia="Arial" w:hAnsi="Arial"/>
          <w:sz w:val="18"/>
          <w:szCs w:val="18"/>
          <w:color w:val="auto"/>
        </w:rPr>
        <w:t>” has the meaning set forth in Section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-10160</wp:posOffset>
            </wp:positionV>
            <wp:extent cx="2120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2090" cy="8890"/>
                    </a:xfrm>
                    <a:prstGeom prst="rect">
                      <a:avLst/>
                    </a:prstGeom>
                    <a:noFill/>
                  </pic:spPr>
                </pic:pic>
              </a:graphicData>
            </a:graphic>
          </wp:anchor>
        </w:drawing>
      </w:r>
    </w:p>
    <w:p>
      <w:pPr>
        <w:spacing w:after="0" w:line="20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Demand Participation Holders</w:t>
      </w:r>
      <w:r>
        <w:rPr>
          <w:rFonts w:ascii="Arial" w:cs="Arial" w:eastAsia="Arial" w:hAnsi="Arial"/>
          <w:sz w:val="18"/>
          <w:szCs w:val="18"/>
          <w:color w:val="auto"/>
        </w:rPr>
        <w:t>” mean each of the CBP Holders, the NVX Holders, the NEP Holders and any other Holders that the CBP Holders have designated as Eligible Demand Participation Holders.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Take-Down Holders</w:t>
      </w:r>
      <w:r>
        <w:rPr>
          <w:rFonts w:ascii="Arial" w:cs="Arial" w:eastAsia="Arial" w:hAnsi="Arial"/>
          <w:sz w:val="18"/>
          <w:szCs w:val="18"/>
          <w:color w:val="auto"/>
        </w:rPr>
        <w:t>” means each of the CBP Holders, the NVX Holders, the NEP Holders and any other Holders that the CBP Holders have designated as Eligible Take-Down Holders, in each case, to the extent it is a Shelf Holder.</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from time to time, or any successor federal law then in force, together with all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means a free-writing prospectus, as defined in Rule 405.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Person that is a party to this Agreement from time to time, as set forth on the signature pages hereto.</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w:t>
      </w:r>
      <w:r>
        <w:rPr>
          <w:rFonts w:ascii="Arial" w:cs="Arial" w:eastAsia="Arial" w:hAnsi="Arial"/>
          <w:sz w:val="18"/>
          <w:szCs w:val="18"/>
          <w:color w:val="auto"/>
        </w:rPr>
        <w:t>” means the CBP Initiating Holders, the NVX Initiating Holders (subject to Section 3(a)(y)) or the NEP Initiating Holders (subject to Section 3(a)(z)),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has the meaning set forth in Section 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LLC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LLC 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Marketed</w:t>
      </w:r>
      <w:r>
        <w:rPr>
          <w:rFonts w:ascii="Arial" w:cs="Arial" w:eastAsia="Arial" w:hAnsi="Arial"/>
          <w:sz w:val="18"/>
          <w:szCs w:val="18"/>
          <w:color w:val="auto"/>
        </w:rPr>
        <w:t>” means an Underwritten Shelf Take-Down that involves the use or involvement of a customary “road show” (including an “electronic road show”) or other substantial marketing effort by underwriters over a period of at least 48 hours.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MNPI</w:t>
      </w:r>
      <w:r>
        <w:rPr>
          <w:rFonts w:ascii="Arial" w:cs="Arial" w:eastAsia="Arial" w:hAnsi="Arial"/>
          <w:sz w:val="18"/>
          <w:szCs w:val="18"/>
          <w:color w:val="auto"/>
        </w:rPr>
        <w:t>” means material non-public information within the meaning of Regulation FD promulgated under the Exchange Act.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NEP Holders</w:t>
      </w:r>
      <w:r>
        <w:rPr>
          <w:rFonts w:ascii="Arial" w:cs="Arial" w:eastAsia="Arial" w:hAnsi="Arial"/>
          <w:sz w:val="18"/>
          <w:szCs w:val="18"/>
          <w:color w:val="auto"/>
        </w:rPr>
        <w:t>” means Norwest Equity Partners IX, LP, a Delaware limited partnership (the “</w:t>
      </w:r>
      <w:r>
        <w:rPr>
          <w:rFonts w:ascii="Arial" w:cs="Arial" w:eastAsia="Arial" w:hAnsi="Arial"/>
          <w:sz w:val="18"/>
          <w:szCs w:val="18"/>
          <w:b w:val="1"/>
          <w:bCs w:val="1"/>
          <w:i w:val="1"/>
          <w:iCs w:val="1"/>
          <w:color w:val="auto"/>
        </w:rPr>
        <w:t>NEP Member</w:t>
      </w:r>
      <w:r>
        <w:rPr>
          <w:rFonts w:ascii="Arial" w:cs="Arial" w:eastAsia="Arial" w:hAnsi="Arial"/>
          <w:sz w:val="18"/>
          <w:szCs w:val="18"/>
          <w:color w:val="auto"/>
        </w:rPr>
        <w:t>”), any Affiliate of the NEP Member, any of its Affiliate Transferees and any Affiliate Transferee of any of the foregoing.</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NEP Initiating Holders</w:t>
      </w:r>
      <w:r>
        <w:rPr>
          <w:rFonts w:ascii="Arial" w:cs="Arial" w:eastAsia="Arial" w:hAnsi="Arial"/>
          <w:sz w:val="18"/>
          <w:szCs w:val="18"/>
          <w:color w:val="auto"/>
        </w:rPr>
        <w:t>” means the NEP Holders acting pursuant to Sections 2(d) and 3(a)(z). Any election or exercise of rights by the NEP Holders must be coordinated by Norwest Equity Partners IX, LP.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Non-Marketed</w:t>
      </w:r>
      <w:r>
        <w:rPr>
          <w:rFonts w:ascii="Arial" w:cs="Arial" w:eastAsia="Arial" w:hAnsi="Arial"/>
          <w:sz w:val="18"/>
          <w:szCs w:val="18"/>
          <w:color w:val="auto"/>
        </w:rPr>
        <w:t>” means an Underwritten Shelf Take-Down that is not a Marketed Underwritten Shelf Take-Down.</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 Holders</w:t>
      </w:r>
      <w:r>
        <w:rPr>
          <w:rFonts w:ascii="Arial" w:cs="Arial" w:eastAsia="Arial" w:hAnsi="Arial"/>
          <w:sz w:val="18"/>
          <w:szCs w:val="18"/>
          <w:color w:val="auto"/>
        </w:rPr>
        <w:t>” means NVX Holdings, Inc., a Delaware corporation (the “</w:t>
      </w:r>
      <w:r>
        <w:rPr>
          <w:rFonts w:ascii="Arial" w:cs="Arial" w:eastAsia="Arial" w:hAnsi="Arial"/>
          <w:sz w:val="18"/>
          <w:szCs w:val="18"/>
          <w:b w:val="1"/>
          <w:bCs w:val="1"/>
          <w:i w:val="1"/>
          <w:iCs w:val="1"/>
          <w:color w:val="auto"/>
        </w:rPr>
        <w:t>NVX Member</w:t>
      </w:r>
      <w:r>
        <w:rPr>
          <w:rFonts w:ascii="Arial" w:cs="Arial" w:eastAsia="Arial" w:hAnsi="Arial"/>
          <w:sz w:val="18"/>
          <w:szCs w:val="18"/>
          <w:color w:val="auto"/>
        </w:rPr>
        <w:t>”), any Affiliate of the NVX Member, any of its Affiliate Transferees and any Affiliate Transferee of any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 Initiating Holders</w:t>
      </w:r>
      <w:r>
        <w:rPr>
          <w:rFonts w:ascii="Arial" w:cs="Arial" w:eastAsia="Arial" w:hAnsi="Arial"/>
          <w:sz w:val="18"/>
          <w:szCs w:val="18"/>
          <w:color w:val="auto"/>
        </w:rPr>
        <w:t>” means the NVX Holders acting pursuant to Sections 2(d) and 3(a)(y).</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Equity Owner Parties</w:t>
      </w:r>
      <w:r>
        <w:rPr>
          <w:rFonts w:ascii="Arial" w:cs="Arial" w:eastAsia="Arial" w:hAnsi="Arial"/>
          <w:sz w:val="18"/>
          <w:szCs w:val="18"/>
          <w:color w:val="auto"/>
        </w:rPr>
        <w:t>” has the meaning set forth in the recitals, and shall be deemed to include their respective Affiliates, immediate family members, heirs, successors and assigns who may succeed to such Person as a Holder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Equity Owners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shall have the meaning set forth in the LLC Agreement.</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prospectus included in any Registration Statement, all amendments and supplements to such prospectus, including post-effective amendments, and all other material incorporated by reference in such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50" w:name="page51"/>
    <w:bookmarkEnd w:id="50"/>
    <w:p>
      <w:pPr>
        <w:ind w:right="3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means any sale or distribution to the public of Capital Stock of the Corporation pursuant to an offering registered under the Securities Act, whether by the Corporation, by Holders and/or by any other holders of the Corporation’s Capital Stock.</w:t>
      </w:r>
    </w:p>
    <w:p>
      <w:pPr>
        <w:spacing w:after="0" w:line="146"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means a registration effected pursuant to a registration statement filed with the SEC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compliance with the Securities Act, and the declaration or ordering by the SEC of the effectiveness of such Registration Statement.</w:t>
      </w:r>
    </w:p>
    <w:p>
      <w:pPr>
        <w:spacing w:after="0" w:line="12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xml:space="preserve">” means (i) any Class A Common Stock issued by the Corporation in a Share Settlement in connection with (x) the redemption by the LLC Company of Common Units owned by any Continuing Equity Owner Parties or (y) at the election of the Corporation, in a direct exchange for Common Units owned by any Continuing Equity Owner Party, in each case in accordance with the terms of the LLC Agreement, (ii) any Capital Stock of the Corporation or of any Subsidiary of the Corporation issued or issuable with respect to the securities referred to in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above by way of dividend, distribution, split or combination of securities, or any recapitalization, merger, consolidation or other reorganization, and (iii) any other Shares owned, directly or indirectly, by Holders. As to any particular Registrable Securities owned by any Person, such securities shall cease to be Registrable Securities (a) on the date such securities have been sold or distributed pursuant to a Public Offering, (b) on the date such securities have been sold in compliance with Rule 144 following the consummation of the IPO, (c) on the date such securities have been repurchased by the Corporation or a Subsidiary of the Corporation or (d) on the date the Holder which, together with his, her or its Permitted Transferees, beneficially owns less than one percent (1%) of the Capital Stock of the Corporation that is outstanding at such time and such Holder is able to dispose of all of its Registrable Securities pursuant to Rule 144 in a single transaction without volume limitation or other restrictions on transfer thereunder (subject to the demand rights of the CBP Initiating Holder in Section 3(a) and Section 3(d)(i)) and the Corporation has delivered an opinion of counsel reasonably satisfactory to the transfer agent of the Corporation’s equity securities certifying that such Registrable Securities may be so sold. For purposes of this Agreement, a Person shall be deemed to be a Holder, and the Registrable Securities shall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shall be entitled to exercise the rights of a holder of Registrable Securities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 holder of Registrable Securities may only request that Registrable Securities in the form of Capital Stock of the Corporation that is registered or to be registered as a class under Section 12 of the Exchange Act be registered pursuant to this Agreement. For the avoidance of doubt, while Common Units and shares of Class B Common Stock may constitute Registrable Securities, under no circumstances shall the Corporation be obligated to register Common Units or shares of Class B Common Stock, and only Shares issuable upon redemption or exchange of Common Units will be registered.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51" w:name="page52"/>
    <w:bookmarkEnd w:id="51"/>
    <w:p>
      <w:pPr>
        <w:ind w:right="2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i w:val="1"/>
          <w:iCs w:val="1"/>
          <w:color w:val="auto"/>
        </w:rPr>
        <w:t>Registration Expenses</w:t>
      </w:r>
      <w:r>
        <w:rPr>
          <w:rFonts w:ascii="Arial" w:cs="Arial" w:eastAsia="Arial" w:hAnsi="Arial"/>
          <w:sz w:val="16"/>
          <w:szCs w:val="16"/>
          <w:color w:val="auto"/>
        </w:rPr>
        <w:t>” means any and all expenses incident to the performance by the Corporation of its obligations under this Agreement, including (i) all SEC or stock exchange registration and filing fees (including, if applicable, the fees and expenses of any “qualified independent underwriter,” as such term is defined in Rule 5121 of FINRA (or any successor provision), and of its counsel), (ii) all fees and expenses of complying with securities or blue sky laws (including fees and disbursements of counsel for the underwriters in connection with blue sky qualifications of the Registrable Securities), (iii) all printing, messenger and delivery expenses, (iv) all fees and expenses incurred in connection with the listing of the Registrable Securities on any securities exchange and all rating agency fees, (v) the fees and disbursements of counsel for the Corporation and of its independent public accountants, including the expenses of any special audits and/or comfort letters required by or incident to such performance and compliance, (vi) any fees and disbursements of underwriters customarily paid by the issuers or sellers of securities, including liability insurance if the Corporation so desires or if the underwriters so require, and the reasonable fees and expenses of any special experts retained in connection with the requested registration, but excluding underwriting discounts and commissions and transfer taxes, if any, (vii) the reasonable fees and out-of-pocket expenses of (a) one counsel for the CBP Holders, (b) one counsel for the NVX Holders and (c) one counsel for the NEP Holders, (viii) the costs and expenses of the Corporation relating to analyst and investor presentations or any “road show” undertaken in connection with the registration and/or marketing of the Registrable Securities (including Expenses incurred by the CBP Holders, the NVX Holders and the NEP Holders in connection therewith) and (ix) any other fees and disbursements customarily paid by the issuers of securities.</w:t>
      </w:r>
    </w:p>
    <w:p>
      <w:pPr>
        <w:spacing w:after="0" w:line="17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w:t>
      </w:r>
      <w:r>
        <w:rPr>
          <w:rFonts w:ascii="Arial" w:cs="Arial" w:eastAsia="Arial" w:hAnsi="Arial"/>
          <w:sz w:val="18"/>
          <w:szCs w:val="18"/>
          <w:b w:val="1"/>
          <w:bCs w:val="1"/>
          <w:i w:val="1"/>
          <w:iCs w:val="1"/>
          <w:color w:val="auto"/>
        </w:rPr>
        <w:t>Rule 158</w:t>
      </w:r>
      <w:r>
        <w:rPr>
          <w:rFonts w:ascii="Arial" w:cs="Arial" w:eastAsia="Arial" w:hAnsi="Arial"/>
          <w:sz w:val="18"/>
          <w:szCs w:val="18"/>
          <w:color w:val="auto"/>
        </w:rPr>
        <w:t>,” “</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Rule 415</w:t>
      </w:r>
      <w:r>
        <w:rPr>
          <w:rFonts w:ascii="Arial" w:cs="Arial" w:eastAsia="Arial" w:hAnsi="Arial"/>
          <w:sz w:val="18"/>
          <w:szCs w:val="18"/>
          <w:color w:val="auto"/>
        </w:rPr>
        <w:t>” mean, in each case, such rule promulgated under the Securities Act (or any successor provision) by the SEC, as the same shall be amended from time to time, or any successor rule then in force.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Holders</w:t>
      </w:r>
      <w:r>
        <w:rPr>
          <w:rFonts w:ascii="Arial" w:cs="Arial" w:eastAsia="Arial" w:hAnsi="Arial"/>
          <w:sz w:val="18"/>
          <w:szCs w:val="18"/>
          <w:color w:val="auto"/>
        </w:rPr>
        <w:t>” means the schedule attached to this Agreement entitled “Schedule of Holders,” which shall reflect each Holder from time to time party to this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from time to time, or any successor federal law then in force, together with all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Settlement</w:t>
      </w:r>
      <w:r>
        <w:rPr>
          <w:rFonts w:ascii="Arial" w:cs="Arial" w:eastAsia="Arial" w:hAnsi="Arial"/>
          <w:sz w:val="18"/>
          <w:szCs w:val="18"/>
          <w:color w:val="auto"/>
        </w:rPr>
        <w:t>” shall have the meaning set forth in the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Holder</w:t>
      </w:r>
      <w:r>
        <w:rPr>
          <w:rFonts w:ascii="Arial" w:cs="Arial" w:eastAsia="Arial" w:hAnsi="Arial"/>
          <w:sz w:val="18"/>
          <w:szCs w:val="18"/>
          <w:color w:val="auto"/>
        </w:rPr>
        <w:t>” means any Holder that owns Registrable Securities that have been registered on a Shelf Registration Statement.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Statement</w:t>
      </w:r>
      <w:r>
        <w:rPr>
          <w:rFonts w:ascii="Arial" w:cs="Arial" w:eastAsia="Arial" w:hAnsi="Arial"/>
          <w:sz w:val="18"/>
          <w:szCs w:val="18"/>
          <w:color w:val="auto"/>
        </w:rPr>
        <w:t>” means a Registration Statement of the Corporation filed with the SEC on Form S-3 for an offering to be made on a continuous basis pursuant to Rule 415 under the Securities Act (or any similar rule that may be adopted by the SEC) covering the Registrable Securities, as applicable.</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Take-Down</w:t>
      </w:r>
      <w:r>
        <w:rPr>
          <w:rFonts w:ascii="Arial" w:cs="Arial" w:eastAsia="Arial" w:hAnsi="Arial"/>
          <w:sz w:val="18"/>
          <w:szCs w:val="18"/>
          <w:color w:val="auto"/>
        </w:rPr>
        <w:t>” means any offering or sale of Registrable Securities initiated by an Initiating Holder pursuant to a Shelf Registration Statement.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2" w:name="page53"/>
    <w:bookmarkEnd w:id="52"/>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Corporation, any corporation, limited 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Corporation,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Corporation or (y) the Corporation or one of its Subsidiaries is the sole manager or general partner of such Person.</w:t>
      </w:r>
    </w:p>
    <w:p>
      <w:pPr>
        <w:spacing w:after="0" w:line="19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Holder</w:t>
      </w:r>
      <w:r>
        <w:rPr>
          <w:rFonts w:ascii="Arial" w:cs="Arial" w:eastAsia="Arial" w:hAnsi="Arial"/>
          <w:sz w:val="18"/>
          <w:szCs w:val="18"/>
          <w:color w:val="auto"/>
        </w:rPr>
        <w:t>” means any holder (other than a Holder) of Shares who exercises contractual rights to participate in a registered offering of Shares.</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Shelf Holder</w:t>
      </w:r>
      <w:r>
        <w:rPr>
          <w:rFonts w:ascii="Arial" w:cs="Arial" w:eastAsia="Arial" w:hAnsi="Arial"/>
          <w:sz w:val="18"/>
          <w:szCs w:val="18"/>
          <w:color w:val="auto"/>
        </w:rPr>
        <w:t>” means any Third Party Holders whose Registrable Securities are registered on a Shelf Registration Statement on which Registrable Securities of the Holders are also registered.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Transferee</w:t>
      </w:r>
      <w:r>
        <w:rPr>
          <w:rFonts w:ascii="Arial" w:cs="Arial" w:eastAsia="Arial" w:hAnsi="Arial"/>
          <w:sz w:val="16"/>
          <w:szCs w:val="16"/>
          <w:color w:val="auto"/>
        </w:rPr>
        <w:t>” means any Person to whom any Holder directly or indirectly transfers Registrable Securities in accordance with the terms 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WKSI</w:t>
      </w:r>
      <w:r>
        <w:rPr>
          <w:rFonts w:ascii="Arial" w:cs="Arial" w:eastAsia="Arial" w:hAnsi="Arial"/>
          <w:sz w:val="18"/>
          <w:szCs w:val="18"/>
          <w:color w:val="auto"/>
        </w:rPr>
        <w:t>” means a “well-known seasoned issuer” as defined under Rule 405.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Shelf Registration.</w:t>
      </w:r>
    </w:p>
    <w:p>
      <w:pPr>
        <w:spacing w:after="0" w:line="117" w:lineRule="exact"/>
        <w:rPr>
          <w:sz w:val="20"/>
          <w:szCs w:val="20"/>
          <w:color w:val="auto"/>
        </w:rPr>
      </w:pPr>
    </w:p>
    <w:p>
      <w:pPr>
        <w:ind w:firstLine="436"/>
        <w:spacing w:after="0" w:line="285" w:lineRule="auto"/>
        <w:tabs>
          <w:tab w:leader="none" w:pos="68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Filing</w:t>
      </w:r>
      <w:r>
        <w:rPr>
          <w:rFonts w:ascii="Arial" w:cs="Arial" w:eastAsia="Arial" w:hAnsi="Arial"/>
          <w:sz w:val="16"/>
          <w:szCs w:val="16"/>
          <w:color w:val="auto"/>
        </w:rPr>
        <w:t>. Subject to the Corporation’s rights under Section 2(c), for so long as any Holder holds at least five percent (5%) of the outstanding Capital Stock of the Corporation, the Corporation hereby agrees that it shall (i) use its reasonable best efforts to file on the first day of the calendar month following 12 full calendar months after the consummation of the IPO or, if such day is not a Business Day, on the first Business Day thereafter or, if the Corporation is not then eligible to file a Shelf Registration Statement, upon the Corporation becoming eligible to file a Shelf Registration Statement (the “</w:t>
      </w:r>
      <w:r>
        <w:rPr>
          <w:rFonts w:ascii="Arial" w:cs="Arial" w:eastAsia="Arial" w:hAnsi="Arial"/>
          <w:sz w:val="16"/>
          <w:szCs w:val="16"/>
          <w:b w:val="1"/>
          <w:bCs w:val="1"/>
          <w:i w:val="1"/>
          <w:iCs w:val="1"/>
          <w:color w:val="auto"/>
        </w:rPr>
        <w:t>Shelf Registration Date</w:t>
      </w:r>
      <w:r>
        <w:rPr>
          <w:rFonts w:ascii="Arial" w:cs="Arial" w:eastAsia="Arial" w:hAnsi="Arial"/>
          <w:sz w:val="16"/>
          <w:szCs w:val="16"/>
          <w:color w:val="auto"/>
        </w:rPr>
        <w:t>”) a Shelf Registration Statement (which Shelf Registration Statement shall be designated by the Corporation as an Automatic Shelf Registration Statement if the Corporation is a WKSI at the time of filing such Shelf Registration Statement with the SEC), as will permit or facilitate the sale and distribution of all Registrable Securities owned by the Holders (or such lesser amount of the Registrable Securities of any Holder as such Holder shall request to the Corporation in writing), and (ii) use its reasonable best efforts to cause such Shelf Registration Statement to become effective as promptly as reasonably practicable after the Shelf Registration Date. No later than ten (10) Business Days prior to the filing of such Shelf Registration Statement, the Corporation shall give written notice to all Holders (a “</w:t>
      </w:r>
      <w:r>
        <w:rPr>
          <w:rFonts w:ascii="Arial" w:cs="Arial" w:eastAsia="Arial" w:hAnsi="Arial"/>
          <w:sz w:val="16"/>
          <w:szCs w:val="16"/>
          <w:b w:val="1"/>
          <w:bCs w:val="1"/>
          <w:i w:val="1"/>
          <w:iCs w:val="1"/>
          <w:color w:val="auto"/>
        </w:rPr>
        <w:t>Shelf Registration Notice</w:t>
      </w:r>
      <w:r>
        <w:rPr>
          <w:rFonts w:ascii="Arial" w:cs="Arial" w:eastAsia="Arial" w:hAnsi="Arial"/>
          <w:sz w:val="16"/>
          <w:szCs w:val="16"/>
          <w:color w:val="auto"/>
        </w:rPr>
        <w:t>”) of the anticipated date of the filing of such Shelf Registration Statement. If the Corporation is permitted by applicable law, rule or regulation to add selling securityholders or additional Registrable Securities, as applicable, to a Shelf Registration Statement without filing a post-effective amendment, a Holder that requested that not all of its Registrable Securities be included in a Shelf Registration Statement that is currently effective may request the inclusion of such Holder’s Registrable Securities (such amount not in any event to exceed the total Registrable Securities owned by such Holder) in such Shelf Registration Statement at any time or from time to time, and the Corporation shall add such Registrable Securities to the Shelf Registration Statement as promptly as reasonably practicable, and such Holder shall be deemed a Shelf Holder. The Corporation shall also use its reasonable best efforts to file any replacement or additional Shelf Registration Statement and use reasonable best efforts to cause such replacement or additional Shelf Registration Statement to become effective prior to the expiration of the initial Shelf Registration Statement filed pursuant to this Section 2(a).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3" w:name="page54"/>
    <w:bookmarkEnd w:id="53"/>
    <w:p>
      <w:pPr>
        <w:ind w:left="4" w:right="160" w:firstLine="436"/>
        <w:spacing w:after="0" w:line="257" w:lineRule="auto"/>
        <w:tabs>
          <w:tab w:leader="none" w:pos="699"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Continued Effectiveness</w:t>
      </w:r>
      <w:r>
        <w:rPr>
          <w:rFonts w:ascii="Arial" w:cs="Arial" w:eastAsia="Arial" w:hAnsi="Arial"/>
          <w:sz w:val="18"/>
          <w:szCs w:val="18"/>
          <w:color w:val="auto"/>
        </w:rPr>
        <w:t>. The Corporation shall use its reasonable best efforts to keep such Shelf Registration Statement filed pursuant to this Section 2 hereof, including any replacement or additional Shelf Registration Statement, continuously effective under the Securities Act in order to permit the Prospectus forming a part thereof to be usable by the Shelf Holders until the earlier of (i) the date as of which all Registrable Securities registered by such Shelf Registration Statement have been sold or cease to be Registrable Securities and (ii) such shorter period as the CBP Initiating Holders may determine (such period of effectiveness, the “</w:t>
      </w:r>
      <w:r>
        <w:rPr>
          <w:rFonts w:ascii="Arial" w:cs="Arial" w:eastAsia="Arial" w:hAnsi="Arial"/>
          <w:sz w:val="18"/>
          <w:szCs w:val="18"/>
          <w:b w:val="1"/>
          <w:bCs w:val="1"/>
          <w:i w:val="1"/>
          <w:iCs w:val="1"/>
          <w:color w:val="auto"/>
        </w:rPr>
        <w:t>Shelf Period</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 w:firstLine="436"/>
        <w:spacing w:after="0" w:line="283" w:lineRule="auto"/>
        <w:tabs>
          <w:tab w:leader="none" w:pos="689"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Suspension of Filing or Registration</w:t>
      </w:r>
      <w:r>
        <w:rPr>
          <w:rFonts w:ascii="Arial" w:cs="Arial" w:eastAsia="Arial" w:hAnsi="Arial"/>
          <w:sz w:val="16"/>
          <w:szCs w:val="16"/>
          <w:color w:val="auto"/>
        </w:rPr>
        <w:t>. If the Corporation shall furnish to the Holders (if a Shelf Registration Statement has not yet become effective) or the Shelf Holders (after a Shelf Registration Statement has become effective), a certificate signed by the chief executive officer or equivalent senior executive of the Corporation, stating that the filing, effectiveness or continued use of the Shelf Registration Statement would require the Corporation to make an Adverse Disclosure, then the Corporation shall have a period of not more than sixty (60) days or such longer period as the applicable Initiating Holder shall consent to in writing, within which to delay the filing or effectiveness (but not the preparation) of such Shelf Registration Statement or, in the case of a Shelf Registration Statement that has been declared effective, to suspend the use by Shelf Holders of such Shelf Registration Statement (in each case, a “</w:t>
      </w:r>
      <w:r>
        <w:rPr>
          <w:rFonts w:ascii="Arial" w:cs="Arial" w:eastAsia="Arial" w:hAnsi="Arial"/>
          <w:sz w:val="16"/>
          <w:szCs w:val="16"/>
          <w:b w:val="1"/>
          <w:bCs w:val="1"/>
          <w:i w:val="1"/>
          <w:iCs w:val="1"/>
          <w:color w:val="auto"/>
        </w:rPr>
        <w:t>Shelf Suspension</w:t>
      </w:r>
      <w:r>
        <w:rPr>
          <w:rFonts w:ascii="Arial" w:cs="Arial" w:eastAsia="Arial" w:hAnsi="Arial"/>
          <w:sz w:val="16"/>
          <w:szCs w:val="16"/>
          <w:color w:val="auto"/>
        </w:rPr>
        <w:t>”); provided, however, that, unless consented to in writing by the applicable Initiating Holder, the Corporation shall not be permitted to exercise in any twelve (12) month period (i) more than two (2) Shelf Suspensions pursuant to this 2(c) and Demand Delays pursuant to Section 3(a)(ii) in the aggregate or (ii) aggregate Shelf Suspensions pursuant to this Section 2(c) and Demand Delays pursuant to Section 3(a)(ii) of more than one hundred twenty (120) days. Each Holder shall keep confidential the fact that a Shelf Suspension is in effect, the certificate referred to above and its contents for the permitted duration of the Shelf Suspension or until otherwise notified by the Corporation, except</w:t>
      </w:r>
    </w:p>
    <w:p>
      <w:pPr>
        <w:spacing w:after="0" w:line="3" w:lineRule="exact"/>
        <w:rPr>
          <w:rFonts w:ascii="Arial" w:cs="Arial" w:eastAsia="Arial" w:hAnsi="Arial"/>
          <w:sz w:val="16"/>
          <w:szCs w:val="16"/>
          <w:color w:val="auto"/>
        </w:rPr>
      </w:pPr>
    </w:p>
    <w:p>
      <w:pPr>
        <w:ind w:left="4" w:right="60" w:hanging="4"/>
        <w:spacing w:after="0" w:line="267" w:lineRule="auto"/>
        <w:tabs>
          <w:tab w:leader="none" w:pos="299"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disclosure to such Holder’s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rule or regulation. In the case of a Shelf Suspension that occurs after the effectiveness of the Shelf Registration Statement, the Shelf Holders agree to suspend use of the applicable Prospectus for the permitted duration of such Shelf Suspension in connection with any sale or purchase of, or offer to sell or purchase, Registrable Securities, upon receipt of the certificate referred to above. The Corporation shall immediately notify the Holders or Shelf Holders, as applicable, upon the termination of any Shelf Suspension, and (i) in the case of a Shelf Registration Statement that has not been declared effective, shall promptly thereafter file the Shelf Registration Statement and use its reasonable best efforts to have such Shelf Registration Statement declared effective under the Securities Act and (ii) in the case of an effective Shelf Registration Statement, shall amend or supplement the Prospectus, if necessary, so it does not contain any material misstatement or omission prior to the expiration of the Shelf Suspension and furnish to the Shelf Holders such numbers of copies of the Prospectus as so amended or supplemented as the Shelf Holders may reasonably request. The Corporation agrees, if necessary, to supplement or make amendments to the Shelf Registration Statement if required by the registration form used by the Corporation for the shelf registration or by the instructions applicable to such registration form or by the Securities Act or the rules or regulations promulgated thereunder or as may reasonably be requested by the Shelf Holders of a majority of the Registrable Securities then outstanding.</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54" w:name="page55"/>
    <w:bookmarkEnd w:id="54"/>
    <w:p>
      <w:pPr>
        <w:ind w:left="264" w:hanging="264"/>
        <w:spacing w:after="0"/>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Shelf Take-Downs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419"/>
        <w:spacing w:after="0" w:line="269" w:lineRule="auto"/>
        <w:tabs>
          <w:tab w:leader="none" w:pos="641"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terms and provisions of this Agreement, for so long as the Initiating Holder (the “</w:t>
      </w:r>
      <w:r>
        <w:rPr>
          <w:rFonts w:ascii="Arial" w:cs="Arial" w:eastAsia="Arial" w:hAnsi="Arial"/>
          <w:sz w:val="17"/>
          <w:szCs w:val="17"/>
          <w:b w:val="1"/>
          <w:bCs w:val="1"/>
          <w:i w:val="1"/>
          <w:iCs w:val="1"/>
          <w:color w:val="auto"/>
        </w:rPr>
        <w:t>Shelf Take-Down Initiating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may initiate a Shelf Take-Down pursuant to this Section 2(d), at the option of such Shelf Take-Down Initiating Holder, such Shelf Take-Down (a) may be in the form of an Underwritten Shelf Take-Down (provided, however, that an NVX Initiating Holder shall have the right to initiate an Underwritten Shelf Take-Down on only two occasions and an NEP Initiating Holder shall have the right to initiate an Underwritten Shelf Take-Down on only one occasion) or a Shelf Take-Down that is not an Underwritten Shelf Take-Down and (b) in the case of an Underwritten Shelf Take-Down, may be Non-Marketed or Marketed, in each case, as shall be specified in the written demand delivered by the Shelf Take-Down Initiating Holder to the Corporation pursuant to the provisions of this Section 2(d). Notwithstanding anything contained in this Section 2(d), no Shelf Take-Down Initiating Holder, other than the CBP Holder, shall have the right to initiate a Shelf Take-Down if such Shelf Take-Down Initiating Holder could sell or otherwise distribute its Registrable Securities pursuant to Rule 144 promulgated under the Securities Act in a single transaction without any volume or manner of sale limitations.</w:t>
      </w:r>
    </w:p>
    <w:p>
      <w:pPr>
        <w:spacing w:after="0" w:line="77" w:lineRule="exact"/>
        <w:rPr>
          <w:rFonts w:ascii="Arial" w:cs="Arial" w:eastAsia="Arial" w:hAnsi="Arial"/>
          <w:sz w:val="17"/>
          <w:szCs w:val="17"/>
          <w:color w:val="auto"/>
        </w:rPr>
      </w:pPr>
    </w:p>
    <w:p>
      <w:pPr>
        <w:ind w:left="684" w:hanging="261"/>
        <w:spacing w:after="0"/>
        <w:tabs>
          <w:tab w:leader="none" w:pos="684"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Underwritten Shelf Take-Downs</w:t>
      </w:r>
      <w:r>
        <w:rPr>
          <w:rFonts w:ascii="Arial" w:cs="Arial" w:eastAsia="Arial" w:hAnsi="Arial"/>
          <w:sz w:val="18"/>
          <w:szCs w:val="18"/>
          <w:color w:val="auto"/>
        </w:rPr>
        <w:t>.</w:t>
      </w:r>
    </w:p>
    <w:p>
      <w:pPr>
        <w:spacing w:after="0" w:line="117" w:lineRule="exact"/>
        <w:rPr>
          <w:sz w:val="20"/>
          <w:szCs w:val="20"/>
          <w:color w:val="auto"/>
        </w:rPr>
      </w:pPr>
    </w:p>
    <w:p>
      <w:pPr>
        <w:ind w:left="4" w:firstLine="419"/>
        <w:spacing w:after="0" w:line="287" w:lineRule="auto"/>
        <w:tabs>
          <w:tab w:leader="none" w:pos="6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Shelf Take-Down Initiating Holder may elect in a written demand delivered to the Corporation (an “</w:t>
      </w:r>
      <w:r>
        <w:rPr>
          <w:rFonts w:ascii="Arial" w:cs="Arial" w:eastAsia="Arial" w:hAnsi="Arial"/>
          <w:sz w:val="16"/>
          <w:szCs w:val="16"/>
          <w:b w:val="1"/>
          <w:bCs w:val="1"/>
          <w:i w:val="1"/>
          <w:iCs w:val="1"/>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for any Shelf Take-Down that it has initiated (including any Restricted Shelf Take-Down) to be in the form of an underwritten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w:t>
      </w:r>
      <w:r>
        <w:rPr>
          <w:rFonts w:ascii="Arial" w:cs="Arial" w:eastAsia="Arial" w:hAnsi="Arial"/>
          <w:sz w:val="16"/>
          <w:szCs w:val="16"/>
          <w:b w:val="1"/>
          <w:bCs w:val="1"/>
          <w:i w:val="1"/>
          <w:iCs w:val="1"/>
          <w:color w:val="auto"/>
        </w:rPr>
        <w:t>Underwritten Shelf Take-Down</w:t>
      </w:r>
      <w:r>
        <w:rPr>
          <w:rFonts w:ascii="Arial" w:cs="Arial" w:eastAsia="Arial" w:hAnsi="Arial"/>
          <w:sz w:val="16"/>
          <w:szCs w:val="16"/>
          <w:color w:val="auto"/>
        </w:rPr>
        <w:t>”), and the Corporation shall, if so requested, file and effect an amendment or supplement of the Shelf Registration Statement for such purpose as soon as practicable but in no event later than twenty (20) days after the delivery of such Underwritten Shelf Take-Down Notice; provided, that any such Underwritten Shelf Take-Down must comply with Section 3(d) and involve the offer and sale by such Shelf Take-Down Initiating Holders of Registrable Securities having a reasonably anticipated net aggregate offering price (after deduction of underwriter commissions and offering expenses) of at least $50,000,000 unless such Underwritten Shelf Take-Down is for all of the Registrable Securities then held by the Initiating Holders and their respective Permitted Transferees (in which case there is no minimum other than the inclusion of all of such Registrable Securities). The Shelf Holders that own a majority of the Registrable Securities to be offered for sale in such Underwritten Shelf Take-Down shall have the right to select the underwriter or underwriters to administer such Underwritten Shelf Take-Down; provided, that such underwriter or underwriters shall be reasonably acceptable to the Corporation.</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4"/>
          </w:cols>
          <w:pgMar w:left="876" w:top="274" w:right="459" w:bottom="1440" w:gutter="0" w:footer="0" w:header="0"/>
        </w:sectPr>
      </w:pPr>
    </w:p>
    <w:bookmarkStart w:id="55" w:name="page56"/>
    <w:bookmarkEnd w:id="55"/>
    <w:p>
      <w:pPr>
        <w:ind w:firstLine="419"/>
        <w:spacing w:after="0" w:line="267" w:lineRule="auto"/>
        <w:tabs>
          <w:tab w:leader="none" w:pos="678"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Underwritten Shelf Take-Down (including any Marketed Underwritten Shelf Take-Down), in the event that a Shelf Holder otherwise would be entitled to participate in such Underwritten Shelf Take-Down pursuant to Section 2(d)(iii) or Section 2(d)(iv), as the case may be, the right of such Shelf Holder to participate in such Underwritten Shelf Take-Down shall be conditioned upon such Shelf Holder’s right of participation in such underwriting and the inclusion of such Shelf Holder’s Registrable Securities in the underwriting to the extent provided and requested herein. The Corporation shall, together with all Shelf Holders and Third Party Shelf Holders of Registrable Securities of the Corporation proposing to distribute their securities through such Underwritten Shelf Take-Down, enter into an underwriting agreement in customary form with the underwriter or underwriters selected in accordance with Section 2(d)(ii)(a). Notwithstanding any other provision of this Section 2, if the underwriter shall advise the Corporation that marketing factors (including an adverse effect on the per security offering price) require a limitation of the number of Registrable Securities to be underwritten in a Underwritten Shelf Take-Down, then the Corporation shall so advise all Shelf Holders and Third Party Shelf Holders of Registrable Securities that have requested to participate in such Underwritten Shelf Take-Down, and the number of Registrable Securities that may be included in such Underwritten Shelf Take Down shall be allocated first pro rata among such Shelf Holders and second pro rata among the Third Party Shelf Holders thereof in proportion, as nearly as practicable, to the respective amounts of Registrable Securities held by such Shelf Holders and Third Party Shelf Holders at the time of such Underwritten Shelf Take-Down; provided, that any Registrable Securities thereby allocated to a Shelf Holder or Third Party Shelf Holder that exceeds such Shelf Holder’s or Third Party Shelf Holder’s request shall be reallocated among the remaining Shelf Holders and Third Party Shelf Holders in like manner. No Registrable Securities excluded from an Underwritten Shelf Take-Down by reason of the underwriter’s marketing limitation shall be included in such underwritten offering. To the extent that a Shelf Take-Down Initiating Holder is not able to include at least 50% of its Registrable Securities in such Underwritten Shelf Take-Down, then such Underwritten Shelf Take-Down shall not reduce the number of initiated Underwritten Shelf Take-Downs pursuant to Section 2(d)(i).</w:t>
      </w:r>
    </w:p>
    <w:p>
      <w:pPr>
        <w:spacing w:after="0" w:line="80" w:lineRule="exact"/>
        <w:rPr>
          <w:sz w:val="20"/>
          <w:szCs w:val="20"/>
          <w:color w:val="auto"/>
        </w:rPr>
      </w:pPr>
    </w:p>
    <w:p>
      <w:pPr>
        <w:ind w:firstLine="419"/>
        <w:spacing w:after="0" w:line="287" w:lineRule="auto"/>
        <w:tabs>
          <w:tab w:leader="none" w:pos="73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Marketed Underwritten Shelf Take-Downs</w:t>
      </w:r>
      <w:r>
        <w:rPr>
          <w:rFonts w:ascii="Arial" w:cs="Arial" w:eastAsia="Arial" w:hAnsi="Arial"/>
          <w:sz w:val="16"/>
          <w:szCs w:val="16"/>
          <w:color w:val="auto"/>
        </w:rPr>
        <w:t>. The Shelf Take-Down Initiating Holder submitting an Underwritten Shelf Take-Down Notice shall indicate in such notice that it delivers to the Corporation pursuant to Section 2(d)(ii) whether it intends for such Underwritten Shelf Take-Down to be Marketed (a “</w:t>
      </w:r>
      <w:r>
        <w:rPr>
          <w:rFonts w:ascii="Arial" w:cs="Arial" w:eastAsia="Arial" w:hAnsi="Arial"/>
          <w:sz w:val="16"/>
          <w:szCs w:val="16"/>
          <w:b w:val="1"/>
          <w:bCs w:val="1"/>
          <w:i w:val="1"/>
          <w:iCs w:val="1"/>
          <w:color w:val="auto"/>
        </w:rPr>
        <w:t>Marketed Underwritten Shelf Take-Down</w:t>
      </w:r>
      <w:r>
        <w:rPr>
          <w:rFonts w:ascii="Arial" w:cs="Arial" w:eastAsia="Arial" w:hAnsi="Arial"/>
          <w:sz w:val="16"/>
          <w:szCs w:val="16"/>
          <w:color w:val="auto"/>
        </w:rPr>
        <w:t>”); provided, that any such Marketed Underwritten Shelf Take-Down shall be deemed to be, for purposes of Section 3(a), a Demand Registration and shall be subject to the limits set forth in Section 3(d). Upon receipt of an Underwritten Shelf Take-Down Notice indicating that such Underwritten Shelf Take-Down will be a Marketed Underwritten Shelf Take-Down, the Corporation shall promptly (but in any event no later than 5:00 p.m., New York City time, on (X) the second trading day prior to the date on which the preliminary prospectus or prospectus supplement intended to be used in connection with pre-pricing marketing efforts for the Marketed Underwritten Shelf Take-Down is expected to be finalized and (Y) the second trading day prior to the date on which the pricing of the relevant a Marketed Underwritten Shelf Take-Down occurs) give written notice of such Marketed Underwritten Shelf Take-Down to all other Eligible Take-Down Holders of Registrable Securities under such Shelf Registration Statement and any such Eligible Take-Down Holders requesting inclusion in such Marketed Underwritten Shelf Take-Down must respond in writing by 5:00 p.m., New York City time, on the earlier of</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56" w:name="page57"/>
    <w:bookmarkEnd w:id="5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trading day prior to the date on which the preliminary prospectus or prospectus supplement intended to be used in connection with pre-pricing marketing efforts for the relevant Marketed Underwritten Shelf Take-Down is expected to be finalized and (II) the trading day prior to the date on which the pricing of the relevant Marketed Underwritten Shelf Take-Down occurs. Each such Eligible Take-Down Holder that timely delivers any such request shall be permitted to sell in such Marketed Underwritten Shelf Take-Down subject to the terms and conditions of Section 2(d)(ii).</w:t>
      </w:r>
    </w:p>
    <w:p>
      <w:pPr>
        <w:spacing w:after="0" w:line="80" w:lineRule="exact"/>
        <w:rPr>
          <w:sz w:val="20"/>
          <w:szCs w:val="20"/>
          <w:color w:val="auto"/>
        </w:rPr>
      </w:pPr>
    </w:p>
    <w:p>
      <w:pPr>
        <w:ind w:left="720" w:hanging="301"/>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Non-Marketed Underwritten Shelf Take-Downs and Non-Underwritten Shelf Take-Downs</w:t>
      </w:r>
      <w:r>
        <w:rPr>
          <w:rFonts w:ascii="Arial" w:cs="Arial" w:eastAsia="Arial" w:hAnsi="Arial"/>
          <w:sz w:val="18"/>
          <w:szCs w:val="18"/>
          <w:color w:val="auto"/>
        </w:rPr>
        <w:t>.</w:t>
      </w:r>
    </w:p>
    <w:p>
      <w:pPr>
        <w:spacing w:after="0" w:line="117" w:lineRule="exact"/>
        <w:rPr>
          <w:sz w:val="20"/>
          <w:szCs w:val="20"/>
          <w:color w:val="auto"/>
        </w:rPr>
      </w:pPr>
    </w:p>
    <w:p>
      <w:pPr>
        <w:ind w:right="80" w:firstLine="419"/>
        <w:spacing w:after="0" w:line="288" w:lineRule="auto"/>
        <w:tabs>
          <w:tab w:leader="none" w:pos="6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Shelf Take-Down Initiating Holder may initiate a (x) Non-Marketed Underwritten Shelf Take-Down or a (y) Shelf Take-Down that is not an Underwritten Shelf Take-Down (a Shelf Take-Down referred to in (x) or (y) is referred to as a “</w:t>
      </w:r>
      <w:r>
        <w:rPr>
          <w:rFonts w:ascii="Arial" w:cs="Arial" w:eastAsia="Arial" w:hAnsi="Arial"/>
          <w:sz w:val="16"/>
          <w:szCs w:val="16"/>
          <w:b w:val="1"/>
          <w:bCs w:val="1"/>
          <w:i w:val="1"/>
          <w:iCs w:val="1"/>
          <w:color w:val="auto"/>
        </w:rPr>
        <w:t>Restricted Shelf Take-Down</w:t>
      </w:r>
      <w:r>
        <w:rPr>
          <w:rFonts w:ascii="Arial" w:cs="Arial" w:eastAsia="Arial" w:hAnsi="Arial"/>
          <w:sz w:val="16"/>
          <w:szCs w:val="16"/>
          <w:color w:val="auto"/>
        </w:rPr>
        <w:t>”) by providing written notice thereof to the Corporation and, to the extent required by Section 2(d)(iv)(b), all other Eligible Take-Down Holders; provided, that any such Restricted Shelf Take-Down must involve the offer and sale by such Shelf Take-Down Initiating Holders of Registrable Securities having a reasonably anticipated net aggregate offering price (after deduction of underwriter commissions and offering expenses) of at least $15,000,000, unless such Restricted Shelf Take-Down is for all of the Registrable Securities then held by the Initiating Holders and their respective Permitted Transferees (in which case there is no minimum other than the inclusion of all of such Registrable Securities). Any notice delivered pursuant to the immediately preceding sentence shall include (i) the total number of Registrable Securities expected to be offered and sold in such Shelf Take-Down and (ii) the expected timing and plan of distribution of such Shelf Take-Down. For the avoidance of doubt, an Eligible Take-Down Holder that is not a Shelf Take-Down Initiating Holder cannot initiate an Underwritten Shelf Take-Down.</w:t>
      </w:r>
    </w:p>
    <w:p>
      <w:pPr>
        <w:spacing w:after="0" w:line="60" w:lineRule="exact"/>
        <w:rPr>
          <w:rFonts w:ascii="Arial" w:cs="Arial" w:eastAsia="Arial" w:hAnsi="Arial"/>
          <w:sz w:val="16"/>
          <w:szCs w:val="16"/>
          <w:color w:val="auto"/>
        </w:rPr>
      </w:pPr>
    </w:p>
    <w:p>
      <w:pPr>
        <w:ind w:firstLine="419"/>
        <w:spacing w:after="0" w:line="268" w:lineRule="auto"/>
        <w:tabs>
          <w:tab w:leader="none" w:pos="678"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 respect to each Restricted Shelf Take-Down, the Shelf Take-Down Initiating Holder initiating such Restricted Shelf Take-Down shall provide written notice (a “</w:t>
      </w:r>
      <w:r>
        <w:rPr>
          <w:rFonts w:ascii="Arial" w:cs="Arial" w:eastAsia="Arial" w:hAnsi="Arial"/>
          <w:sz w:val="17"/>
          <w:szCs w:val="17"/>
          <w:b w:val="1"/>
          <w:bCs w:val="1"/>
          <w:i w:val="1"/>
          <w:iCs w:val="1"/>
          <w:color w:val="auto"/>
        </w:rPr>
        <w:t>Restricted Shelf Take-Down Notice</w:t>
      </w:r>
      <w:r>
        <w:rPr>
          <w:rFonts w:ascii="Arial" w:cs="Arial" w:eastAsia="Arial" w:hAnsi="Arial"/>
          <w:sz w:val="17"/>
          <w:szCs w:val="17"/>
          <w:color w:val="auto"/>
        </w:rPr>
        <w:t>”) of such Restricted Shelf Take-Down to the Corporation and all other Eligible Take-Down Holders promptly (but in any event no later than 5:00 p.m., New York City time two (2) Business Days prior to the completion of such Restricted Shelf Take-Down) which Restricted Shelf Take-Down Notice shall set forth (I) the total number of Registrable Securities expected to be offered and sold in such Restricted Shelf Take-Down, (II) the expected timing and plan of distribution of such Restricted Shelf Take-Down, (III) an invitation to each Eligible Take-Down Holder to elect (such Eligible Take-Down Holders who make such an election being “</w:t>
      </w:r>
      <w:r>
        <w:rPr>
          <w:rFonts w:ascii="Arial" w:cs="Arial" w:eastAsia="Arial" w:hAnsi="Arial"/>
          <w:sz w:val="17"/>
          <w:szCs w:val="17"/>
          <w:b w:val="1"/>
          <w:bCs w:val="1"/>
          <w:i w:val="1"/>
          <w:iCs w:val="1"/>
          <w:color w:val="auto"/>
        </w:rPr>
        <w:t>Take-Down Tagging Holders</w:t>
      </w:r>
      <w:r>
        <w:rPr>
          <w:rFonts w:ascii="Arial" w:cs="Arial" w:eastAsia="Arial" w:hAnsi="Arial"/>
          <w:sz w:val="17"/>
          <w:szCs w:val="17"/>
          <w:color w:val="auto"/>
        </w:rPr>
        <w:t>” and, together with the Shelf Take-Down Initiating Holders and all other Persons (other than any Affiliates of the Shelf Take-Down Initiating Holders) who otherwise are Transferring, or have exercised a contractual or other right to Transfer, Registrable Securities in connection with such Restricted Shelf Take-Down, the “</w:t>
      </w:r>
      <w:r>
        <w:rPr>
          <w:rFonts w:ascii="Arial" w:cs="Arial" w:eastAsia="Arial" w:hAnsi="Arial"/>
          <w:sz w:val="17"/>
          <w:szCs w:val="17"/>
          <w:b w:val="1"/>
          <w:bCs w:val="1"/>
          <w:i w:val="1"/>
          <w:iCs w:val="1"/>
          <w:color w:val="auto"/>
        </w:rPr>
        <w:t>Restricted Take-Down Selling Holders</w:t>
      </w:r>
      <w:r>
        <w:rPr>
          <w:rFonts w:ascii="Arial" w:cs="Arial" w:eastAsia="Arial" w:hAnsi="Arial"/>
          <w:sz w:val="17"/>
          <w:szCs w:val="17"/>
          <w:color w:val="auto"/>
        </w:rPr>
        <w:t>”) to include in the Restricted Shelf Take-Down Registrable Securities held by such Take-Down Tagging Holder (but subject to Section 2(d)(ii)(b)) and (IV) the action or actions required (including the timing thereof) in connection with such Restricted Shelf Take-Down with respect to each Eligible Take-Down Holder that elects to exercise such right (including the delivery of one or more stock certificates representing Registrable Securities of such Eligible Take-Down Holder to be sold in such Restricted Shelf Take-Down).</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0"/>
          </w:cols>
          <w:pgMar w:left="880" w:top="274" w:right="499" w:bottom="1440" w:gutter="0" w:footer="0" w:header="0"/>
        </w:sectPr>
      </w:pPr>
    </w:p>
    <w:bookmarkStart w:id="57" w:name="page58"/>
    <w:bookmarkEnd w:id="57"/>
    <w:p>
      <w:pPr>
        <w:ind w:firstLine="419"/>
        <w:spacing w:after="0" w:line="268" w:lineRule="auto"/>
        <w:tabs>
          <w:tab w:leader="none" w:pos="668" w:val="left"/>
        </w:tabs>
        <w:numPr>
          <w:ilvl w:val="0"/>
          <w:numId w:val="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delivery of a Restricted Shelf Take-Down Notice, each Eligible Take-Down Holder may elect to sell Registrable Securities in such Restricted Shelf Take-Down, at the same price per Registrable Security and pursuant to the same terms and conditions with respect to payment for the Registrable Securities as agreed to by the Shelf Take-Down Initiating Holders, by sending an irrevocable written notice (a “</w:t>
      </w:r>
      <w:r>
        <w:rPr>
          <w:rFonts w:ascii="Arial" w:cs="Arial" w:eastAsia="Arial" w:hAnsi="Arial"/>
          <w:sz w:val="17"/>
          <w:szCs w:val="17"/>
          <w:b w:val="1"/>
          <w:bCs w:val="1"/>
          <w:i w:val="1"/>
          <w:iCs w:val="1"/>
          <w:color w:val="auto"/>
        </w:rPr>
        <w:t>Take-Down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Participation Notice</w:t>
      </w:r>
      <w:r>
        <w:rPr>
          <w:rFonts w:ascii="Arial" w:cs="Arial" w:eastAsia="Arial" w:hAnsi="Arial"/>
          <w:sz w:val="17"/>
          <w:szCs w:val="17"/>
          <w:color w:val="auto"/>
        </w:rPr>
        <w:t>”) to the Shelf Take-Down Initiating Holders within the time period specified in such Restricted Shelf Take-Down Notice,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indicating his, her or its election to sell up to the number of Registrable Securities in the Restricted Shelf Take-Down specified by such Eligible Take-Down Holder in such Take-Down Participation Notice (but, in all cases, subject to Section 2(d)(ii)(b)). Following the time period specified in such Restricted Shelf Take-Down Notice, each Take-Down Tagging Holder that has delivered a Take-Down Participation Notice shall be permitted to sell in such Restricted Shelf Take-Down on the terms and conditions set forth in the Restricted Shelf Take-Down Notice, concurrently with the Shelf Take-Down Initiating Holders and the other Restricted Take-Down Selling Holders, the number of Registrable Securities calculated pursuant to Section 2(d)(ii)(b). For the avoidance of doubt, it is understood that in order to be entitled to exercise his, her or its right to sell Registrable Securities in a Restricted Shelf Take-Down pursuant to this Section 2(d)(iv), each Take-Down Tagging Holder must agree to make the same representations, warranties, covenants, indemnities and agreements, if any, as the Shelf Take-Down Initiating Holders agree to make in connection with the Restricted Shelf Take-Down, with such additions or changes as are required of such Take-Down Tagging Holder by the underwriters.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w:t>
      </w:r>
    </w:p>
    <w:p>
      <w:pPr>
        <w:spacing w:after="0" w:line="117" w:lineRule="exact"/>
        <w:rPr>
          <w:sz w:val="20"/>
          <w:szCs w:val="20"/>
          <w:color w:val="auto"/>
        </w:rPr>
      </w:pPr>
    </w:p>
    <w:p>
      <w:pPr>
        <w:ind w:firstLine="419"/>
        <w:spacing w:after="0" w:line="269" w:lineRule="auto"/>
        <w:tabs>
          <w:tab w:leader="none" w:pos="668"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Notwithstanding the delivery of any Restricted Shelf Take-Down Notice, for the first two (2) years following the consummation of the IPO, (i) all determinations as to whether to complete any Restricted Shelf Take-Down and as to the timing of such Restricted Shelf Take-Down shall be at the sole discretion of the NVX Holders and the CBP Holders, provided that (x) for any Restricted Shelf Take-Down initiated by the NVX Initiating Holders, the CBP Holders shall not unreasonably withhold, condition or delay their consent and any decisions regarding timing of such Restricted Shelf Take-Down and (y) for any Restricted Shelf Take-Down initiated by the CBP Initiating Holders, the NVX Holders shall not unreasonably withhold, condition or delay their consent and any decisions regarding timing of such Restricted Shelf Take-Down and (ii) all determinations with respect to the manner, price and other terms and conditions of any Restricted Shelf Take-Down shall be at the sole discretion of the Shelf Holders that own a majority of the Registrable Securities to be offered for sale in such Restricted Shelf Take-Down (the “Majority Holders”) (after reasonable consultation with the CBP Holder and/or the NVX Holder to the extent the CBP Holder and/or the NVX Holder, as applicable, are participating therein and are not the Majority Holders). Following the two (2) year anniversary of the consummation of the IPO and notwithstanding the delivery of any Restricted Shelf Take-Down Notice, all determinations with respect to the manner, price and other terms and conditions of any Restricted Shelf Take-Down shall be at the</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58" w:name="page59"/>
    <w:bookmarkEnd w:id="58"/>
    <w:p>
      <w:pPr>
        <w:ind w:left="440"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sole discretion of the Shelf Holders that own a majority of the Registrable Securities to be offered for sale in such Restricted Shelf Take-Down. Each of the Eligible Take-Down Holders agrees to reasonably cooperate with each Shelf Take-Down Initiating Holder and each other Eligible Take-Down Holder to establish notice, delivery and documentation procedures and measures to facilitate such other Eligible Take-Down Holder’s participation in future potential Restricted Shelf Take-Downs pursuant to this Section 2(d)(v)(a).</w:t>
      </w:r>
    </w:p>
    <w:p>
      <w:pPr>
        <w:spacing w:after="0" w:line="63" w:lineRule="exact"/>
        <w:rPr>
          <w:sz w:val="20"/>
          <w:szCs w:val="20"/>
          <w:color w:val="auto"/>
        </w:rPr>
      </w:pPr>
    </w:p>
    <w:p>
      <w:pPr>
        <w:ind w:left="440" w:right="260" w:firstLine="419"/>
        <w:spacing w:after="0" w:line="255" w:lineRule="auto"/>
        <w:tabs>
          <w:tab w:leader="none" w:pos="1118"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anything herein to the contrary, for any Shelf Take-Downs that do not constitute Restricted Shelf Take-Downs, all determinations as to the timing, manner, price and other terms and conditions of any Shelf Take-Downs that do not constitute Restricted Shelf Take-Downs shall be at the sole discretion of the Shelf Holders that own a majority of the Registrable Securities to be offered for sale in such Shelf Take-Down (after reasonable consultation with the CBP Holder and/or the NVX Holder to the extent the CBP Holder and/or the NVX Holder, as applicable, are participating therein and are not the Holders that own a majority of the Registrable Securities to be offered for sale in such Shelf Take-Down).</w:t>
      </w:r>
    </w:p>
    <w:p>
      <w:pPr>
        <w:spacing w:after="0" w:line="84" w:lineRule="exact"/>
        <w:rPr>
          <w:sz w:val="20"/>
          <w:szCs w:val="20"/>
          <w:color w:val="auto"/>
        </w:rPr>
      </w:pPr>
    </w:p>
    <w:p>
      <w:pPr>
        <w:ind w:left="440" w:right="60" w:firstLine="419"/>
        <w:spacing w:after="0" w:line="301" w:lineRule="auto"/>
        <w:tabs>
          <w:tab w:leader="none" w:pos="116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Notwithstanding anything herein to the contrary, prior to the first anniversary of the consummation of the IPO, no Holder other than the CBP Holders may effectuate an unregistered block trade of any Registrable Securities; provided that in the event of any such transaction effectuated by the CBP Holders, the CBP Holders shall notify the NVX Holders and the NEP Holders in advance and use reasonable best efforts to afford the NVX Holders and the NEP Holders the opportunity to participate in such transaction on a pro rata basis.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Demand Registration; Restrictions on Registered Offerings.</w:t>
      </w:r>
    </w:p>
    <w:p>
      <w:pPr>
        <w:spacing w:after="0" w:line="117" w:lineRule="exact"/>
        <w:rPr>
          <w:sz w:val="20"/>
          <w:szCs w:val="20"/>
          <w:color w:val="auto"/>
        </w:rPr>
      </w:pPr>
    </w:p>
    <w:p>
      <w:pPr>
        <w:ind w:right="100" w:firstLine="436"/>
        <w:spacing w:after="0" w:line="289" w:lineRule="auto"/>
        <w:tabs>
          <w:tab w:leader="none" w:pos="68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Holders’ Demand for Registration</w:t>
      </w:r>
      <w:r>
        <w:rPr>
          <w:rFonts w:ascii="Arial" w:cs="Arial" w:eastAsia="Arial" w:hAnsi="Arial"/>
          <w:sz w:val="16"/>
          <w:szCs w:val="16"/>
          <w:color w:val="auto"/>
        </w:rPr>
        <w:t>. Subject to Section 3(d), if, following the consummation of the IPO, the Corporation shall receive a written demand from: (x) the CBP Holders; (y) the NVX Holders, provided that the NVX Holders shall only have two (2) such demand rights, or (z) the NEP Holders, provided that the NEP Holders shall only have one (1) such demand right for so long as the NEP Holders collectively own 75% of the Capital Stock of the Corporation held by the NEP Holders on the closing date of the IPO, in the case of each of clauses (x), (y) and (z), that the Corporation effect any registration other than a shelf registration or a Shelf Take-Down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of Registrable Securities held by such Holder(s) having a reasonably anticipated net aggregate offering price (after deduction of underwriter commissions and offering expenses) of at least, in the case of a Demand Registration pursuant to clause (x) or (y), $10,000,000, and in the case of a Demand Registration pursuant to clause (z), $25,000,000 unless such registration is for all of the Registrable Securities then held by the Initiating Holders and their respective Permitted Transferees (in which case there is no minimum other than the inclusion of all of such Registrable Securities), the Corporation will:</w:t>
      </w:r>
    </w:p>
    <w:p>
      <w:pPr>
        <w:spacing w:after="0" w:line="58" w:lineRule="exact"/>
        <w:rPr>
          <w:rFonts w:ascii="Arial" w:cs="Arial" w:eastAsia="Arial" w:hAnsi="Arial"/>
          <w:sz w:val="16"/>
          <w:szCs w:val="16"/>
          <w:color w:val="auto"/>
        </w:rPr>
      </w:pPr>
    </w:p>
    <w:p>
      <w:pPr>
        <w:ind w:left="440" w:firstLine="419"/>
        <w:spacing w:after="0" w:line="277" w:lineRule="auto"/>
        <w:tabs>
          <w:tab w:leader="none" w:pos="1078"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promptly (but in any event within ten (10) days prior to the date such registration becomes effective under the Securities Act) give written notice of the proposed registration to all other Eligible Demand Participation Holders;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9" w:name="page60"/>
    <w:bookmarkEnd w:id="59"/>
    <w:p>
      <w:pPr>
        <w:ind w:left="440" w:firstLine="419"/>
        <w:spacing w:after="0" w:line="283" w:lineRule="auto"/>
        <w:tabs>
          <w:tab w:leader="none" w:pos="1128"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its reasonable best efforts to effect such registration as soon as practicable as will permit or facilitate the sale and distribution of all or such portion of such Initiating Holder(s)’ Registrable Securities as are specified in such demand, together with all or such portion of the Registrable Securities of any other Eligible Demand Participation Holders joining in such demand as are specified in a written demand received by the Corporation within five (5) days after such written notice is given; provided, that the Corporation shall not be obligated to file any Registration Statement or other disclosure document pursuant to this Section 3 (but shall be obligated to continue to prepare such Registration Statement or other disclosure document) if the Corporation shall furnish to such Eligible Demand Participation Holders a certificate signed by the chief executive officer or equivalent senior executive of the Corporation, stating that the filing or effectiveness of such Registration Statement would require the Corporation to make an Adverse Disclosure, in which case the Corporation shall have an additional period (each, a “</w:t>
      </w:r>
      <w:r>
        <w:rPr>
          <w:rFonts w:ascii="Arial" w:cs="Arial" w:eastAsia="Arial" w:hAnsi="Arial"/>
          <w:sz w:val="16"/>
          <w:szCs w:val="16"/>
          <w:b w:val="1"/>
          <w:bCs w:val="1"/>
          <w:i w:val="1"/>
          <w:iCs w:val="1"/>
          <w:color w:val="auto"/>
        </w:rPr>
        <w:t>Demand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Delay</w:t>
      </w:r>
      <w:r>
        <w:rPr>
          <w:rFonts w:ascii="Arial" w:cs="Arial" w:eastAsia="Arial" w:hAnsi="Arial"/>
          <w:sz w:val="16"/>
          <w:szCs w:val="16"/>
          <w:color w:val="auto"/>
        </w:rPr>
        <w:t>”) of not more than sixty (60) days (or such longer period as may be agreed upon by the Initiating Holders) within which to file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provided, however, that, unless consented to in writing by the Initiating Holders, the Corporation shall not exercise, in any twelve (12) month period, (x) more than two (2) Demand Delays pursuant to this Section 3(a)(ii) and Shelf Suspensions pursuant to 2(c) in the aggregate or (y) aggregate Demand Delays pursuant to this Section 3(a)(ii) and Shelf Suspensions pursuant to Section 2(c) of more than one hundred twenty (120) days. Each Eligible Demand Participation Holder shall keep confidential the fact that a Demand Delay is in effect, the certificate referred to above and its contents for the permitted duration of the Demand Delay or until otherwise notified by the Corporation, except</w:t>
      </w:r>
    </w:p>
    <w:p>
      <w:pPr>
        <w:spacing w:after="0" w:line="1" w:lineRule="exact"/>
        <w:rPr>
          <w:rFonts w:ascii="Arial" w:cs="Arial" w:eastAsia="Arial" w:hAnsi="Arial"/>
          <w:sz w:val="16"/>
          <w:szCs w:val="16"/>
          <w:color w:val="auto"/>
        </w:rPr>
      </w:pPr>
    </w:p>
    <w:p>
      <w:pPr>
        <w:ind w:left="440" w:right="140" w:hanging="4"/>
        <w:spacing w:after="0" w:line="255" w:lineRule="auto"/>
        <w:tabs>
          <w:tab w:leader="none" w:pos="7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disclosure to such Eligible Demand Participation Holder’s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w:t>
      </w:r>
    </w:p>
    <w:p>
      <w:pPr>
        <w:spacing w:after="0" w:line="19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 Initiating Holder, other than the CBP Initiating Holder, shall have the right to demand that the Corporation file a Registration Statement pursuant to this Section 3(a) if such Initiating Holder could sell or otherwise distribute its Registrable Securities pursuant to Rule 144 promulgated under the Securities Act in a single transaction without any volume or manner of sale limitations.</w:t>
      </w:r>
    </w:p>
    <w:p>
      <w:pPr>
        <w:spacing w:after="0" w:line="76" w:lineRule="exact"/>
        <w:rPr>
          <w:sz w:val="20"/>
          <w:szCs w:val="20"/>
          <w:color w:val="auto"/>
        </w:rPr>
      </w:pPr>
    </w:p>
    <w:p>
      <w:pPr>
        <w:ind w:right="40" w:firstLine="436"/>
        <w:spacing w:after="0" w:line="253"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Underwriting</w:t>
      </w:r>
      <w:r>
        <w:rPr>
          <w:rFonts w:ascii="Arial" w:cs="Arial" w:eastAsia="Arial" w:hAnsi="Arial"/>
          <w:sz w:val="18"/>
          <w:szCs w:val="18"/>
          <w:color w:val="auto"/>
        </w:rPr>
        <w:t>. If the Initiating Holder(s) intend to distribute the Registrable Securities covered by their demand by means of an underwritten offer, they shall so advise the Corporation as part of their demand made pursuant to this Section 3, and the Corporation shall include such information in the written notice referred to in Section 3(a)(i). In such event, the right of any Holder to registration pursuant to this Section 3 shall be conditioned upon such Holder’s participation in such underwriting and the inclusion of such Holder’s Registrable Securities in the underwriting to the extent provided herein. The Corporation shall, together with all holders of Registrable Securities of the Corporation proposing to distribute their securities through such underwriting, enter into an underwriting agreement in customary form with the underwriter or underwriters selected by the Initiating Holder owning a majority of the Registrable Securities to be offered for sale in such underwriting by the Initiating Holders and reasonably satisfactory to the Corporation. Notwithstanding any other provision of this Section 3, if the underwriter shall advise the Corporation that marketing factors (including an adverse effect on the per security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offering price) require a limitation of the number of Registrable Securities to be underwritten, then the Corporation shall so advise all Holders of Registrable Securities that have requested to participate in such offering, and the number of Registrable Securities that may be included in the registration and underwriting shall be allocated pro rata among such Holders and other holders of Registrable Securities exercising a contractual right pursuant to this Section 3 to dispose of Registrable Securities in such underwriting thereof in proportion, as nearly as practicable, to the respective amounts of Registrable Securities held by such persons at the time of filing the Registration Statement; provided, that if such demand is in respect of the IPO, the number of Registrable Securities that may be included in the registration and underwriting shall be allocated first to the Corporation; provided, further, that any Registrable Securities thereby allocated to any such person that exceed such person’s request shall be reallocated among the remaining requesting Holders and other requesting holders of Registrable Securities in like manner; and provided, further, that the number of Registrable Securities to be included in such underwriting shall not be reduced unless all other Securities are first entirely excluded from the underwriting. No Registrable Securities excluded from the underwriting by reason of the underwriter’s marketing limitation shall be included in such registration. If the underwriter has not limited the number of Registrable Securities to be underwritten, the Corporation may include securities for its own account (or for the account of any other Persons) in such registration if the underwriter so agrees and if the number of Registrable Securities would not thereby be limited. The per security offering price in a Demand Registration shall be determined by the holder of the majority of the Registrable Securities included in such registration.</w:t>
      </w:r>
    </w:p>
    <w:p>
      <w:pPr>
        <w:spacing w:after="0" w:line="76" w:lineRule="exact"/>
        <w:rPr>
          <w:sz w:val="20"/>
          <w:szCs w:val="20"/>
          <w:color w:val="auto"/>
        </w:rPr>
      </w:pPr>
    </w:p>
    <w:p>
      <w:pPr>
        <w:ind w:right="20" w:firstLine="436"/>
        <w:spacing w:after="0" w:line="270" w:lineRule="auto"/>
        <w:tabs>
          <w:tab w:leader="none" w:pos="68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Effective Registration</w:t>
      </w:r>
      <w:r>
        <w:rPr>
          <w:rFonts w:ascii="Arial" w:cs="Arial" w:eastAsia="Arial" w:hAnsi="Arial"/>
          <w:sz w:val="17"/>
          <w:szCs w:val="17"/>
          <w:color w:val="auto"/>
        </w:rPr>
        <w:t>. The Corporation shall be deemed to have effected a Demand Registration if the Registration Statement pursuant to such registration is declared effective by the SEC and remains effective for not less than one hundred eighty (180) days (or such shorter period as will terminate when all Registrable Securities covered by such Registration Statement have been sold or withdrawn), or, if such Registration Statement relates to an underwritten offering, such longer period as, in the opinion of counsel for the underwriters, a prospectus is required by law to be delivered in connection with sales of Registrable Securities by an underwriter or dealer (the applicable period, the “</w:t>
      </w:r>
      <w:r>
        <w:rPr>
          <w:rFonts w:ascii="Arial" w:cs="Arial" w:eastAsia="Arial" w:hAnsi="Arial"/>
          <w:sz w:val="17"/>
          <w:szCs w:val="17"/>
          <w:b w:val="1"/>
          <w:bCs w:val="1"/>
          <w:i w:val="1"/>
          <w:iCs w:val="1"/>
          <w:color w:val="auto"/>
        </w:rPr>
        <w:t>Demand Period</w:t>
      </w:r>
      <w:r>
        <w:rPr>
          <w:rFonts w:ascii="Arial" w:cs="Arial" w:eastAsia="Arial" w:hAnsi="Arial"/>
          <w:sz w:val="17"/>
          <w:szCs w:val="17"/>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specified in the underwriting agreement, if any, entered into in connection with such registration are not satisfied other than by reason of a wrongful act, misrepresentation or breach of such applicable underwriting agreement by a participating Holder.</w:t>
      </w:r>
    </w:p>
    <w:p>
      <w:pPr>
        <w:spacing w:after="0" w:line="72" w:lineRule="exact"/>
        <w:rPr>
          <w:rFonts w:ascii="Arial" w:cs="Arial" w:eastAsia="Arial" w:hAnsi="Arial"/>
          <w:sz w:val="17"/>
          <w:szCs w:val="17"/>
          <w:color w:val="auto"/>
        </w:rPr>
      </w:pPr>
    </w:p>
    <w:p>
      <w:pPr>
        <w:ind w:right="440" w:firstLine="436"/>
        <w:spacing w:after="0" w:line="277"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Restrictions on Registered Offerings</w:t>
      </w:r>
      <w:r>
        <w:rPr>
          <w:rFonts w:ascii="Arial" w:cs="Arial" w:eastAsia="Arial" w:hAnsi="Arial"/>
          <w:sz w:val="18"/>
          <w:szCs w:val="18"/>
          <w:color w:val="auto"/>
        </w:rPr>
        <w:t>. Notwithstanding the rights and obligations set forth in this Section 3, in no event shall the Board be obligated to take any action to effect:</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Demand Registration or Shelf Take-Down at the request of any Initiating Holder (other than a CBP Initiating Holder) prior to the one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(1) year anniversary of the consummation of the IPO;</w:t>
      </w:r>
    </w:p>
    <w:p>
      <w:pPr>
        <w:spacing w:after="0" w:line="102" w:lineRule="exact"/>
        <w:rPr>
          <w:rFonts w:ascii="Arial" w:cs="Arial" w:eastAsia="Arial" w:hAnsi="Arial"/>
          <w:sz w:val="16"/>
          <w:szCs w:val="16"/>
          <w:color w:val="auto"/>
        </w:rPr>
      </w:pPr>
    </w:p>
    <w:p>
      <w:pPr>
        <w:ind w:left="440" w:right="100" w:firstLine="419"/>
        <w:spacing w:after="0" w:line="277" w:lineRule="auto"/>
        <w:tabs>
          <w:tab w:leader="none" w:pos="11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aggregate, more than two (2) Demand Registrations or Marketed Underwritten Shelf Take-Downs, in either case, at the request of the NVX Initiating Holders;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61" w:name="page62"/>
    <w:bookmarkEnd w:id="61"/>
    <w:p>
      <w:pPr>
        <w:ind w:left="440" w:right="200" w:firstLine="419"/>
        <w:spacing w:after="0" w:line="277" w:lineRule="auto"/>
        <w:tabs>
          <w:tab w:leader="none" w:pos="1178"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aggregate, more than one (1) Demand Registration or Marketed Underwritten Shelf Take-Down, in either case, at the request of the NEP Initiating Holders.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54" w:lineRule="auto"/>
        <w:tabs>
          <w:tab w:leader="none" w:pos="6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at any time or from time to time the Corporation shall determine to register any of its equity securities, either for its own account or for the account of security holders (other than (1) in a registration relating solely to employee benefit plans, (2) a Registration Statement on Form S-4 or S-8 (or such other similar successor forms then in effect under the Securities Act), (3) a registration pursuant to which the Corporation is offering to exchange its own securities for other securities, (4) a Registration Statement relating solely to dividend reinvestment or similar plans, (5) a Shelf Registration Statement pursuant to which only the initial purchasers and subsequent transferees of debt securities of the Corporation or any Subsidiary that are convertible for Units and that are initially issued pursuant to Rule 144A and/or Regulation S (or any successor provision) of the Securities Act may resell such notes and sell the Units into which such notes may be converted or (6) a registration pursuant to Section 2 or Section 3 hereof) the Corporation will:</w:t>
      </w:r>
    </w:p>
    <w:p>
      <w:pPr>
        <w:spacing w:after="0" w:line="83" w:lineRule="exact"/>
        <w:rPr>
          <w:rFonts w:ascii="Arial" w:cs="Arial" w:eastAsia="Arial" w:hAnsi="Arial"/>
          <w:sz w:val="18"/>
          <w:szCs w:val="18"/>
          <w:color w:val="auto"/>
        </w:rPr>
      </w:pPr>
    </w:p>
    <w:p>
      <w:pPr>
        <w:ind w:left="440" w:right="440" w:firstLine="419"/>
        <w:spacing w:after="0" w:line="277" w:lineRule="auto"/>
        <w:tabs>
          <w:tab w:leader="none" w:pos="10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promptly (but in no event less than ten (10) days before the effective date of the relevant Registration Statement) give to each of the Members (as defined in the LLC Agreement), Brandon Cruz and Clinton P. Jones written notice thereof; and</w:t>
      </w:r>
    </w:p>
    <w:p>
      <w:pPr>
        <w:spacing w:after="0" w:line="62" w:lineRule="exact"/>
        <w:rPr>
          <w:rFonts w:ascii="Arial" w:cs="Arial" w:eastAsia="Arial" w:hAnsi="Arial"/>
          <w:sz w:val="18"/>
          <w:szCs w:val="18"/>
          <w:color w:val="auto"/>
        </w:rPr>
      </w:pPr>
    </w:p>
    <w:p>
      <w:pPr>
        <w:ind w:left="440" w:right="260" w:firstLine="419"/>
        <w:spacing w:after="0" w:line="259" w:lineRule="auto"/>
        <w:tabs>
          <w:tab w:leader="none" w:pos="1128"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include in such registration (and any related qualification under state securities laws or other compliance), and in any underwriting involved therein, all the Registrable Securities specified in a written request or requests made within five (5) days after receipt of such written notice from the Corporation by any Member, Brandon Cruz or Clinton P. Jones and their respective Permitted Transferees except as set forth in Section 4(b) below.</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Notwithstanding anything herein to the contrary, this Section 4 shall not apply to any Holder (other than an NVX Holder or an NEP Holder, for which this Section 4 shall apply following the expiration of the IPO Lock-Up Period) (i) prior to the two (2) year anniversary of the consummation of the IPO, unless (x) one or more of the CBP Holders elect to participate in such registration, in which case this Section 4 shall only apply to Eligible Demand Participation Holders or (y) the CBP Holders, in their sole discretion, elect by written notice to the Corporation for this Section 4 to apply to the Registrable Securities of any one or more other such Holders specified in such notice and/or (ii) to any Shelf Take-Down irrespective of whether such Shelf Take-Down is an Underwritten Shelf Take-Down or not an Underwritten Shelf Take-Down.</w:t>
      </w:r>
    </w:p>
    <w:p>
      <w:pPr>
        <w:spacing w:after="0" w:line="70" w:lineRule="exact"/>
        <w:rPr>
          <w:sz w:val="20"/>
          <w:szCs w:val="20"/>
          <w:color w:val="auto"/>
        </w:rPr>
      </w:pPr>
    </w:p>
    <w:p>
      <w:pPr>
        <w:ind w:right="60" w:firstLine="436"/>
        <w:spacing w:after="0" w:line="255"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Underwriting</w:t>
      </w:r>
      <w:r>
        <w:rPr>
          <w:rFonts w:ascii="Arial" w:cs="Arial" w:eastAsia="Arial" w:hAnsi="Arial"/>
          <w:sz w:val="18"/>
          <w:szCs w:val="18"/>
          <w:color w:val="auto"/>
        </w:rPr>
        <w:t>. If the registration of which the Corporation gives notice is for a registered public offering involving an underwriting, the Corporation shall so advise the Holders as a part of the written notice given pursuant to Section 4(a)(i). In such event the right of any Holder to registration pursuant to this Section 4 shall be conditioned upon such Holder’s participation in such underwriting and the inclusion of such Holder’s Registrable Securities in the underwriting to the extent provided herein. All Holders proposing to dispose of their Registrable Securities through such underwriting, together with the Corporation and the other parties distributing their securities through such underwriting, shall enter into an underwriting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2" w:name="page63"/>
    <w:bookmarkEnd w:id="6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customary form with the underwriter or underwriters selected for such underwriting by the Corporation. Notwithstanding any other provision of this Section 4, if the underwriters shall advise the Corporation that marketing factors (including, without limitation, an adverse effect on the per security offering price) require a limitation of the number of Registrable Securities to be underwritten, then the Corporation may limit the number of Registrable Securities to be included in the registration and underwriting, subject to the terms of this Section 4. The Corporation shall so advise all Holders of Registrable Securities that have requested to participate in such offering, and the number of Registrable Securities that may be included in the registration and underwriting shall be allocated in the following manner: first, to the Corporation and second, to the Holders and other holders of Registrable Securities exercising a contractual right pursuant to this Section 4 to dispose of Registrable Securities in such underwriting on a pro rata basis based on the total number of Registrable Securities held by such persons; provided, that any Registrable Securities thereby allocated to any such person that exceed such person’s request shall be reallocated among the remaining requesting Holders and other requesting holders of Registrable Securities in like manner. No such reduction shall (i) reduce the securities being offered by the Corporation for its own account to be included in the registration and underwriting, or (ii) reduce the amount of securities of the selling Holders included in the registration to below twenty-five percent (25%) of the total amount of Class A Common Stock included in such registration, unless such offering does not include Class A Common Stock of any other selling security holders, in which event any or all of the Registrable Securities of the Holders may be excluded in accordance with the immediately preceding sentence. No securities excluded from the underwriting by reason of the underwriter’s marketing limitation shall be included in such registration. For the avoidance of doubt, nothing in this Section 4(b) is intended to diminish the number of securities to be included by the Corporation in the underwriting.</w:t>
      </w:r>
    </w:p>
    <w:p>
      <w:pPr>
        <w:spacing w:after="0" w:line="72" w:lineRule="exact"/>
        <w:rPr>
          <w:sz w:val="20"/>
          <w:szCs w:val="20"/>
          <w:color w:val="auto"/>
        </w:rPr>
      </w:pPr>
    </w:p>
    <w:p>
      <w:pPr>
        <w:ind w:right="560" w:firstLine="436"/>
        <w:spacing w:after="0" w:line="308" w:lineRule="auto"/>
        <w:tabs>
          <w:tab w:leader="none" w:pos="68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Right to Terminate Registration</w:t>
      </w:r>
      <w:r>
        <w:rPr>
          <w:rFonts w:ascii="Arial" w:cs="Arial" w:eastAsia="Arial" w:hAnsi="Arial"/>
          <w:sz w:val="17"/>
          <w:szCs w:val="17"/>
          <w:color w:val="auto"/>
        </w:rPr>
        <w:t>. The Corporation shall have the right to terminate or withdraw any registration initiated by it under this Section 4 prior to the effectiveness of such registration whether or not any Holder has elected to include securities in such registration.</w:t>
      </w:r>
    </w:p>
    <w:p>
      <w:pPr>
        <w:spacing w:after="0" w:line="146" w:lineRule="exact"/>
        <w:rPr>
          <w:sz w:val="20"/>
          <w:szCs w:val="20"/>
          <w:color w:val="auto"/>
        </w:rPr>
      </w:pPr>
    </w:p>
    <w:p>
      <w:pPr>
        <w:ind w:right="420" w:firstLine="440"/>
        <w:spacing w:after="0" w:line="29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Registration Expenses incurred in connection with all registrations effected pursuant to Section 2, Section 3 or Section 4, shall be borne by the Corporation; provided, however, that the Corporation shall not be required to pay stock transfer taxes, underwriters’ discounts or selling commissions relating to Registrable Securities; provided, further, that the Registration Expenses incurred by the Holders (except for the CBP Holders, the NVX Holders and the NEP Holders) which are to be borne by the Corporation shall be limited to the Registration Expenses incurred in connection with registrations effected pursuant to Section 2(d)(iii) and Section 3 only.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Obligations of the Corporation</w:t>
      </w:r>
      <w:r>
        <w:rPr>
          <w:rFonts w:ascii="Arial" w:cs="Arial" w:eastAsia="Arial" w:hAnsi="Arial"/>
          <w:sz w:val="16"/>
          <w:szCs w:val="16"/>
          <w:color w:val="auto"/>
        </w:rPr>
        <w:t>. Whenever required under this Agreement to effect the registration of any Registrable Securities,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as expeditiously as reasonably possible:</w:t>
      </w:r>
    </w:p>
    <w:p>
      <w:pPr>
        <w:spacing w:after="0" w:line="103" w:lineRule="exact"/>
        <w:rPr>
          <w:sz w:val="20"/>
          <w:szCs w:val="20"/>
          <w:color w:val="auto"/>
        </w:rPr>
      </w:pPr>
    </w:p>
    <w:p>
      <w:pPr>
        <w:jc w:val="both"/>
        <w:ind w:right="160" w:firstLine="436"/>
        <w:spacing w:after="0" w:line="311" w:lineRule="auto"/>
        <w:tabs>
          <w:tab w:leader="none" w:pos="685"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Securities and use its reasonable best efforts to cause such Registration Statement to become effective, and keep such Registration Statement effective for (x) the lesser of one hundred eighty (180) days or until the Holder or Holders have completed the distribution relating thereto or (y) for such longer period as may be prescribed herein;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63" w:name="page64"/>
    <w:bookmarkEnd w:id="63"/>
    <w:p>
      <w:pPr>
        <w:jc w:val="both"/>
        <w:ind w:right="60" w:firstLine="436"/>
        <w:spacing w:after="0" w:line="259"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keep such Registration Statement effective and to comply with the provisions of the Securities Act with respect to the disposition of all securities covered by such Registration Statement in accordance with the intended methods of disposition by sellers thereof set forth in such Registration Statement;</w:t>
      </w:r>
    </w:p>
    <w:p>
      <w:pPr>
        <w:spacing w:after="0" w:line="78" w:lineRule="exact"/>
        <w:rPr>
          <w:rFonts w:ascii="Arial" w:cs="Arial" w:eastAsia="Arial" w:hAnsi="Arial"/>
          <w:sz w:val="18"/>
          <w:szCs w:val="18"/>
          <w:color w:val="auto"/>
        </w:rPr>
      </w:pPr>
    </w:p>
    <w:p>
      <w:pPr>
        <w:jc w:val="both"/>
        <w:ind w:right="140" w:firstLine="436"/>
        <w:spacing w:after="0" w:line="286" w:lineRule="auto"/>
        <w:tabs>
          <w:tab w:leader="none" w:pos="6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permit any Holder that (in the good faith reasonable judgment of such Holder) might be deemed to be a controlling person of the Corporation to participate in good faith in the preparation of such Registration Statement and to cooperate in good faith to include therein material, furnished to the Corporation in writing, that in the reasonable judgment of such Holder and its counsel should be included;</w:t>
      </w:r>
    </w:p>
    <w:p>
      <w:pPr>
        <w:spacing w:after="0" w:line="57" w:lineRule="exact"/>
        <w:rPr>
          <w:rFonts w:ascii="Arial" w:cs="Arial" w:eastAsia="Arial" w:hAnsi="Arial"/>
          <w:sz w:val="17"/>
          <w:szCs w:val="17"/>
          <w:color w:val="auto"/>
        </w:rPr>
      </w:pPr>
    </w:p>
    <w:p>
      <w:pPr>
        <w:ind w:right="320" w:firstLine="436"/>
        <w:spacing w:after="0" w:line="286" w:lineRule="auto"/>
        <w:tabs>
          <w:tab w:leader="none" w:pos="695" w:val="left"/>
        </w:tabs>
        <w:numPr>
          <w:ilvl w:val="0"/>
          <w:numId w:val="62"/>
        </w:numPr>
        <w:rPr>
          <w:rFonts w:ascii="Arial" w:cs="Arial" w:eastAsia="Arial" w:hAnsi="Arial"/>
          <w:sz w:val="17"/>
          <w:szCs w:val="17"/>
          <w:color w:val="auto"/>
        </w:rPr>
      </w:pPr>
      <w:r>
        <w:rPr>
          <w:rFonts w:ascii="Arial" w:cs="Arial" w:eastAsia="Arial" w:hAnsi="Arial"/>
          <w:sz w:val="17"/>
          <w:szCs w:val="17"/>
          <w:color w:val="auto"/>
        </w:rPr>
        <w:t>furnish to the Holders such numbers of copies of the Registration Statement and the related Prospectus, including all exhibits thereto and documents incorporated by reference therein and a preliminary prospectus, in conformity with the requirements of the Securities Act, and such other documents as they may reasonably request in order to facilitate the disposition of Registrable Securities owned by them;</w:t>
      </w:r>
    </w:p>
    <w:p>
      <w:pPr>
        <w:spacing w:after="0" w:line="57" w:lineRule="exact"/>
        <w:rPr>
          <w:rFonts w:ascii="Arial" w:cs="Arial" w:eastAsia="Arial" w:hAnsi="Arial"/>
          <w:sz w:val="17"/>
          <w:szCs w:val="17"/>
          <w:color w:val="auto"/>
        </w:rPr>
      </w:pPr>
    </w:p>
    <w:p>
      <w:pPr>
        <w:ind w:right="80" w:firstLine="436"/>
        <w:spacing w:after="0" w:line="263" w:lineRule="auto"/>
        <w:tabs>
          <w:tab w:leader="none" w:pos="6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75" w:lineRule="exact"/>
        <w:rPr>
          <w:rFonts w:ascii="Arial" w:cs="Arial" w:eastAsia="Arial" w:hAnsi="Arial"/>
          <w:sz w:val="18"/>
          <w:szCs w:val="18"/>
          <w:color w:val="auto"/>
        </w:rPr>
      </w:pPr>
    </w:p>
    <w:p>
      <w:pPr>
        <w:ind w:right="340" w:firstLine="436"/>
        <w:spacing w:after="0" w:line="286" w:lineRule="auto"/>
        <w:tabs>
          <w:tab w:leader="none" w:pos="6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as soon as reasonably possible after notice thereof is received by the Corporation of any written comments by the SEC or any request by the SEC or any other federal or state governmental authority for amendments or supplements to such Registration Statement or such prospectus or for additional information;</w:t>
      </w:r>
    </w:p>
    <w:p>
      <w:pPr>
        <w:spacing w:after="0" w:line="57" w:lineRule="exact"/>
        <w:rPr>
          <w:rFonts w:ascii="Arial" w:cs="Arial" w:eastAsia="Arial" w:hAnsi="Arial"/>
          <w:sz w:val="17"/>
          <w:szCs w:val="17"/>
          <w:color w:val="auto"/>
        </w:rPr>
      </w:pPr>
    </w:p>
    <w:p>
      <w:pPr>
        <w:ind w:right="40" w:firstLine="436"/>
        <w:spacing w:after="0" w:line="259"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78" w:lineRule="exact"/>
        <w:rPr>
          <w:rFonts w:ascii="Arial" w:cs="Arial" w:eastAsia="Arial" w:hAnsi="Arial"/>
          <w:sz w:val="18"/>
          <w:szCs w:val="18"/>
          <w:color w:val="auto"/>
        </w:rPr>
      </w:pPr>
    </w:p>
    <w:p>
      <w:pPr>
        <w:ind w:firstLine="436"/>
        <w:spacing w:after="0" w:line="257"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the occurrence of any event contemplated by Section 6(g)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Registration Statement will not include an untrue statement of a material fact or omit to state a material fact required to be stated therein or necessary to make the statements therein not misleading;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4" w:name="page65"/>
    <w:bookmarkEnd w:id="64"/>
    <w:p>
      <w:pPr>
        <w:jc w:val="both"/>
        <w:ind w:left="-40" w:right="80" w:firstLine="436"/>
        <w:spacing w:after="0" w:line="275" w:lineRule="auto"/>
        <w:tabs>
          <w:tab w:leader="none" w:pos="615"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notify each Holder of Registrable Securities covered by such Registration Statement as soon as reasonably practicable after notice thereof is received by the Corporation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or any notification with respect to the suspension of the qualification of the Registrable Securities for offering or sale in any jurisdiction or the initiation or threatening of any proceeding for such purpose;</w:t>
      </w:r>
    </w:p>
    <w:p>
      <w:pPr>
        <w:spacing w:after="0" w:line="68" w:lineRule="exact"/>
        <w:rPr>
          <w:rFonts w:ascii="Arial" w:cs="Arial" w:eastAsia="Arial" w:hAnsi="Arial"/>
          <w:sz w:val="17"/>
          <w:szCs w:val="17"/>
          <w:color w:val="auto"/>
        </w:rPr>
      </w:pPr>
    </w:p>
    <w:p>
      <w:pPr>
        <w:ind w:left="-40" w:firstLine="436"/>
        <w:spacing w:after="0" w:line="263" w:lineRule="auto"/>
        <w:tabs>
          <w:tab w:leader="none" w:pos="6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its reasonable best efforts to prevent the issuance of any stop order suspending the effectiveness of any Registration Statement or of any order preventing or suspending the use of any preliminary or final prospectus and, if any such order is issued, to obtain the withdrawal of any such order as soon as practicable;</w:t>
      </w:r>
    </w:p>
    <w:p>
      <w:pPr>
        <w:spacing w:after="0" w:line="75" w:lineRule="exact"/>
        <w:rPr>
          <w:rFonts w:ascii="Arial" w:cs="Arial" w:eastAsia="Arial" w:hAnsi="Arial"/>
          <w:sz w:val="18"/>
          <w:szCs w:val="18"/>
          <w:color w:val="auto"/>
        </w:rPr>
      </w:pPr>
    </w:p>
    <w:p>
      <w:pPr>
        <w:ind w:left="-40" w:right="100" w:firstLine="436"/>
        <w:spacing w:after="0" w:line="25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make available for inspection by each Holder including Registrable Securities in such registration, any underwriter participating in any distribution pursuant to such registration, and any attorney, accountant or other agent retained by such Holder or underwriter, all financial and other records, pertinent corporate documents and properties of the Corporation, as such parties may reasonably request, and cause the Corporation’s officers, managers and employees to supply all information reasonably requested by any such Holder, underwriter, attorney, accountant or agent in connection with such Registration Statement;</w:t>
      </w:r>
    </w:p>
    <w:p>
      <w:pPr>
        <w:spacing w:after="0" w:line="79" w:lineRule="exact"/>
        <w:rPr>
          <w:rFonts w:ascii="Arial" w:cs="Arial" w:eastAsia="Arial" w:hAnsi="Arial"/>
          <w:sz w:val="18"/>
          <w:szCs w:val="18"/>
          <w:color w:val="auto"/>
        </w:rPr>
      </w:pPr>
    </w:p>
    <w:p>
      <w:pPr>
        <w:ind w:left="-40" w:firstLine="436"/>
        <w:spacing w:after="0" w:line="272" w:lineRule="auto"/>
        <w:tabs>
          <w:tab w:leader="none" w:pos="6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use its reasonable best efforts to register or qualify, and cooperate with the Holders of Registrable Securities covered by such Registration Statement, the underwriters, if any, and their respective counsel, in connection with the registration or qualification of such Registrable Securities for offer and sale under the “Blue Sky” or securities laws of each state and other jurisdiction of the United States as any such Holder or underwriters, if any, or their respective counsel reasonably request in writing, and do any and all other things reasonably necessary or advisable to keep such registration or qualification in effect for such period as required by Section 2(b) and Section 2(c), as applicable; provided, that the Corporation shall not be required to qualify generally to do business in any jurisdiction where it is not then so qualified or take any action which would subject it to taxation or service of process in any such jurisdiction where it is not then so subject;</w:t>
      </w:r>
    </w:p>
    <w:p>
      <w:pPr>
        <w:spacing w:after="0" w:line="69" w:lineRule="exact"/>
        <w:rPr>
          <w:rFonts w:ascii="Arial" w:cs="Arial" w:eastAsia="Arial" w:hAnsi="Arial"/>
          <w:sz w:val="17"/>
          <w:szCs w:val="17"/>
          <w:color w:val="auto"/>
        </w:rPr>
      </w:pPr>
    </w:p>
    <w:p>
      <w:pPr>
        <w:jc w:val="both"/>
        <w:ind w:left="-40" w:right="40" w:firstLine="436"/>
        <w:spacing w:after="0" w:line="259"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for delivery to the Holders of Registrable Securities covered by such Registration Statement and to the underwriters, if any, an opinion or opinions from counsel for the Corporation,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spacing w:after="0" w:line="78" w:lineRule="exact"/>
        <w:rPr>
          <w:rFonts w:ascii="Arial" w:cs="Arial" w:eastAsia="Arial" w:hAnsi="Arial"/>
          <w:sz w:val="18"/>
          <w:szCs w:val="18"/>
          <w:color w:val="auto"/>
        </w:rPr>
      </w:pPr>
    </w:p>
    <w:p>
      <w:pPr>
        <w:ind w:left="-40" w:right="20" w:firstLine="436"/>
        <w:spacing w:after="0" w:line="301"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case of an underwritten offering, obtain for delivery to the Corporation and the underwriters, with copies to the Holders of Registrable Securities included in such Registration, a “comfort letter” from the Corporation’s independent certified public accountants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80" w:top="274" w:right="499" w:bottom="1440" w:gutter="0" w:footer="0" w:header="0"/>
        </w:sectPr>
      </w:pPr>
    </w:p>
    <w:bookmarkStart w:id="65" w:name="page66"/>
    <w:bookmarkEnd w:id="65"/>
    <w:p>
      <w:pPr>
        <w:ind w:left="4" w:right="360" w:firstLine="436"/>
        <w:spacing w:after="0" w:line="277" w:lineRule="auto"/>
        <w:tabs>
          <w:tab w:leader="none" w:pos="699"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use its reasonable best efforts to list the Registrable Securities that are covered by such Registration Statement with any national securities exchange or automated quotation system on which the Shares are then listed;</w:t>
      </w:r>
    </w:p>
    <w:p>
      <w:pPr>
        <w:spacing w:after="0" w:line="62" w:lineRule="exact"/>
        <w:rPr>
          <w:rFonts w:ascii="Arial" w:cs="Arial" w:eastAsia="Arial" w:hAnsi="Arial"/>
          <w:sz w:val="18"/>
          <w:szCs w:val="18"/>
          <w:color w:val="auto"/>
        </w:rPr>
      </w:pPr>
    </w:p>
    <w:p>
      <w:pPr>
        <w:ind w:left="4" w:right="760" w:firstLine="436"/>
        <w:spacing w:after="0" w:line="277" w:lineRule="auto"/>
        <w:tabs>
          <w:tab w:leader="none" w:pos="699" w:val="left"/>
        </w:tabs>
        <w:numPr>
          <w:ilvl w:val="1"/>
          <w:numId w:val="64"/>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62" w:lineRule="exact"/>
        <w:rPr>
          <w:rFonts w:ascii="Arial" w:cs="Arial" w:eastAsia="Arial" w:hAnsi="Arial"/>
          <w:sz w:val="18"/>
          <w:szCs w:val="18"/>
          <w:color w:val="auto"/>
        </w:rPr>
      </w:pPr>
    </w:p>
    <w:p>
      <w:pPr>
        <w:ind w:left="4" w:right="240" w:firstLine="436"/>
        <w:spacing w:after="0" w:line="287" w:lineRule="auto"/>
        <w:tabs>
          <w:tab w:leader="none" w:pos="699" w:val="left"/>
        </w:tabs>
        <w:numPr>
          <w:ilvl w:val="1"/>
          <w:numId w:val="64"/>
        </w:numPr>
        <w:rPr>
          <w:rFonts w:ascii="Arial" w:cs="Arial" w:eastAsia="Arial" w:hAnsi="Arial"/>
          <w:sz w:val="16"/>
          <w:szCs w:val="16"/>
          <w:color w:val="auto"/>
        </w:rPr>
      </w:pPr>
      <w:r>
        <w:rPr>
          <w:rFonts w:ascii="Arial" w:cs="Arial" w:eastAsia="Arial" w:hAnsi="Arial"/>
          <w:sz w:val="16"/>
          <w:szCs w:val="16"/>
          <w:color w:val="auto"/>
        </w:rPr>
        <w:t>cooperate with Holders including Registrable Securities in such registration and the managing underwriters, if any, to facilitate the timely preparation and delivery of certificates representing Registrable Securities to be sold, if such Registrable Securities are to be sold in certificated form, such certificates to be in such denominations and registered in such names as such Holders or the managing underwriters may request at least two</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Business Days prior to any sale of Registrable Securities;</w:t>
      </w:r>
    </w:p>
    <w:p>
      <w:pPr>
        <w:spacing w:after="0" w:line="102" w:lineRule="exact"/>
        <w:rPr>
          <w:rFonts w:ascii="Arial" w:cs="Arial" w:eastAsia="Arial" w:hAnsi="Arial"/>
          <w:sz w:val="18"/>
          <w:szCs w:val="18"/>
          <w:color w:val="auto"/>
        </w:rPr>
      </w:pPr>
    </w:p>
    <w:p>
      <w:pPr>
        <w:ind w:left="4" w:firstLine="436"/>
        <w:spacing w:after="0" w:line="342" w:lineRule="auto"/>
        <w:tabs>
          <w:tab w:leader="none" w:pos="669" w:val="left"/>
        </w:tabs>
        <w:numPr>
          <w:ilvl w:val="1"/>
          <w:numId w:val="65"/>
        </w:numPr>
        <w:rPr>
          <w:rFonts w:ascii="Arial" w:cs="Arial" w:eastAsia="Arial" w:hAnsi="Arial"/>
          <w:sz w:val="16"/>
          <w:szCs w:val="16"/>
          <w:color w:val="auto"/>
        </w:rPr>
      </w:pPr>
      <w:r>
        <w:rPr>
          <w:rFonts w:ascii="Arial" w:cs="Arial" w:eastAsia="Arial" w:hAnsi="Arial"/>
          <w:sz w:val="16"/>
          <w:szCs w:val="16"/>
          <w:color w:val="auto"/>
        </w:rPr>
        <w:t>use its reasonable best efforts to comply with all applicable securities laws and make available to its Holders, as soon as reasonably practicable, an earnings statement satisfying the provisions of Section 11(a) of the Securities Act and the rules and regulations promulgated thereunder; and</w:t>
      </w:r>
    </w:p>
    <w:p>
      <w:pPr>
        <w:spacing w:after="0" w:line="15" w:lineRule="exact"/>
        <w:rPr>
          <w:rFonts w:ascii="Arial" w:cs="Arial" w:eastAsia="Arial" w:hAnsi="Arial"/>
          <w:sz w:val="16"/>
          <w:szCs w:val="16"/>
          <w:color w:val="auto"/>
        </w:rPr>
      </w:pPr>
    </w:p>
    <w:p>
      <w:pPr>
        <w:ind w:left="4" w:right="120" w:firstLine="436"/>
        <w:spacing w:after="0" w:line="263" w:lineRule="auto"/>
        <w:tabs>
          <w:tab w:leader="none" w:pos="679"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case of an underwritten offering, cause the senior executive officers of the Corporation to participate in the customary “road show” presentations that may be reasonably requested by the underwriters and otherwise to facilitate, cooperate with and participate in each proposed offering contemplated herein and customary selling efforts related thereto.</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86" w:lineRule="auto"/>
        <w:tabs>
          <w:tab w:leader="none" w:pos="68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Corporation will, and does hereby undertake to, indemnify and hold harmless each Holder of Registrable Securities and each of such Holder’s officers, managers, trustees, employees, partners, managers, members, equityholders, beneficiaries, affiliates and agents and each Person, if any, who controls such Holder, within the meaning of either Section 15 of the Securities Act or Section 20 of the Exchange Act, with respect to any registration, qualification, compliance or sale effected pursuant to this Agreement, and each underwriter, if any, and each Person who controls any underwriter, of the Registrable Securities held by or issuable to such Holder, against all claims, losses, damages and liabilities (or actions in respect thereto) to which they may become subject under the Securities Act, the Exchange Act, or other federal or state law arising out of or based on (A) any untrue statement (or alleged untrue statement) of a material fact contained in any prospectus, offering circular, Free Writing Prospectus or other similar document (including any related Registration Statement, notification, or the like) incident to any such registration, qualification, compliance or sale effected pursuant to this Agreement, or based on any omission (or alleged omission) to state therein a material fact required to be stated therein or necessary to make the statements therein not misleading in light of the circumstances in which they were made, (B) any violation or alleged violation by the Corporation of any federal, state or common law rule or regulation applicable to the Corporation in connection with any such registration, qualification, compliance or sale, or (C) any failure to register or qualify Registrable Securities in any state where the Corporation or its agents have affirmatively undertaken or agreed in writing (including pursuant to Section 6(l)) that the Corporation (the undertaking of any</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66" w:name="page67"/>
    <w:bookmarkEnd w:id="66"/>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underwriter being attributed to the Corporation) will undertake such registration or qualification on behalf of the Holders of such Registrable Securities (provided, that in such instance the Corporation shall not be so liable if it has undertaken its reasonable best efforts to so register or qualify such Registrable Securities) and will reimburse, as incurred, each such Holder, each such underwriter and each such manager, officer, trustee, employee, partner, manager, member, equityholder, beneficiary, affiliate, agent and controlling person, for any legal and any other expenses reasonably incurred in connection with investigating or defending any such claim, loss, damage, liability or action; provided, that the Corporation will not be liable in any such case to the extent that any such claim, loss, damage, liability or expense arises out of or is based on any untrue statement or omission made in reliance and in conformity with written information furnished to the Corporation by such Holder or underwriter expressly for use therein.</w:t>
      </w:r>
    </w:p>
    <w:p>
      <w:pPr>
        <w:spacing w:after="0" w:line="58" w:lineRule="exact"/>
        <w:rPr>
          <w:sz w:val="20"/>
          <w:szCs w:val="20"/>
          <w:color w:val="auto"/>
        </w:rPr>
      </w:pPr>
    </w:p>
    <w:p>
      <w:pPr>
        <w:ind w:firstLine="436"/>
        <w:spacing w:after="0" w:line="285"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Holder (if Registrable Securities held by or issuable to such Holder are included in such registration, qualification, compliance or sale pursuant to this Agreement) does hereby undertake to indemnify and hold harmless, severally and not jointly, the Corporation, each of its officers, managers, employees, equityholders, affiliates and agents and each Person, if any, who controls the Corporation within the meaning of either Section 15 of the Securities Act or Section 20 of the Exchange Act, each underwriter, if any, and each Person who controls any underwriter, of the Corporation’s securities covered by such a Registration Statement, and each other Holder, each of such other Holder’s officers, managers, employees, partners, equityholders, affiliates and agents and each Person, if any, who controls such Holder within the meaning of either Section 15 of the Securities Act or Section 20 of the Exchange Act, against all claims, losses, damages and liabilities (or actions in respect thereof) arising out of or based on any untrue statement (or alleged untrue statement) of a material fact contained in any such Registration Statement, prospectus, offering circular, Free Writing Prospectus or other document, or any omission (or alleged omission) to state therein a material fact required to be stated therein or necessary to make the statements therein not misleading in light of the circumstances in which they were made, and will reimburse, as incurred, the Corporation, each such underwriter, each such other Holder, and each such officer, manager, trustee, employee, partner, equityholder, beneficiary, affiliate, agent and controlling person of the foregoing,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that (i) relates to such Holder in its capacity as a selling security holder and (ii) was furnished to the Corporation by such Holder expressly for use therein; provided, however, that the aggregate liability of each Holder hereunder shall be limited to the gross proceeds after underwriting discounts and commissions received by such Holder upon the sale of the Registrable Securities giving rise to such indemnification obligation. It is understood and agreed that the indemnification obligations of each Holder pursuant to any underwriting agreement entered into in connection with any Registration Statement shall be limited to the obligations contained in this Section 7(b).</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67" w:name="page68"/>
    <w:bookmarkEnd w:id="67"/>
    <w:p>
      <w:pPr>
        <w:ind w:left="4" w:right="4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party entitled to indemnification under this Section 7 (the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shall give notice to the party required to provide such indemnification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of any claim as to which indemnification may be sought promptly after such Indemnified Party has actual knowledge thereof, and shall permit the Indemnifying Party to assume the defense of any such claim or any litigation resulting therefrom; provided, that counsel for the Indemnifying Party, who shall conduct the defense of such claim or litigation, shall be subject to approval by the Indemnified Party (whose approval shall not be unreasonably withheld), and the Indemnified Party may retain its own counsel at the Indemnifying Party’s expense if</w:t>
      </w:r>
    </w:p>
    <w:p>
      <w:pPr>
        <w:spacing w:after="0" w:line="2" w:lineRule="exact"/>
        <w:rPr>
          <w:sz w:val="20"/>
          <w:szCs w:val="20"/>
          <w:color w:val="auto"/>
        </w:rPr>
      </w:pPr>
    </w:p>
    <w:p>
      <w:pPr>
        <w:ind w:left="4" w:hanging="4"/>
        <w:spacing w:after="0" w:line="268" w:lineRule="auto"/>
        <w:tabs>
          <w:tab w:leader="none" w:pos="219"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representation of such Indemnified Party would be inappropriate due to actual or potential differing interests between such Indemnified Party and any other party represented by such counsel in such proceeding and (ii) if the Indemnified Party shall have reasonably concluded that there may be legal defenses available to it that are different from or in addition to those available to the Indemnifying Party; and provided, further, that the failure of any Indemnified Party to give notice as provided herein shall not relieve the Indemnifying Party of its obligations under this Section 7, except to the extent that such failure to give notice materially prejudices the Indemnifying Party in the defense of any such claim or any such litigation. An Indemnifying Party, in the defense of any such claim or litigation, may, without the consent of each Indemnified Party, consent to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and provided that any sums payable in connection with such settlement are paid in full by the Indemnifying Party.</w:t>
      </w:r>
    </w:p>
    <w:p>
      <w:pPr>
        <w:spacing w:after="0" w:line="70" w:lineRule="exact"/>
        <w:rPr>
          <w:rFonts w:ascii="Arial" w:cs="Arial" w:eastAsia="Arial" w:hAnsi="Arial"/>
          <w:sz w:val="17"/>
          <w:szCs w:val="17"/>
          <w:color w:val="auto"/>
        </w:rPr>
      </w:pPr>
    </w:p>
    <w:p>
      <w:pPr>
        <w:ind w:left="4" w:right="20" w:firstLine="436"/>
        <w:spacing w:after="0" w:line="269" w:lineRule="auto"/>
        <w:tabs>
          <w:tab w:leader="none" w:pos="689" w:val="left"/>
        </w:tabs>
        <w:numPr>
          <w:ilvl w:val="1"/>
          <w:numId w:val="68"/>
        </w:numPr>
        <w:rPr>
          <w:rFonts w:ascii="Arial" w:cs="Arial" w:eastAsia="Arial" w:hAnsi="Arial"/>
          <w:sz w:val="17"/>
          <w:szCs w:val="17"/>
          <w:color w:val="auto"/>
        </w:rPr>
      </w:pPr>
      <w:r>
        <w:rPr>
          <w:rFonts w:ascii="Arial" w:cs="Arial" w:eastAsia="Arial" w:hAnsi="Arial"/>
          <w:sz w:val="17"/>
          <w:szCs w:val="17"/>
          <w:color w:val="auto"/>
        </w:rPr>
        <w:t>In order to provide for just and equitable contribution in case indemnification is prohibited or limited by law, the Indemnifying Party, in lieu of indemnifying such Indemnified Party, shall contribute to the amount paid or payable by such Indemnified Party as a result of such losses, claims, damages or liabilities in such proportion as is appropriate to reflect the relative fault of the Indemnifying Party and Indemnified Party in connection with the actions which resulted in such losses, claims, damages or liabilities, as well as any other relevant 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such Person’s relative intent, knowledge, access to information and opportunity to correct or prevent such actions; provided, however, that, in any case, (i) no Holder will be required to contribute any amount in excess of the gross proceeds after underwriting discounts and commissions received by such Holder upon the sale of the Registrable Securities giving rise to such contribution obligation and (ii) no Person guilty of fraudulent misrepresentation (within the meaning of Section 11(f) of the Securities Act) will be entitled to contribution from any Person who was not guilty of such fraudulent misrepresentation.</w:t>
      </w:r>
    </w:p>
    <w:p>
      <w:pPr>
        <w:spacing w:after="0" w:line="73" w:lineRule="exact"/>
        <w:rPr>
          <w:rFonts w:ascii="Arial" w:cs="Arial" w:eastAsia="Arial" w:hAnsi="Arial"/>
          <w:sz w:val="17"/>
          <w:szCs w:val="17"/>
          <w:color w:val="auto"/>
        </w:rPr>
      </w:pPr>
    </w:p>
    <w:p>
      <w:pPr>
        <w:ind w:left="704" w:hanging="264"/>
        <w:spacing w:after="0"/>
        <w:tabs>
          <w:tab w:leader="none" w:pos="7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indemnities provided in this Section 7 shall survive the Transfer of any Registrable Securities by such Holder.</w:t>
      </w:r>
    </w:p>
    <w:p>
      <w:pPr>
        <w:spacing w:after="0" w:line="225" w:lineRule="exact"/>
        <w:rPr>
          <w:sz w:val="20"/>
          <w:szCs w:val="20"/>
          <w:color w:val="auto"/>
        </w:rPr>
      </w:pPr>
    </w:p>
    <w:p>
      <w:pPr>
        <w:ind w:left="4" w:right="100" w:firstLine="440"/>
        <w:spacing w:after="0" w:line="31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Information by Holder</w:t>
      </w:r>
      <w:r>
        <w:rPr>
          <w:rFonts w:ascii="Arial" w:cs="Arial" w:eastAsia="Arial" w:hAnsi="Arial"/>
          <w:sz w:val="16"/>
          <w:szCs w:val="16"/>
          <w:color w:val="auto"/>
        </w:rPr>
        <w:t>. The Holder or Holders of Registrable Securities included in any registration shall furnish to the Corporation such information regarding such Holder or Holders and the distribution proposed by such Holder or Holders as the Corporation may reasonably request in writing and as shall be required in connection with any registration, qualification or compliance referred to in this Agreement.</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68" w:name="page69"/>
    <w:bookmarkEnd w:id="68"/>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 </w:t>
      </w:r>
      <w:r>
        <w:rPr>
          <w:rFonts w:ascii="Arial" w:cs="Arial" w:eastAsia="Arial" w:hAnsi="Arial"/>
          <w:sz w:val="18"/>
          <w:szCs w:val="18"/>
          <w:u w:val="single" w:color="auto"/>
          <w:color w:val="auto"/>
        </w:rPr>
        <w:t>Transfer of Registration Rights</w:t>
      </w:r>
      <w:r>
        <w:rPr>
          <w:rFonts w:ascii="Arial" w:cs="Arial" w:eastAsia="Arial" w:hAnsi="Arial"/>
          <w:sz w:val="18"/>
          <w:szCs w:val="18"/>
          <w:color w:val="auto"/>
        </w:rPr>
        <w:t>. Any Holder may assign or otherwise convey the rights contained in Section 2, Section 3 and Section 4 hereof to cause the Corporation to register the Registrable Securities and comply with its other obligations hereunder if, after such assignment or conveyance, the applicable transferee holds at least 5% of the outstanding Registrable Securities.</w:t>
      </w:r>
    </w:p>
    <w:p>
      <w:pPr>
        <w:spacing w:after="0" w:line="184"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No Holder shall have any right to obtain, and hereby waives any right to seek, an injunction restraining or otherwise delaying any such registration as the result of any controversy that might arise with respect to the interpretation or implementation of this Agreement.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Corporation shall not, without the prior written consent of the CBP Holders, enter into any agreement with any holder or prospective holder of any securities of the Corporation that would allow such holder or prospective holder to (i) require the Corporation to effect a registration or (ii) include any securities in any registration filed under Section 2, Section 3 and Section 4 hereof.</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to the Holders the benefits of certain rules and regulations of the SEC that may permit the sale of the Registrable Securities to the public without registration, the Corporation, following the IPO, agrees to use its reasonable best efforts to:</w:t>
      </w:r>
    </w:p>
    <w:p>
      <w:pPr>
        <w:spacing w:after="0" w:line="76" w:lineRule="exact"/>
        <w:rPr>
          <w:sz w:val="20"/>
          <w:szCs w:val="20"/>
          <w:color w:val="auto"/>
        </w:rPr>
      </w:pPr>
    </w:p>
    <w:p>
      <w:pPr>
        <w:ind w:right="40" w:firstLine="436"/>
        <w:spacing w:after="0" w:line="277"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and keep current public information available, within the meaning of Rule 144 (or any similar or analogous rule) promulgated under the Securities Act, at all times after it has become subject to the reporting requirements of the Exchange Act;</w:t>
      </w:r>
    </w:p>
    <w:p>
      <w:pPr>
        <w:spacing w:after="0" w:line="62"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Corporation under the Securities Act and Exchange Act (after it has become subject to such reporting requirements); and</w:t>
      </w:r>
    </w:p>
    <w:p>
      <w:pPr>
        <w:spacing w:after="0" w:line="62" w:lineRule="exact"/>
        <w:rPr>
          <w:rFonts w:ascii="Arial" w:cs="Arial" w:eastAsia="Arial" w:hAnsi="Arial"/>
          <w:sz w:val="18"/>
          <w:szCs w:val="18"/>
          <w:color w:val="auto"/>
        </w:rPr>
      </w:pPr>
    </w:p>
    <w:p>
      <w:pPr>
        <w:ind w:right="40" w:firstLine="436"/>
        <w:spacing w:after="0" w:line="255"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so long as a Holder owns any Registrable Securities, furnish to such Holder forthwith upon request: (i) a written statement by the Corporation as to its compliance with the reporting requirements of said Rule 144 (at any time commencing ninety (90) days after the effective date of the first registration filed by the Corporation for an offering of its securities to the general public), the Securities Act and the Exchange Act (at any time after it has become subject to such reporting requirements); (ii) a copy of the most recent annual or quarterly report of the Corporation; and (iii) such other reports and documents as a Holder may reasonably request in availing itself of any rule or regulation of the SEC allowing it to sell any such securities without registration.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69" w:name="page70"/>
    <w:bookmarkEnd w:id="69"/>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 </w:t>
      </w:r>
      <w:r>
        <w:rPr>
          <w:rFonts w:ascii="Arial" w:cs="Arial" w:eastAsia="Arial" w:hAnsi="Arial"/>
          <w:sz w:val="17"/>
          <w:szCs w:val="17"/>
          <w:u w:val="single" w:color="auto"/>
          <w:color w:val="auto"/>
        </w:rPr>
        <w:t>“Market Stand Off” Agreement</w:t>
      </w:r>
      <w:r>
        <w:rPr>
          <w:rFonts w:ascii="Arial" w:cs="Arial" w:eastAsia="Arial" w:hAnsi="Arial"/>
          <w:sz w:val="17"/>
          <w:szCs w:val="17"/>
          <w:color w:val="auto"/>
        </w:rPr>
        <w:t>. Each Holder hereby agrees that during (i) such period beginning on the date hereof and ending no more than one hundred and eighty (180) days following the effective date of the Registration Statement of the Corporation filed in connection with the IPO or such shorter period as the CBP Holders may agree to with the underwriter or underwriters of such underwritten offering (the “</w:t>
      </w:r>
      <w:r>
        <w:rPr>
          <w:rFonts w:ascii="Arial" w:cs="Arial" w:eastAsia="Arial" w:hAnsi="Arial"/>
          <w:sz w:val="17"/>
          <w:szCs w:val="17"/>
          <w:b w:val="1"/>
          <w:bCs w:val="1"/>
          <w:i w:val="1"/>
          <w:iCs w:val="1"/>
          <w:color w:val="auto"/>
        </w:rPr>
        <w:t>IPO Lock-Up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and (ii) with respect to underwritten offerings only (other than the IPO), such period beginning seven (7) days immediately preceding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ending no more than ninety (90) days following the effective date of a registration statement of the Corporation (or, in the case of an Underwritten Shelf Take-Down, following the date of the filing or effectiveness of a preliminary prospectus or prospectus supplement relating to such underwritten offering (or if there is no such filing, the first contemporaneous press release announcing commencement of such underwritten offering)) or such shorter period as the applicable Initiating Holder may agree to with the underwriter or underwriters of such underwritten offering (provided, that, in each case, such period shall not exceed forty five (45) days following such effective date, date of filing, effectiveness or first contemporaneous press release without the prior written consent of the CBP Holders), such Holder or its Affiliates shall not sell, pledge, hypothecate, transfer, make any short sale of, loan, grant any option or right to purchase of, or otherwise transfer or dispose of (other than to donees who agree to be similarly bound) any Registrable Securities held by it at any time during such period except Registrable Securities included in such registration. Each Holder agrees that it shall deliver to the underwriter or underwriters or any offering to which clause (i) or (ii) is applicable a customary agreement (with customary terms, conditions and exceptions) that is substantially similar to the agreement delivered to the underwriter or underwriters as the agreements delivered by each of the CBP Holders reflecting its agreement set forth in this Section 13.</w:t>
      </w:r>
    </w:p>
    <w:p>
      <w:pPr>
        <w:spacing w:after="0" w:line="182"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Termination of Registration Rights</w:t>
      </w:r>
      <w:r>
        <w:rPr>
          <w:rFonts w:ascii="Arial" w:cs="Arial" w:eastAsia="Arial" w:hAnsi="Arial"/>
          <w:sz w:val="16"/>
          <w:szCs w:val="16"/>
          <w:color w:val="auto"/>
        </w:rPr>
        <w:t>. The rights of any particular Holder to cause the Corporation to register securities under Section 2, Section 3 or Section 4 hereof shall terminate as to any Holder on the date that such Holder no longer beneficially owns any Registrable Securities.</w:t>
      </w:r>
    </w:p>
    <w:p>
      <w:pPr>
        <w:spacing w:after="0" w:line="12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Additional Parties; Joinder</w:t>
      </w:r>
      <w:r>
        <w:rPr>
          <w:rFonts w:ascii="Arial" w:cs="Arial" w:eastAsia="Arial" w:hAnsi="Arial"/>
          <w:sz w:val="17"/>
          <w:szCs w:val="17"/>
          <w:color w:val="auto"/>
        </w:rPr>
        <w:t>. Subject to the prior written consent of each Holder, the Corporation may make any Person who acquires Class A Common Stock or rights to acquire Class A Common Stock from the Corporation after the date hereof (including without limitation any Person who acquires Common Units) a party to this Agreement (each such Person, an “</w:t>
      </w:r>
      <w:r>
        <w:rPr>
          <w:rFonts w:ascii="Arial" w:cs="Arial" w:eastAsia="Arial" w:hAnsi="Arial"/>
          <w:sz w:val="17"/>
          <w:szCs w:val="17"/>
          <w:b w:val="1"/>
          <w:bCs w:val="1"/>
          <w:i w:val="1"/>
          <w:iCs w:val="1"/>
          <w:color w:val="auto"/>
        </w:rPr>
        <w:t>Additional Holder</w:t>
      </w:r>
      <w:r>
        <w:rPr>
          <w:rFonts w:ascii="Arial" w:cs="Arial" w:eastAsia="Arial" w:hAnsi="Arial"/>
          <w:sz w:val="17"/>
          <w:szCs w:val="17"/>
          <w:color w:val="auto"/>
        </w:rPr>
        <w:t>”) and to succeed to all of the rights and obligations of a Holder under this Agreement by obtaining an executed joinder to this Agreement from such Additional Holder in the form of Exhibit A attached hereto (a “</w:t>
      </w:r>
      <w:r>
        <w:rPr>
          <w:rFonts w:ascii="Arial" w:cs="Arial" w:eastAsia="Arial" w:hAnsi="Arial"/>
          <w:sz w:val="17"/>
          <w:szCs w:val="17"/>
          <w:b w:val="1"/>
          <w:bCs w:val="1"/>
          <w:i w:val="1"/>
          <w:iCs w:val="1"/>
          <w:color w:val="auto"/>
        </w:rPr>
        <w:t>Joinder</w:t>
      </w:r>
      <w:r>
        <w:rPr>
          <w:rFonts w:ascii="Arial" w:cs="Arial" w:eastAsia="Arial" w:hAnsi="Arial"/>
          <w:sz w:val="17"/>
          <w:szCs w:val="17"/>
          <w:color w:val="auto"/>
        </w:rPr>
        <w:t>”). Upon the execution and delivery of a Joinder by such Additional Holder, the Class A Common Stock of the Corporation acquired by such Additional Holder or issuable upon redemption or exchange of Common Units acquired by such Additional Holder (the “</w:t>
      </w:r>
      <w:r>
        <w:rPr>
          <w:rFonts w:ascii="Arial" w:cs="Arial" w:eastAsia="Arial" w:hAnsi="Arial"/>
          <w:sz w:val="17"/>
          <w:szCs w:val="17"/>
          <w:b w:val="1"/>
          <w:bCs w:val="1"/>
          <w:i w:val="1"/>
          <w:iCs w:val="1"/>
          <w:color w:val="auto"/>
        </w:rPr>
        <w:t>Acquired Common</w:t>
      </w:r>
      <w:r>
        <w:rPr>
          <w:rFonts w:ascii="Arial" w:cs="Arial" w:eastAsia="Arial" w:hAnsi="Arial"/>
          <w:sz w:val="17"/>
          <w:szCs w:val="17"/>
          <w:color w:val="auto"/>
        </w:rPr>
        <w:t>”) shall be Registrable Securities to the extent provided herein, such Additional Holder shall be a Holder under this Agreement with respect to the Acquired Common, and the Corporation shall add such Additional Holder’s name and address to the Schedule of Holders and circulate such information to the parties to this Agreement.</w:t>
      </w:r>
    </w:p>
    <w:p>
      <w:pPr>
        <w:spacing w:after="0" w:line="18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Transfer of Registrable Securities</w:t>
      </w:r>
      <w:r>
        <w:rPr>
          <w:rFonts w:ascii="Arial" w:cs="Arial" w:eastAsia="Arial" w:hAnsi="Arial"/>
          <w:sz w:val="17"/>
          <w:szCs w:val="17"/>
          <w:color w:val="auto"/>
        </w:rPr>
        <w:t>. No assignment or transfer of any Holder’s rights, duties and obligations hereunder shall be binding upon or obligate the Corporation, and no Transferee shall be deemed a Holder hereunder, unless and until the Corporation shall have received a Joinder, duly executed by such Transferee, agreeing to be bound by the terms of this Agreement. Any transfer or attempted transfer of any Holder’s rights, duties and obligations hereunder in violation of any provision of this Agreement shall be void, and the Corporation, in its sole discretion, may refuse to acknowledge or sign any Joinder entered into in violation of any provision of this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17. </w:t>
      </w:r>
      <w:r>
        <w:rPr>
          <w:rFonts w:ascii="Arial" w:cs="Arial" w:eastAsia="Arial" w:hAnsi="Arial"/>
          <w:sz w:val="18"/>
          <w:szCs w:val="18"/>
          <w:u w:val="single" w:color="auto"/>
          <w:color w:val="auto"/>
        </w:rPr>
        <w:t>MNPI Provisions</w:t>
      </w:r>
      <w:r>
        <w:rPr>
          <w:rFonts w:ascii="Arial" w:cs="Arial" w:eastAsia="Arial" w:hAnsi="Arial"/>
          <w:sz w:val="18"/>
          <w:szCs w:val="18"/>
          <w:color w:val="auto"/>
        </w:rPr>
        <w:t>.</w:t>
      </w:r>
    </w:p>
    <w:p>
      <w:pPr>
        <w:spacing w:after="0" w:line="117" w:lineRule="exact"/>
        <w:rPr>
          <w:sz w:val="20"/>
          <w:szCs w:val="20"/>
          <w:color w:val="auto"/>
        </w:rPr>
      </w:pPr>
    </w:p>
    <w:p>
      <w:pPr>
        <w:ind w:left="-20" w:right="80" w:firstLine="436"/>
        <w:spacing w:after="0" w:line="259" w:lineRule="auto"/>
        <w:tabs>
          <w:tab w:leader="none" w:pos="6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Holder acknowledges that the provisions of this Agreement that require communications by the Corporation or other Holders to such Holder may result in such Holder and its Representatives (as defined below) acquiring MNPI (which may include, solely by way of illustration, the fact that an offering of the Corporation’s securities is pending or the number of Corporation securities to be offered by, or the identity of, the selling Holders).</w:t>
      </w:r>
    </w:p>
    <w:p>
      <w:pPr>
        <w:spacing w:after="0" w:line="78" w:lineRule="exact"/>
        <w:rPr>
          <w:rFonts w:ascii="Arial" w:cs="Arial" w:eastAsia="Arial" w:hAnsi="Arial"/>
          <w:sz w:val="18"/>
          <w:szCs w:val="18"/>
          <w:color w:val="auto"/>
        </w:rPr>
      </w:pPr>
    </w:p>
    <w:p>
      <w:pPr>
        <w:ind w:left="-20" w:right="20" w:firstLine="436"/>
        <w:spacing w:after="0" w:line="288" w:lineRule="auto"/>
        <w:tabs>
          <w:tab w:leader="none" w:pos="675"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Holder agrees that it will maintain the confidentiality of such MNPI and, to the extent such Holder is not a natural person, such confidential treatment shall be in accordance with procedures adopted by it in good faith to protect confidential information of third parties delivered to such Holder (“</w:t>
      </w:r>
      <w:r>
        <w:rPr>
          <w:rFonts w:ascii="Arial" w:cs="Arial" w:eastAsia="Arial" w:hAnsi="Arial"/>
          <w:sz w:val="16"/>
          <w:szCs w:val="16"/>
          <w:b w:val="1"/>
          <w:bCs w:val="1"/>
          <w:i w:val="1"/>
          <w:iCs w:val="1"/>
          <w:color w:val="auto"/>
        </w:rPr>
        <w:t>Policies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holder may deliver or disclose MNPI to (i) its directors, officers, employees, agents, attorneys, members, affiliates and financial and other advisors (collectively,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but solely to the extent such disclosure reasonably relates to its evaluation of exercise of its rights under this Agreement and the sale of any Registrable 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case of clause (i), the recipients of such MNPI are subject to the Policies or agree to hold confidential the MNPI in a manner substantially consistent with the terms of this Section 17 and that in the case of clauses (ii) through (v), such disclosure is required by law and such Holder shall promptly notify the Corporation of such disclosure to the extent such Holder is legally permitted to give such notice.</w:t>
      </w:r>
    </w:p>
    <w:p>
      <w:pPr>
        <w:spacing w:after="0" w:line="60" w:lineRule="exact"/>
        <w:rPr>
          <w:rFonts w:ascii="Arial" w:cs="Arial" w:eastAsia="Arial" w:hAnsi="Arial"/>
          <w:sz w:val="16"/>
          <w:szCs w:val="16"/>
          <w:color w:val="auto"/>
        </w:rPr>
      </w:pPr>
    </w:p>
    <w:p>
      <w:pPr>
        <w:ind w:left="-20" w:right="60" w:firstLine="436"/>
        <w:spacing w:after="0" w:line="289" w:lineRule="auto"/>
        <w:tabs>
          <w:tab w:leader="none" w:pos="6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Holder shall have the right, at any time and from time to time (including after receiving information regarding any potential Public Offering), to elect to not receive any notice that the Corporation or any other Holders otherwise are required to deliver pursuant to this Agreement by delivering to the Corporation a written statement signed by such Holder that it does not want to receive any notices hereunder (an “</w:t>
      </w:r>
      <w:r>
        <w:rPr>
          <w:rFonts w:ascii="Arial" w:cs="Arial" w:eastAsia="Arial" w:hAnsi="Arial"/>
          <w:sz w:val="16"/>
          <w:szCs w:val="16"/>
          <w:b w:val="1"/>
          <w:bCs w:val="1"/>
          <w:i w:val="1"/>
          <w:iCs w:val="1"/>
          <w:color w:val="auto"/>
        </w:rPr>
        <w:t>Opt-Out Request</w:t>
      </w:r>
      <w:r>
        <w:rPr>
          <w:rFonts w:ascii="Arial" w:cs="Arial" w:eastAsia="Arial" w:hAnsi="Arial"/>
          <w:sz w:val="16"/>
          <w:szCs w:val="16"/>
          <w:color w:val="auto"/>
        </w:rPr>
        <w:t xml:space="preserve">”); in which case and notwithstanding anything to the contrary in this Agreement the Corporation and other Holders shall not be required to, and shall not, deliver any notice or other information required to be provided to Holders hereunder to the extent that the Corporation or such other Holders reasonably expect would result in a Holder acquiring MNPI. An Opt-Out Request may state a date on which it expires or, if no such date is specified, shall remain in effect indefinitely. A Holder who previously has given the Corporation an Opt-Out Request may revoke such request at any time, and there shall be no limit on the ability of a Holder to issue and revoke subsequent Opt-Out Requests;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Holder shall use commercially reasonable efforts to minimize the administrative burden on the Corporation arising in connection with any such Opt-Out Requests.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jc w:val="both"/>
        <w:ind w:left="-20" w:firstLine="436"/>
        <w:spacing w:after="0" w:line="259" w:lineRule="auto"/>
        <w:tabs>
          <w:tab w:leader="none" w:pos="66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Except as otherwise provided herein, the provisions of this Agreement may be amended, modified, terminated or waived only with the prior written consent of the Corporation and each of the CBP Holders and the NVX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modification, termination or waiver that would materially and adversely affect a Holder in a manner materially different than any other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accession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60" w:top="274" w:right="459" w:bottom="1440" w:gutter="0" w:footer="0" w:header="0"/>
        </w:sectPr>
      </w:pPr>
    </w:p>
    <w:bookmarkStart w:id="71" w:name="page72"/>
    <w:bookmarkEnd w:id="71"/>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Holders to this Agreement pursuant to Section 15 shall not be deemed to adversely affect any Holder), shall be effective against such Holder without the consent of such Holder that is materially and adversely affected thereby. The failure or delay of any Person to enforce any of the provisions of this Agreement shall in no way be construed as a waiver of such provisions and shall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shall not be deemed to be a consent or waiver to or of any other breach or default in the performance by that Person of the same or any other obligations of that Person under this Agreement.</w:t>
      </w:r>
    </w:p>
    <w:p>
      <w:pPr>
        <w:spacing w:after="0" w:line="56" w:lineRule="exact"/>
        <w:rPr>
          <w:sz w:val="20"/>
          <w:szCs w:val="20"/>
          <w:color w:val="auto"/>
        </w:rPr>
      </w:pPr>
    </w:p>
    <w:p>
      <w:pPr>
        <w:ind w:firstLine="436"/>
        <w:spacing w:after="0" w:line="273" w:lineRule="auto"/>
        <w:tabs>
          <w:tab w:leader="none" w:pos="69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69" w:lineRule="exact"/>
        <w:rPr>
          <w:rFonts w:ascii="Arial" w:cs="Arial" w:eastAsia="Arial" w:hAnsi="Arial"/>
          <w:sz w:val="17"/>
          <w:szCs w:val="17"/>
          <w:color w:val="auto"/>
        </w:rPr>
      </w:pPr>
    </w:p>
    <w:p>
      <w:pPr>
        <w:ind w:right="80" w:firstLine="436"/>
        <w:spacing w:after="0" w:line="275" w:lineRule="auto"/>
        <w:tabs>
          <w:tab w:leader="none" w:pos="685"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w:t>
      </w:r>
    </w:p>
    <w:p>
      <w:pPr>
        <w:spacing w:after="0" w:line="68" w:lineRule="exact"/>
        <w:rPr>
          <w:rFonts w:ascii="Arial" w:cs="Arial" w:eastAsia="Arial" w:hAnsi="Arial"/>
          <w:sz w:val="17"/>
          <w:szCs w:val="17"/>
          <w:color w:val="auto"/>
        </w:rPr>
      </w:pPr>
    </w:p>
    <w:p>
      <w:pPr>
        <w:ind w:right="20" w:firstLine="436"/>
        <w:spacing w:after="0" w:line="263"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75" w:lineRule="exact"/>
        <w:rPr>
          <w:rFonts w:ascii="Arial" w:cs="Arial" w:eastAsia="Arial" w:hAnsi="Arial"/>
          <w:sz w:val="18"/>
          <w:szCs w:val="18"/>
          <w:color w:val="auto"/>
        </w:rPr>
      </w:pPr>
    </w:p>
    <w:p>
      <w:pPr>
        <w:ind w:right="180" w:firstLine="436"/>
        <w:spacing w:after="0" w:line="259" w:lineRule="auto"/>
        <w:tabs>
          <w:tab w:leader="none" w:pos="68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inure to the benefit and be enforceable by the Corporation and its successors and assigns and the Holders and their respective successors and assigns (whether so expressed or not). In addition, whether or not any express assignment has been made, the provisions of this Agreement which are for the benefit of Holders are also for the benefit of, and enforceable by, any subsequent or successor Holder.</w:t>
      </w:r>
    </w:p>
    <w:p>
      <w:pPr>
        <w:spacing w:after="0" w:line="78" w:lineRule="exact"/>
        <w:rPr>
          <w:rFonts w:ascii="Arial" w:cs="Arial" w:eastAsia="Arial" w:hAnsi="Arial"/>
          <w:sz w:val="18"/>
          <w:szCs w:val="18"/>
          <w:color w:val="auto"/>
        </w:rPr>
      </w:pPr>
    </w:p>
    <w:p>
      <w:pPr>
        <w:jc w:val="both"/>
        <w:ind w:right="260" w:firstLine="436"/>
        <w:spacing w:after="0" w:line="301" w:lineRule="auto"/>
        <w:tabs>
          <w:tab w:leader="none" w:pos="66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demand or other communication to be given under or by reason of the provisions of this Agreement shall be in writing and shall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72" w:name="page73"/>
    <w:bookmarkEnd w:id="72"/>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return receipt requested. Such notices, demands and other communications shall be sent to the Corporation at the address specified below and to any party subject to this Agreement at such address as indicated on the Schedule of Holders, or at such address or to the attention of such other Person as the recipient party has specified by prior written notice to the sending party. Any party may change such party’s address for receipt of notice by providing prior written notice of the change to the sending party as provided herein. The Corporation’s address is: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General Counsel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Ian Schuman, Esq. and Stelios Saffos,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751-4864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or to the attention of such other Person as the recipient party has specified by prior written notice to the sending party.</w:t>
      </w:r>
    </w:p>
    <w:p>
      <w:pPr>
        <w:spacing w:after="0" w:line="129" w:lineRule="exact"/>
        <w:rPr>
          <w:sz w:val="20"/>
          <w:szCs w:val="20"/>
          <w:color w:val="auto"/>
        </w:rPr>
      </w:pPr>
    </w:p>
    <w:p>
      <w:pPr>
        <w:ind w:right="20" w:firstLine="436"/>
        <w:spacing w:after="0" w:line="27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Business Days</w:t>
      </w:r>
      <w:r>
        <w:rPr>
          <w:rFonts w:ascii="Arial" w:cs="Arial" w:eastAsia="Arial" w:hAnsi="Arial"/>
          <w:sz w:val="18"/>
          <w:szCs w:val="18"/>
          <w:color w:val="auto"/>
        </w:rPr>
        <w:t>. If any time period for giving notice or taking action hereunder expires on a day that is not a Business Day, the time period shall automatically be extended to the immediately following Business Day.</w:t>
      </w:r>
    </w:p>
    <w:p>
      <w:pPr>
        <w:spacing w:after="0" w:line="62" w:lineRule="exact"/>
        <w:rPr>
          <w:rFonts w:ascii="Arial" w:cs="Arial" w:eastAsia="Arial" w:hAnsi="Arial"/>
          <w:sz w:val="18"/>
          <w:szCs w:val="18"/>
          <w:color w:val="auto"/>
        </w:rPr>
      </w:pPr>
    </w:p>
    <w:p>
      <w:pPr>
        <w:ind w:firstLine="436"/>
        <w:spacing w:after="0" w:line="257"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corporate law of the State of Delaware shall govern all issues and questions concerning the relative rights of the Corporation and its stockholders. All other issues and questions concerning the construction, validity, interpretation and enforcement of this Agreement and the exhibits and schedules hereto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79" w:lineRule="exact"/>
        <w:rPr>
          <w:rFonts w:ascii="Arial" w:cs="Arial" w:eastAsia="Arial" w:hAnsi="Arial"/>
          <w:sz w:val="18"/>
          <w:szCs w:val="18"/>
          <w:color w:val="auto"/>
        </w:rPr>
      </w:pPr>
    </w:p>
    <w:p>
      <w:pPr>
        <w:ind w:right="440" w:firstLine="436"/>
        <w:spacing w:after="0" w:line="279" w:lineRule="auto"/>
        <w:tabs>
          <w:tab w:leader="none" w:pos="65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MUTUAL WAIVER OF JURY TRIAL</w:t>
      </w:r>
      <w:r>
        <w:rPr>
          <w:rFonts w:ascii="Arial" w:cs="Arial" w:eastAsia="Arial" w:hAnsi="Arial"/>
          <w:sz w:val="17"/>
          <w:szCs w:val="17"/>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63" w:lineRule="exact"/>
        <w:rPr>
          <w:rFonts w:ascii="Arial" w:cs="Arial" w:eastAsia="Arial" w:hAnsi="Arial"/>
          <w:sz w:val="17"/>
          <w:szCs w:val="17"/>
          <w:color w:val="auto"/>
        </w:rPr>
      </w:pPr>
    </w:p>
    <w:p>
      <w:pPr>
        <w:ind w:left="660" w:hanging="22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CONSENT TO JURISDICTION AND SERVICE OF PROCESS</w:t>
      </w:r>
      <w:r>
        <w:rPr>
          <w:rFonts w:ascii="Arial" w:cs="Arial" w:eastAsia="Arial" w:hAnsi="Arial"/>
          <w:sz w:val="18"/>
          <w:szCs w:val="18"/>
          <w:color w:val="auto"/>
        </w:rPr>
        <w:t>. EACH OF THE PARTIES IRREVOCABLY SUBMITS TO THE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NON-EXCLUSIVE JURISDICTION OF THE FEDERAL COURTS OF THE UNITED STATES OF AMERICA LOCATED IN THE CITY AND COUNTY OF NEW YORK BOROUGH OF MANHATTAN, FOR THE PURPOSES OF ANY SUIT, ACTION OR OTHER PROCEEDING ARISING OUT OF THIS AGREEMENT, ANY RELATED AGREEMENT OR ANY TRANSACTION CONTEMPLATED HEREBY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73" w:name="page74"/>
    <w:bookmarkEnd w:id="7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THEREBY. EACH OF THE PARTIES HERETO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UNITED STATES DISTRICT COURT FOR THE DISTRICT OF DELAWARE, AND HEREBY AND THEREBY FURTHER IRREVOCABLY AND UNCONDITIONALLY WAIVES AND AGREES NOT TO PLEAD OR CLAIM IN ANY SUCH COURT THAT ANY SUCH ACTION, SUIT OR PROCEEDING BROUGHT IN ANY SUCH COURT HAS BEEN BROUGHT IN AN INCONVENIENT FORUM.</w:t>
      </w:r>
    </w:p>
    <w:p>
      <w:pPr>
        <w:spacing w:after="0" w:line="88" w:lineRule="exact"/>
        <w:rPr>
          <w:sz w:val="20"/>
          <w:szCs w:val="20"/>
          <w:color w:val="auto"/>
        </w:rPr>
      </w:pPr>
    </w:p>
    <w:p>
      <w:pPr>
        <w:ind w:right="40" w:firstLine="436"/>
        <w:spacing w:after="0" w:line="290"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to the contrary in this Agreement, the Corporation and each Holder agrees and acknowledges that no recourse under this Agreement or any documents or instruments delivered in connection with this Agreement, shall be had against any current or future director, officer, employee, general or limited partner or member of any Holder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57" w:lineRule="exact"/>
        <w:rPr>
          <w:rFonts w:ascii="Arial" w:cs="Arial" w:eastAsia="Arial" w:hAnsi="Arial"/>
          <w:sz w:val="16"/>
          <w:szCs w:val="16"/>
          <w:color w:val="auto"/>
        </w:rPr>
      </w:pPr>
    </w:p>
    <w:p>
      <w:pPr>
        <w:ind w:right="60" w:firstLine="436"/>
        <w:spacing w:after="0" w:line="308" w:lineRule="auto"/>
        <w:tabs>
          <w:tab w:leader="none" w:pos="65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The descriptive headings of this Agreement are inserted for convenience only and do not constitute a part of this Agreement. The use of the word “including” in this Agreement shall be by way of example rather than by limitation.</w:t>
      </w:r>
    </w:p>
    <w:p>
      <w:pPr>
        <w:spacing w:after="0" w:line="38" w:lineRule="exact"/>
        <w:rPr>
          <w:rFonts w:ascii="Arial" w:cs="Arial" w:eastAsia="Arial" w:hAnsi="Arial"/>
          <w:sz w:val="17"/>
          <w:szCs w:val="17"/>
          <w:color w:val="auto"/>
        </w:rPr>
      </w:pPr>
    </w:p>
    <w:p>
      <w:pPr>
        <w:ind w:right="100" w:firstLine="436"/>
        <w:spacing w:after="0" w:line="277" w:lineRule="auto"/>
        <w:tabs>
          <w:tab w:leader="none" w:pos="74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62"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any one of which need not contain the signature of more than one party, but all such counterparts taken together shall constitute one and the same agreement.</w:t>
      </w:r>
    </w:p>
    <w:p>
      <w:pPr>
        <w:spacing w:after="0" w:line="62" w:lineRule="exact"/>
        <w:rPr>
          <w:rFonts w:ascii="Arial" w:cs="Arial" w:eastAsia="Arial" w:hAnsi="Arial"/>
          <w:sz w:val="18"/>
          <w:szCs w:val="18"/>
          <w:color w:val="auto"/>
        </w:rPr>
      </w:pPr>
    </w:p>
    <w:p>
      <w:pPr>
        <w:jc w:val="both"/>
        <w:ind w:right="300" w:firstLine="436"/>
        <w:spacing w:after="0" w:line="301"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shall be treated in all manner and respects as an original agreement or instrument and shall be considered to have the same binding legal effect as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74" w:name="page75"/>
    <w:bookmarkEnd w:id="7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80" w:lineRule="exact"/>
        <w:rPr>
          <w:sz w:val="20"/>
          <w:szCs w:val="20"/>
          <w:color w:val="auto"/>
        </w:rPr>
      </w:pPr>
    </w:p>
    <w:p>
      <w:pPr>
        <w:ind w:right="20" w:firstLine="436"/>
        <w:spacing w:after="0" w:line="263"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w:t>
      </w:r>
    </w:p>
    <w:p>
      <w:pPr>
        <w:spacing w:after="0" w:line="75"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Corporation shall not hereafter enter into any agreement with respect to its securities which is inconsistent with or violates the rights granted to the Holders in this Agreement.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440" w:top="274" w:right="57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Registration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Clinton P. Jones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76" w:name="page77"/>
    <w:bookmarkEnd w:id="7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BLIZZARD AGGREGATOR,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NVX HOLDINGS,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Brandon M. Cruz</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NORWEST EQUITY PARTNERS IX,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ITASCA PARTNERS IX,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Norwest Venture Capital Management, I nc.</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C.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Timothy C. DeVries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080"/>
          </w:cols>
          <w:pgMar w:left="1440" w:top="270" w:right="1379" w:bottom="1440" w:gutter="0" w:footer="0" w:header="0"/>
        </w:sectPr>
      </w:pPr>
    </w:p>
    <w:bookmarkStart w:id="77" w:name="page78"/>
    <w:bookmarkEnd w:id="77"/>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CB BLIZZARD CO-INVEST HOLDINGS,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Centerbridge Associates III,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CCP III AIV VII HOLDINGS,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Centerbridge Associates III,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Registration Rights Agreement</w:t>
      </w:r>
      <w:r>
        <w:rPr>
          <w:rFonts w:ascii="Arial" w:cs="Arial" w:eastAsia="Arial" w:hAnsi="Arial"/>
          <w:sz w:val="16"/>
          <w:szCs w:val="16"/>
          <w:color w:val="auto"/>
        </w:rPr>
        <w:t>]</w:t>
      </w:r>
    </w:p>
    <w:p>
      <w:pPr>
        <w:sectPr>
          <w:pgSz w:w="11900" w:h="16838" w:orient="portrait"/>
          <w:cols w:equalWidth="0" w:num="1">
            <w:col w:w="9300"/>
          </w:cols>
          <w:pgMar w:left="1440" w:top="270" w:right="11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440" w:type="dxa"/>
            <w:vAlign w:val="bottom"/>
            <w:gridSpan w:val="3"/>
          </w:tcPr>
          <w:p>
            <w:pPr>
              <w:ind w:left="880"/>
              <w:spacing w:after="0"/>
              <w:rPr>
                <w:sz w:val="20"/>
                <w:szCs w:val="20"/>
                <w:color w:val="auto"/>
              </w:rPr>
            </w:pPr>
            <w:r>
              <w:rPr>
                <w:rFonts w:ascii="Arial" w:cs="Arial" w:eastAsia="Arial" w:hAnsi="Arial"/>
                <w:sz w:val="18"/>
                <w:szCs w:val="18"/>
                <w:color w:val="auto"/>
              </w:rPr>
              <w:t>SCHEDULE OF HOLDERS</w:t>
            </w:r>
          </w:p>
        </w:tc>
      </w:tr>
      <w:tr>
        <w:trPr>
          <w:trHeight w:val="40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Holder</w:t>
            </w:r>
          </w:p>
        </w:tc>
        <w:tc>
          <w:tcPr>
            <w:tcW w:w="4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Holder Affiliation</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Blizzard Aggregator, LLC</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Centerbridge Holder</w:t>
            </w:r>
          </w:p>
        </w:tc>
      </w:tr>
      <w:tr>
        <w:trPr>
          <w:trHeight w:val="418"/>
        </w:trPr>
        <w:tc>
          <w:tcPr>
            <w:tcW w:w="3580" w:type="dxa"/>
            <w:vAlign w:val="bottom"/>
          </w:tcPr>
          <w:p>
            <w:pPr>
              <w:spacing w:after="0"/>
              <w:rPr>
                <w:sz w:val="20"/>
                <w:szCs w:val="20"/>
                <w:color w:val="auto"/>
              </w:rPr>
            </w:pPr>
            <w:r>
              <w:rPr>
                <w:rFonts w:ascii="Arial" w:cs="Arial" w:eastAsia="Arial" w:hAnsi="Arial"/>
                <w:sz w:val="18"/>
                <w:szCs w:val="18"/>
                <w:color w:val="auto"/>
              </w:rPr>
              <w:t>CB Blizzard Co-Invest Holdings, L.P.</w:t>
            </w: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Centerbridge Holder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CCP III AIV VII Holdings, L.P.</w:t>
            </w: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Centerbridge Holder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NVX Holdings, Inc.</w:t>
            </w: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NVX Holder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Norwest Equity Partners IX, LP</w:t>
            </w: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NEP Holder</w:t>
            </w: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 JOINDER</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undersigned is executing and delivering this Joinder pursuant to the Registration Rights Agreement dated as of [ ● ], 2020 (as the same may hereafter be amended,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among GoHealth,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and the other person named as parties therein.</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By executing and delivering this Joinder to the Corporation, and upon acceptance hereof by the Corporation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Class A Common Stock shall be included as Registrable Securities under the Registration Rights Agreement to the extent provided therein. The Corporation is directed to add the address below the undersigned’s signature on this Joinder to the Schedule of Holders attached to the Registration Rights Agreement.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20"/>
                <w:szCs w:val="20"/>
                <w:color w:val="auto"/>
              </w:rPr>
            </w:pPr>
            <w:r>
              <w:rPr>
                <w:rFonts w:ascii="Arial" w:cs="Arial" w:eastAsia="Arial" w:hAnsi="Arial"/>
                <w:sz w:val="18"/>
                <w:szCs w:val="18"/>
                <w:color w:val="auto"/>
                <w:w w:val="90"/>
              </w:rPr>
              <w:t>Accordingly, the undersigned has executed and delivered this Joinder as of the day of</w:t>
            </w:r>
          </w:p>
        </w:tc>
        <w:tc>
          <w:tcPr>
            <w:tcW w:w="90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6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160655</wp:posOffset>
            </wp:positionV>
            <wp:extent cx="27946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 of Stockholder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color w:val="auto"/>
                <w:w w:val="90"/>
              </w:rPr>
              <w:t>Agreed and Accepted as of</w:t>
            </w:r>
          </w:p>
        </w:tc>
        <w:tc>
          <w:tcPr>
            <w:tcW w:w="900" w:type="dxa"/>
            <w:vAlign w:val="bottom"/>
            <w:tcBorders>
              <w:bottom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180" w:type="dxa"/>
            <w:vAlign w:val="bottom"/>
            <w:tcBorders>
              <w:bottom w:val="single" w:sz="8" w:color="auto"/>
            </w:tcBorders>
          </w:tcPr>
          <w:p>
            <w:pPr>
              <w:spacing w:after="0"/>
              <w:rPr>
                <w:sz w:val="17"/>
                <w:szCs w:val="17"/>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11020"/>
          </w:cols>
          <w:pgMar w:left="440" w:top="270" w:right="4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699516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LIMITED LIABILITY COMPANY INTERESTS REPRESENTED BY THIS SECOND AMENDED AND RESTATED LIMITED LIABILITY COMPANY AGREEMENT HAVE NOT BEEN REGISTERED UNDER THE UNITED STATES SECURITIES ACT OF 1933, AS AMENDED, OR UNDER ANY OTHER APPLICABLE SECURITIES LAWS. SUCH LIMITED LIABILITY COMPANY INTERESTS MAY NOT BE SOLD, ASSIGNED, PLEDGED OR OTHERWISE DISPOSED OF AT ANY TIME WITHOUT EFFECTIVE REGISTRATION UNDER SUCH ACT AND LAWS OR EXEMPTION THEREFROM, AND COMPLIANCE WITH THE OTHER SUBSTANTIAL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Article II. ORGANIZATIONAL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2.01 Formation of Company</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2.02 Second Amended and Restated Limited Liability Company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2.03</w:t>
            </w:r>
          </w:p>
        </w:tc>
        <w:tc>
          <w:tcPr>
            <w:tcW w:w="8520" w:type="dxa"/>
            <w:vAlign w:val="bottom"/>
          </w:tcPr>
          <w:p>
            <w:pPr>
              <w:ind w:left="60"/>
              <w:spacing w:after="0"/>
              <w:rPr>
                <w:sz w:val="20"/>
                <w:szCs w:val="20"/>
                <w:color w:val="auto"/>
              </w:rPr>
            </w:pPr>
            <w:r>
              <w:rPr>
                <w:rFonts w:ascii="Arial" w:cs="Arial" w:eastAsia="Arial" w:hAnsi="Arial"/>
                <w:sz w:val="18"/>
                <w:szCs w:val="18"/>
                <w:color w:val="auto"/>
              </w:rPr>
              <w:t>Name</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2.04</w:t>
            </w:r>
          </w:p>
        </w:tc>
        <w:tc>
          <w:tcPr>
            <w:tcW w:w="8520" w:type="dxa"/>
            <w:vAlign w:val="bottom"/>
          </w:tcPr>
          <w:p>
            <w:pPr>
              <w:ind w:left="60"/>
              <w:spacing w:after="0"/>
              <w:rPr>
                <w:sz w:val="20"/>
                <w:szCs w:val="20"/>
                <w:color w:val="auto"/>
              </w:rPr>
            </w:pPr>
            <w:r>
              <w:rPr>
                <w:rFonts w:ascii="Arial" w:cs="Arial" w:eastAsia="Arial" w:hAnsi="Arial"/>
                <w:sz w:val="18"/>
                <w:szCs w:val="18"/>
                <w:color w:val="auto"/>
              </w:rPr>
              <w:t>Purpose; Powers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2.05 Principal Office; Registered Office</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2.06</w:t>
            </w:r>
          </w:p>
        </w:tc>
        <w:tc>
          <w:tcPr>
            <w:tcW w:w="8520" w:type="dxa"/>
            <w:vAlign w:val="bottom"/>
          </w:tcPr>
          <w:p>
            <w:pPr>
              <w:ind w:left="60"/>
              <w:spacing w:after="0"/>
              <w:rPr>
                <w:sz w:val="20"/>
                <w:szCs w:val="20"/>
                <w:color w:val="auto"/>
              </w:rPr>
            </w:pPr>
            <w:r>
              <w:rPr>
                <w:rFonts w:ascii="Arial" w:cs="Arial" w:eastAsia="Arial" w:hAnsi="Arial"/>
                <w:sz w:val="18"/>
                <w:szCs w:val="18"/>
                <w:color w:val="auto"/>
              </w:rPr>
              <w:t>Term</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2.07 No State-Law Partnership</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Article III. MEMBERS; UNITS; CAPITALIZATION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3.01</w:t>
            </w:r>
          </w:p>
        </w:tc>
        <w:tc>
          <w:tcPr>
            <w:tcW w:w="8520" w:type="dxa"/>
            <w:vAlign w:val="bottom"/>
          </w:tcPr>
          <w:p>
            <w:pPr>
              <w:ind w:left="60"/>
              <w:spacing w:after="0"/>
              <w:rPr>
                <w:sz w:val="20"/>
                <w:szCs w:val="20"/>
                <w:color w:val="auto"/>
              </w:rPr>
            </w:pPr>
            <w:r>
              <w:rPr>
                <w:rFonts w:ascii="Arial" w:cs="Arial" w:eastAsia="Arial" w:hAnsi="Arial"/>
                <w:sz w:val="18"/>
                <w:szCs w:val="18"/>
                <w:color w:val="auto"/>
              </w:rPr>
              <w:t>Members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3.02</w:t>
            </w:r>
          </w:p>
        </w:tc>
        <w:tc>
          <w:tcPr>
            <w:tcW w:w="8520" w:type="dxa"/>
            <w:vAlign w:val="bottom"/>
          </w:tcPr>
          <w:p>
            <w:pPr>
              <w:ind w:left="60"/>
              <w:spacing w:after="0"/>
              <w:rPr>
                <w:sz w:val="20"/>
                <w:szCs w:val="20"/>
                <w:color w:val="auto"/>
              </w:rPr>
            </w:pPr>
            <w:r>
              <w:rPr>
                <w:rFonts w:ascii="Arial" w:cs="Arial" w:eastAsia="Arial" w:hAnsi="Arial"/>
                <w:sz w:val="18"/>
                <w:szCs w:val="18"/>
                <w:color w:val="auto"/>
              </w:rPr>
              <w:t>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3.03 Recapitalization; the Corporation’s Capital Contribution; the Corporation’s Purchase of Common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3.04 Authorization and Issuance of Additional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3.05 Repurchase or Redemption of shares of Class A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3.06 Certificates Representing Units; Lost, Stolen or Destroyed Certificates; Registration and Transfer of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3.07 Negative Capital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3.08</w:t>
            </w:r>
          </w:p>
        </w:tc>
        <w:tc>
          <w:tcPr>
            <w:tcW w:w="8520" w:type="dxa"/>
            <w:vAlign w:val="bottom"/>
          </w:tcPr>
          <w:p>
            <w:pPr>
              <w:ind w:left="60"/>
              <w:spacing w:after="0"/>
              <w:rPr>
                <w:sz w:val="20"/>
                <w:szCs w:val="20"/>
                <w:color w:val="auto"/>
              </w:rPr>
            </w:pPr>
            <w:r>
              <w:rPr>
                <w:rFonts w:ascii="Arial" w:cs="Arial" w:eastAsia="Arial" w:hAnsi="Arial"/>
                <w:sz w:val="18"/>
                <w:szCs w:val="18"/>
                <w:color w:val="auto"/>
              </w:rPr>
              <w:t>No Withdrawal</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3.09 Loans From Members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3.10 Corporate Stock Option Plans and Equity Plans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820" w:type="dxa"/>
            <w:vAlign w:val="bottom"/>
            <w:gridSpan w:val="2"/>
          </w:tcPr>
          <w:p>
            <w:pPr>
              <w:ind w:left="360"/>
              <w:spacing w:after="0"/>
              <w:rPr>
                <w:sz w:val="20"/>
                <w:szCs w:val="20"/>
                <w:color w:val="auto"/>
              </w:rPr>
            </w:pPr>
            <w:r>
              <w:rPr>
                <w:rFonts w:ascii="Arial" w:cs="Arial" w:eastAsia="Arial" w:hAnsi="Arial"/>
                <w:sz w:val="18"/>
                <w:szCs w:val="18"/>
                <w:color w:val="auto"/>
              </w:rPr>
              <w:t>Section 3.11 Dividend Reinvestment Plan, Cash Option Purchase Plan, Stock Incentive Plan or Other Plan</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Article IV. DISTRIBUTIONS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4.01</w:t>
            </w:r>
          </w:p>
        </w:tc>
        <w:tc>
          <w:tcPr>
            <w:tcW w:w="8520" w:type="dxa"/>
            <w:vAlign w:val="bottom"/>
          </w:tcPr>
          <w:p>
            <w:pPr>
              <w:ind w:left="60"/>
              <w:spacing w:after="0"/>
              <w:rPr>
                <w:sz w:val="20"/>
                <w:szCs w:val="20"/>
                <w:color w:val="auto"/>
              </w:rPr>
            </w:pPr>
            <w:r>
              <w:rPr>
                <w:rFonts w:ascii="Arial" w:cs="Arial" w:eastAsia="Arial" w:hAnsi="Arial"/>
                <w:sz w:val="18"/>
                <w:szCs w:val="18"/>
                <w:color w:val="auto"/>
              </w:rPr>
              <w:t>Distributions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Article V. CAPITAL ACCOUNTS; ALLOCATIONS; TAX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5.01</w:t>
            </w:r>
          </w:p>
        </w:tc>
        <w:tc>
          <w:tcPr>
            <w:tcW w:w="8520" w:type="dxa"/>
            <w:vAlign w:val="bottom"/>
          </w:tcPr>
          <w:p>
            <w:pPr>
              <w:ind w:left="60"/>
              <w:spacing w:after="0"/>
              <w:rPr>
                <w:sz w:val="20"/>
                <w:szCs w:val="20"/>
                <w:color w:val="auto"/>
              </w:rPr>
            </w:pPr>
            <w:r>
              <w:rPr>
                <w:rFonts w:ascii="Arial" w:cs="Arial" w:eastAsia="Arial" w:hAnsi="Arial"/>
                <w:sz w:val="18"/>
                <w:szCs w:val="18"/>
                <w:color w:val="auto"/>
              </w:rPr>
              <w:t>Capital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5.02</w:t>
            </w:r>
          </w:p>
        </w:tc>
        <w:tc>
          <w:tcPr>
            <w:tcW w:w="8520" w:type="dxa"/>
            <w:vAlign w:val="bottom"/>
          </w:tcPr>
          <w:p>
            <w:pPr>
              <w:ind w:left="60"/>
              <w:spacing w:after="0"/>
              <w:rPr>
                <w:sz w:val="20"/>
                <w:szCs w:val="20"/>
                <w:color w:val="auto"/>
              </w:rPr>
            </w:pPr>
            <w:r>
              <w:rPr>
                <w:rFonts w:ascii="Arial" w:cs="Arial" w:eastAsia="Arial" w:hAnsi="Arial"/>
                <w:sz w:val="18"/>
                <w:szCs w:val="18"/>
                <w:color w:val="auto"/>
              </w:rPr>
              <w:t>Allocations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5.03</w:t>
            </w:r>
          </w:p>
        </w:tc>
        <w:tc>
          <w:tcPr>
            <w:tcW w:w="8520" w:type="dxa"/>
            <w:vAlign w:val="bottom"/>
          </w:tcPr>
          <w:p>
            <w:pPr>
              <w:ind w:left="60"/>
              <w:spacing w:after="0"/>
              <w:rPr>
                <w:sz w:val="20"/>
                <w:szCs w:val="20"/>
                <w:color w:val="auto"/>
              </w:rPr>
            </w:pPr>
            <w:r>
              <w:rPr>
                <w:rFonts w:ascii="Arial" w:cs="Arial" w:eastAsia="Arial" w:hAnsi="Arial"/>
                <w:sz w:val="18"/>
                <w:szCs w:val="18"/>
                <w:color w:val="auto"/>
              </w:rPr>
              <w:t>Regulatory Allocations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5.04</w:t>
            </w:r>
          </w:p>
        </w:tc>
        <w:tc>
          <w:tcPr>
            <w:tcW w:w="8520" w:type="dxa"/>
            <w:vAlign w:val="bottom"/>
          </w:tcPr>
          <w:p>
            <w:pPr>
              <w:ind w:left="60"/>
              <w:spacing w:after="0"/>
              <w:rPr>
                <w:sz w:val="20"/>
                <w:szCs w:val="20"/>
                <w:color w:val="auto"/>
              </w:rPr>
            </w:pPr>
            <w:r>
              <w:rPr>
                <w:rFonts w:ascii="Arial" w:cs="Arial" w:eastAsia="Arial" w:hAnsi="Arial"/>
                <w:sz w:val="18"/>
                <w:szCs w:val="18"/>
                <w:color w:val="auto"/>
              </w:rPr>
              <w:t>Final Allocations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5.05</w:t>
            </w:r>
          </w:p>
        </w:tc>
        <w:tc>
          <w:tcPr>
            <w:tcW w:w="8520" w:type="dxa"/>
            <w:vAlign w:val="bottom"/>
          </w:tcPr>
          <w:p>
            <w:pPr>
              <w:ind w:left="60"/>
              <w:spacing w:after="0"/>
              <w:rPr>
                <w:sz w:val="20"/>
                <w:szCs w:val="20"/>
                <w:color w:val="auto"/>
              </w:rPr>
            </w:pPr>
            <w:r>
              <w:rPr>
                <w:rFonts w:ascii="Arial" w:cs="Arial" w:eastAsia="Arial" w:hAnsi="Arial"/>
                <w:sz w:val="18"/>
                <w:szCs w:val="18"/>
                <w:color w:val="auto"/>
              </w:rPr>
              <w:t>Tax Allocations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91"/>
              </w:rPr>
              <w:t>Section 5.06</w:t>
            </w:r>
          </w:p>
        </w:tc>
        <w:tc>
          <w:tcPr>
            <w:tcW w:w="8520" w:type="dxa"/>
            <w:vAlign w:val="bottom"/>
          </w:tcPr>
          <w:p>
            <w:pPr>
              <w:ind w:left="60"/>
              <w:spacing w:after="0"/>
              <w:rPr>
                <w:sz w:val="20"/>
                <w:szCs w:val="20"/>
                <w:color w:val="auto"/>
              </w:rPr>
            </w:pPr>
            <w:r>
              <w:rPr>
                <w:rFonts w:ascii="Arial" w:cs="Arial" w:eastAsia="Arial" w:hAnsi="Arial"/>
                <w:sz w:val="18"/>
                <w:szCs w:val="18"/>
                <w:color w:val="auto"/>
              </w:rPr>
              <w:t>Indemnification and Reimbursement for Payments on Behalf of a Member</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0960"/>
          </w:cols>
          <w:pgMar w:left="440" w:top="270" w:right="49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 MANAGEMENT</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700" w:type="dxa"/>
            <w:vAlign w:val="bottom"/>
          </w:tcPr>
          <w:p>
            <w:pPr>
              <w:ind w:left="40"/>
              <w:spacing w:after="0"/>
              <w:rPr>
                <w:sz w:val="20"/>
                <w:szCs w:val="20"/>
                <w:color w:val="auto"/>
              </w:rPr>
            </w:pPr>
            <w:r>
              <w:rPr>
                <w:rFonts w:ascii="Arial" w:cs="Arial" w:eastAsia="Arial" w:hAnsi="Arial"/>
                <w:sz w:val="18"/>
                <w:szCs w:val="18"/>
                <w:color w:val="auto"/>
              </w:rPr>
              <w:t>Authority of Manager</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700" w:type="dxa"/>
            <w:vAlign w:val="bottom"/>
          </w:tcPr>
          <w:p>
            <w:pPr>
              <w:ind w:left="40"/>
              <w:spacing w:after="0"/>
              <w:rPr>
                <w:sz w:val="20"/>
                <w:szCs w:val="20"/>
                <w:color w:val="auto"/>
              </w:rPr>
            </w:pPr>
            <w:r>
              <w:rPr>
                <w:rFonts w:ascii="Arial" w:cs="Arial" w:eastAsia="Arial" w:hAnsi="Arial"/>
                <w:sz w:val="18"/>
                <w:szCs w:val="18"/>
                <w:color w:val="auto"/>
              </w:rPr>
              <w:t>Actions of the Manager</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700" w:type="dxa"/>
            <w:vAlign w:val="bottom"/>
          </w:tcPr>
          <w:p>
            <w:pPr>
              <w:ind w:left="40"/>
              <w:spacing w:after="0"/>
              <w:rPr>
                <w:sz w:val="20"/>
                <w:szCs w:val="20"/>
                <w:color w:val="auto"/>
              </w:rPr>
            </w:pPr>
            <w:r>
              <w:rPr>
                <w:rFonts w:ascii="Arial" w:cs="Arial" w:eastAsia="Arial" w:hAnsi="Arial"/>
                <w:sz w:val="18"/>
                <w:szCs w:val="18"/>
                <w:color w:val="auto"/>
              </w:rPr>
              <w:t>Resignation; No Removal</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700" w:type="dxa"/>
            <w:vAlign w:val="bottom"/>
          </w:tcPr>
          <w:p>
            <w:pPr>
              <w:ind w:left="40"/>
              <w:spacing w:after="0"/>
              <w:rPr>
                <w:sz w:val="20"/>
                <w:szCs w:val="20"/>
                <w:color w:val="auto"/>
              </w:rPr>
            </w:pPr>
            <w:r>
              <w:rPr>
                <w:rFonts w:ascii="Arial" w:cs="Arial" w:eastAsia="Arial" w:hAnsi="Arial"/>
                <w:sz w:val="18"/>
                <w:szCs w:val="18"/>
                <w:color w:val="auto"/>
              </w:rPr>
              <w:t>Vacancies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700" w:type="dxa"/>
            <w:vAlign w:val="bottom"/>
          </w:tcPr>
          <w:p>
            <w:pPr>
              <w:ind w:left="40"/>
              <w:spacing w:after="0"/>
              <w:rPr>
                <w:sz w:val="20"/>
                <w:szCs w:val="20"/>
                <w:color w:val="auto"/>
              </w:rPr>
            </w:pPr>
            <w:r>
              <w:rPr>
                <w:rFonts w:ascii="Arial" w:cs="Arial" w:eastAsia="Arial" w:hAnsi="Arial"/>
                <w:sz w:val="18"/>
                <w:szCs w:val="18"/>
                <w:color w:val="auto"/>
              </w:rPr>
              <w:t>Transactions Between the Company and the Manager</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700" w:type="dxa"/>
            <w:vAlign w:val="bottom"/>
          </w:tcPr>
          <w:p>
            <w:pPr>
              <w:ind w:left="40"/>
              <w:spacing w:after="0"/>
              <w:rPr>
                <w:sz w:val="20"/>
                <w:szCs w:val="20"/>
                <w:color w:val="auto"/>
              </w:rPr>
            </w:pPr>
            <w:r>
              <w:rPr>
                <w:rFonts w:ascii="Arial" w:cs="Arial" w:eastAsia="Arial" w:hAnsi="Arial"/>
                <w:sz w:val="18"/>
                <w:szCs w:val="18"/>
                <w:color w:val="auto"/>
              </w:rPr>
              <w:t>Reimbursement for Expenses</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70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700" w:type="dxa"/>
            <w:vAlign w:val="bottom"/>
          </w:tcPr>
          <w:p>
            <w:pPr>
              <w:ind w:left="40"/>
              <w:spacing w:after="0"/>
              <w:rPr>
                <w:sz w:val="20"/>
                <w:szCs w:val="20"/>
                <w:color w:val="auto"/>
              </w:rPr>
            </w:pPr>
            <w:r>
              <w:rPr>
                <w:rFonts w:ascii="Arial" w:cs="Arial" w:eastAsia="Arial" w:hAnsi="Arial"/>
                <w:sz w:val="18"/>
                <w:szCs w:val="18"/>
                <w:color w:val="auto"/>
              </w:rPr>
              <w:t>Limitation of Liability of Manager</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700" w:type="dxa"/>
            <w:vAlign w:val="bottom"/>
          </w:tcPr>
          <w:p>
            <w:pPr>
              <w:ind w:left="40"/>
              <w:spacing w:after="0"/>
              <w:rPr>
                <w:sz w:val="20"/>
                <w:szCs w:val="20"/>
                <w:color w:val="auto"/>
              </w:rPr>
            </w:pPr>
            <w:r>
              <w:rPr>
                <w:rFonts w:ascii="Arial" w:cs="Arial" w:eastAsia="Arial" w:hAnsi="Arial"/>
                <w:sz w:val="18"/>
                <w:szCs w:val="18"/>
                <w:color w:val="auto"/>
              </w:rPr>
              <w:t>Investment Company Act</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 RIGHTS AND OBLIGATIONS OF MEMBERS AND MANAGER</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700" w:type="dxa"/>
            <w:vAlign w:val="bottom"/>
          </w:tcPr>
          <w:p>
            <w:pPr>
              <w:ind w:left="40"/>
              <w:spacing w:after="0"/>
              <w:rPr>
                <w:sz w:val="20"/>
                <w:szCs w:val="20"/>
                <w:color w:val="auto"/>
              </w:rPr>
            </w:pPr>
            <w:r>
              <w:rPr>
                <w:rFonts w:ascii="Arial" w:cs="Arial" w:eastAsia="Arial" w:hAnsi="Arial"/>
                <w:sz w:val="18"/>
                <w:szCs w:val="18"/>
                <w:color w:val="auto"/>
              </w:rPr>
              <w:t>Limitation of Liability and Duties of Members</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700" w:type="dxa"/>
            <w:vAlign w:val="bottom"/>
          </w:tcPr>
          <w:p>
            <w:pPr>
              <w:ind w:left="40"/>
              <w:spacing w:after="0"/>
              <w:rPr>
                <w:sz w:val="20"/>
                <w:szCs w:val="20"/>
                <w:color w:val="auto"/>
              </w:rPr>
            </w:pPr>
            <w:r>
              <w:rPr>
                <w:rFonts w:ascii="Arial" w:cs="Arial" w:eastAsia="Arial" w:hAnsi="Arial"/>
                <w:sz w:val="18"/>
                <w:szCs w:val="18"/>
                <w:color w:val="auto"/>
              </w:rPr>
              <w:t>Lack of Authority</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700" w:type="dxa"/>
            <w:vAlign w:val="bottom"/>
          </w:tcPr>
          <w:p>
            <w:pPr>
              <w:ind w:left="40"/>
              <w:spacing w:after="0"/>
              <w:rPr>
                <w:sz w:val="20"/>
                <w:szCs w:val="20"/>
                <w:color w:val="auto"/>
              </w:rPr>
            </w:pPr>
            <w:r>
              <w:rPr>
                <w:rFonts w:ascii="Arial" w:cs="Arial" w:eastAsia="Arial" w:hAnsi="Arial"/>
                <w:sz w:val="18"/>
                <w:szCs w:val="18"/>
                <w:color w:val="auto"/>
              </w:rPr>
              <w:t>No Right of Partition</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70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700" w:type="dxa"/>
            <w:vAlign w:val="bottom"/>
          </w:tcPr>
          <w:p>
            <w:pPr>
              <w:ind w:left="40"/>
              <w:spacing w:after="0"/>
              <w:rPr>
                <w:sz w:val="20"/>
                <w:szCs w:val="20"/>
                <w:color w:val="auto"/>
              </w:rPr>
            </w:pPr>
            <w:r>
              <w:rPr>
                <w:rFonts w:ascii="Arial" w:cs="Arial" w:eastAsia="Arial" w:hAnsi="Arial"/>
                <w:sz w:val="18"/>
                <w:szCs w:val="18"/>
                <w:color w:val="auto"/>
              </w:rPr>
              <w:t>Inspection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VIII. BOOKS, RECORDS, ACCOUNTING AND REPORTS, AFFIRMATIVE COVENANTS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700" w:type="dxa"/>
            <w:vAlign w:val="bottom"/>
          </w:tcPr>
          <w:p>
            <w:pPr>
              <w:ind w:left="40"/>
              <w:spacing w:after="0"/>
              <w:rPr>
                <w:sz w:val="20"/>
                <w:szCs w:val="20"/>
                <w:color w:val="auto"/>
              </w:rPr>
            </w:pPr>
            <w:r>
              <w:rPr>
                <w:rFonts w:ascii="Arial" w:cs="Arial" w:eastAsia="Arial" w:hAnsi="Arial"/>
                <w:sz w:val="18"/>
                <w:szCs w:val="18"/>
                <w:color w:val="auto"/>
              </w:rPr>
              <w:t>Records and Accounting</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7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IX. TAX MATTERS</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700" w:type="dxa"/>
            <w:vAlign w:val="bottom"/>
          </w:tcPr>
          <w:p>
            <w:pPr>
              <w:ind w:left="40"/>
              <w:spacing w:after="0"/>
              <w:rPr>
                <w:sz w:val="20"/>
                <w:szCs w:val="20"/>
                <w:color w:val="auto"/>
              </w:rPr>
            </w:pPr>
            <w:r>
              <w:rPr>
                <w:rFonts w:ascii="Arial" w:cs="Arial" w:eastAsia="Arial" w:hAnsi="Arial"/>
                <w:sz w:val="18"/>
                <w:szCs w:val="18"/>
                <w:color w:val="auto"/>
              </w:rPr>
              <w:t>Preparation of Tax Returns</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700" w:type="dxa"/>
            <w:vAlign w:val="bottom"/>
          </w:tcPr>
          <w:p>
            <w:pPr>
              <w:ind w:left="40"/>
              <w:spacing w:after="0"/>
              <w:rPr>
                <w:sz w:val="20"/>
                <w:szCs w:val="20"/>
                <w:color w:val="auto"/>
              </w:rPr>
            </w:pPr>
            <w:r>
              <w:rPr>
                <w:rFonts w:ascii="Arial" w:cs="Arial" w:eastAsia="Arial" w:hAnsi="Arial"/>
                <w:sz w:val="18"/>
                <w:szCs w:val="18"/>
                <w:color w:val="auto"/>
              </w:rPr>
              <w:t>Tax Elections</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700" w:type="dxa"/>
            <w:vAlign w:val="bottom"/>
          </w:tcPr>
          <w:p>
            <w:pPr>
              <w:ind w:left="40"/>
              <w:spacing w:after="0"/>
              <w:rPr>
                <w:sz w:val="20"/>
                <w:szCs w:val="20"/>
                <w:color w:val="auto"/>
              </w:rPr>
            </w:pPr>
            <w:r>
              <w:rPr>
                <w:rFonts w:ascii="Arial" w:cs="Arial" w:eastAsia="Arial" w:hAnsi="Arial"/>
                <w:sz w:val="18"/>
                <w:szCs w:val="18"/>
                <w:color w:val="auto"/>
              </w:rPr>
              <w:t>Tax Controversies</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X. RESTRICTIONS ON TRANSFER OF UNITS; CERTAIN TRANSACTIONS</w:t>
            </w:r>
          </w:p>
        </w:tc>
        <w:tc>
          <w:tcPr>
            <w:tcW w:w="1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10.01</w:t>
            </w:r>
          </w:p>
        </w:tc>
        <w:tc>
          <w:tcPr>
            <w:tcW w:w="7700" w:type="dxa"/>
            <w:vAlign w:val="bottom"/>
          </w:tcPr>
          <w:p>
            <w:pPr>
              <w:ind w:left="40"/>
              <w:spacing w:after="0"/>
              <w:rPr>
                <w:sz w:val="20"/>
                <w:szCs w:val="20"/>
                <w:color w:val="auto"/>
              </w:rPr>
            </w:pPr>
            <w:r>
              <w:rPr>
                <w:rFonts w:ascii="Arial" w:cs="Arial" w:eastAsia="Arial" w:hAnsi="Arial"/>
                <w:sz w:val="18"/>
                <w:szCs w:val="18"/>
                <w:color w:val="auto"/>
              </w:rPr>
              <w:t>Transfers by Members</w:t>
            </w:r>
          </w:p>
        </w:tc>
        <w:tc>
          <w:tcPr>
            <w:tcW w:w="1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10.02</w:t>
            </w:r>
          </w:p>
        </w:tc>
        <w:tc>
          <w:tcPr>
            <w:tcW w:w="7700" w:type="dxa"/>
            <w:vAlign w:val="bottom"/>
          </w:tcPr>
          <w:p>
            <w:pPr>
              <w:ind w:left="40"/>
              <w:spacing w:after="0"/>
              <w:rPr>
                <w:sz w:val="20"/>
                <w:szCs w:val="20"/>
                <w:color w:val="auto"/>
              </w:rPr>
            </w:pPr>
            <w:r>
              <w:rPr>
                <w:rFonts w:ascii="Arial" w:cs="Arial" w:eastAsia="Arial" w:hAnsi="Arial"/>
                <w:sz w:val="18"/>
                <w:szCs w:val="18"/>
                <w:color w:val="auto"/>
              </w:rPr>
              <w:t>Permitted 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10.03</w:t>
            </w:r>
          </w:p>
        </w:tc>
        <w:tc>
          <w:tcPr>
            <w:tcW w:w="7700" w:type="dxa"/>
            <w:vAlign w:val="bottom"/>
          </w:tcPr>
          <w:p>
            <w:pPr>
              <w:ind w:left="40"/>
              <w:spacing w:after="0"/>
              <w:rPr>
                <w:sz w:val="20"/>
                <w:szCs w:val="20"/>
                <w:color w:val="auto"/>
              </w:rPr>
            </w:pPr>
            <w:r>
              <w:rPr>
                <w:rFonts w:ascii="Arial" w:cs="Arial" w:eastAsia="Arial" w:hAnsi="Arial"/>
                <w:sz w:val="18"/>
                <w:szCs w:val="18"/>
                <w:color w:val="auto"/>
              </w:rPr>
              <w:t>Restricted Units Legend</w:t>
            </w: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10.04</w:t>
            </w:r>
          </w:p>
        </w:tc>
        <w:tc>
          <w:tcPr>
            <w:tcW w:w="7700" w:type="dxa"/>
            <w:vAlign w:val="bottom"/>
          </w:tcPr>
          <w:p>
            <w:pPr>
              <w:ind w:left="40"/>
              <w:spacing w:after="0"/>
              <w:rPr>
                <w:sz w:val="20"/>
                <w:szCs w:val="20"/>
                <w:color w:val="auto"/>
              </w:rPr>
            </w:pPr>
            <w:r>
              <w:rPr>
                <w:rFonts w:ascii="Arial" w:cs="Arial" w:eastAsia="Arial" w:hAnsi="Arial"/>
                <w:sz w:val="18"/>
                <w:szCs w:val="18"/>
                <w:color w:val="auto"/>
              </w:rPr>
              <w:t>Transfer</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10.05</w:t>
            </w:r>
          </w:p>
        </w:tc>
        <w:tc>
          <w:tcPr>
            <w:tcW w:w="7700" w:type="dxa"/>
            <w:vAlign w:val="bottom"/>
          </w:tcPr>
          <w:p>
            <w:pPr>
              <w:ind w:left="40"/>
              <w:spacing w:after="0"/>
              <w:rPr>
                <w:sz w:val="20"/>
                <w:szCs w:val="20"/>
                <w:color w:val="auto"/>
              </w:rPr>
            </w:pPr>
            <w:r>
              <w:rPr>
                <w:rFonts w:ascii="Arial" w:cs="Arial" w:eastAsia="Arial" w:hAnsi="Arial"/>
                <w:sz w:val="18"/>
                <w:szCs w:val="18"/>
                <w:color w:val="auto"/>
              </w:rPr>
              <w:t>Assignee’s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10.06</w:t>
            </w:r>
          </w:p>
        </w:tc>
        <w:tc>
          <w:tcPr>
            <w:tcW w:w="7700" w:type="dxa"/>
            <w:vAlign w:val="bottom"/>
          </w:tcPr>
          <w:p>
            <w:pPr>
              <w:ind w:left="40"/>
              <w:spacing w:after="0"/>
              <w:rPr>
                <w:sz w:val="20"/>
                <w:szCs w:val="20"/>
                <w:color w:val="auto"/>
              </w:rPr>
            </w:pPr>
            <w:r>
              <w:rPr>
                <w:rFonts w:ascii="Arial" w:cs="Arial" w:eastAsia="Arial" w:hAnsi="Arial"/>
                <w:sz w:val="18"/>
                <w:szCs w:val="18"/>
                <w:color w:val="auto"/>
              </w:rPr>
              <w:t>Assignor’s Rights and Obligations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10.07</w:t>
            </w:r>
          </w:p>
        </w:tc>
        <w:tc>
          <w:tcPr>
            <w:tcW w:w="7700" w:type="dxa"/>
            <w:vAlign w:val="bottom"/>
          </w:tcPr>
          <w:p>
            <w:pPr>
              <w:ind w:left="40"/>
              <w:spacing w:after="0"/>
              <w:rPr>
                <w:sz w:val="20"/>
                <w:szCs w:val="20"/>
                <w:color w:val="auto"/>
              </w:rPr>
            </w:pPr>
            <w:r>
              <w:rPr>
                <w:rFonts w:ascii="Arial" w:cs="Arial" w:eastAsia="Arial" w:hAnsi="Arial"/>
                <w:sz w:val="18"/>
                <w:szCs w:val="18"/>
                <w:color w:val="auto"/>
              </w:rPr>
              <w:t>Overriding Provisions</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10.08</w:t>
            </w:r>
          </w:p>
        </w:tc>
        <w:tc>
          <w:tcPr>
            <w:tcW w:w="7700" w:type="dxa"/>
            <w:vAlign w:val="bottom"/>
          </w:tcPr>
          <w:p>
            <w:pPr>
              <w:ind w:left="40"/>
              <w:spacing w:after="0"/>
              <w:rPr>
                <w:sz w:val="20"/>
                <w:szCs w:val="20"/>
                <w:color w:val="auto"/>
              </w:rPr>
            </w:pPr>
            <w:r>
              <w:rPr>
                <w:rFonts w:ascii="Arial" w:cs="Arial" w:eastAsia="Arial" w:hAnsi="Arial"/>
                <w:sz w:val="18"/>
                <w:szCs w:val="18"/>
                <w:color w:val="auto"/>
              </w:rPr>
              <w:t>Spousal Consent</w:t>
            </w: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10.09</w:t>
            </w:r>
          </w:p>
        </w:tc>
        <w:tc>
          <w:tcPr>
            <w:tcW w:w="7700" w:type="dxa"/>
            <w:vAlign w:val="bottom"/>
          </w:tcPr>
          <w:p>
            <w:pPr>
              <w:ind w:left="40"/>
              <w:spacing w:after="0"/>
              <w:rPr>
                <w:sz w:val="20"/>
                <w:szCs w:val="20"/>
                <w:color w:val="auto"/>
              </w:rPr>
            </w:pPr>
            <w:r>
              <w:rPr>
                <w:rFonts w:ascii="Arial" w:cs="Arial" w:eastAsia="Arial" w:hAnsi="Arial"/>
                <w:sz w:val="18"/>
                <w:szCs w:val="18"/>
                <w:color w:val="auto"/>
              </w:rPr>
              <w:t>Certain Transactions with respect to the Corporation</w:t>
            </w: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10.10</w:t>
            </w:r>
          </w:p>
        </w:tc>
        <w:tc>
          <w:tcPr>
            <w:tcW w:w="7700" w:type="dxa"/>
            <w:vAlign w:val="bottom"/>
          </w:tcPr>
          <w:p>
            <w:pPr>
              <w:ind w:left="40"/>
              <w:spacing w:after="0"/>
              <w:rPr>
                <w:sz w:val="20"/>
                <w:szCs w:val="20"/>
                <w:color w:val="auto"/>
              </w:rPr>
            </w:pPr>
            <w:r>
              <w:rPr>
                <w:rFonts w:ascii="Arial" w:cs="Arial" w:eastAsia="Arial" w:hAnsi="Arial"/>
                <w:sz w:val="18"/>
                <w:szCs w:val="18"/>
                <w:color w:val="auto"/>
              </w:rPr>
              <w:t>Unvested Common Units</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XI. REDEMPTION AND DIRECT EXCHANGE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11.01</w:t>
            </w:r>
          </w:p>
        </w:tc>
        <w:tc>
          <w:tcPr>
            <w:tcW w:w="7700" w:type="dxa"/>
            <w:vAlign w:val="bottom"/>
          </w:tcPr>
          <w:p>
            <w:pPr>
              <w:ind w:left="40"/>
              <w:spacing w:after="0"/>
              <w:rPr>
                <w:sz w:val="20"/>
                <w:szCs w:val="20"/>
                <w:color w:val="auto"/>
              </w:rPr>
            </w:pPr>
            <w:r>
              <w:rPr>
                <w:rFonts w:ascii="Arial" w:cs="Arial" w:eastAsia="Arial" w:hAnsi="Arial"/>
                <w:sz w:val="18"/>
                <w:szCs w:val="18"/>
                <w:color w:val="auto"/>
              </w:rPr>
              <w:t>Redemption Right of a Member</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65"/>
        </w:trPr>
        <w:tc>
          <w:tcPr>
            <w:tcW w:w="1400" w:type="dxa"/>
            <w:vAlign w:val="bottom"/>
          </w:tcPr>
          <w:p>
            <w:pPr>
              <w:spacing w:after="0"/>
              <w:rPr>
                <w:sz w:val="24"/>
                <w:szCs w:val="24"/>
                <w:color w:val="auto"/>
              </w:rPr>
            </w:pPr>
          </w:p>
        </w:tc>
        <w:tc>
          <w:tcPr>
            <w:tcW w:w="7700" w:type="dxa"/>
            <w:vAlign w:val="bottom"/>
          </w:tcPr>
          <w:p>
            <w:pPr>
              <w:ind w:left="4020"/>
              <w:spacing w:after="0"/>
              <w:rPr>
                <w:sz w:val="20"/>
                <w:szCs w:val="20"/>
                <w:color w:val="auto"/>
              </w:rPr>
            </w:pPr>
            <w:r>
              <w:rPr>
                <w:rFonts w:ascii="Arial" w:cs="Arial" w:eastAsia="Arial" w:hAnsi="Arial"/>
                <w:sz w:val="18"/>
                <w:szCs w:val="18"/>
                <w:color w:val="auto"/>
              </w:rPr>
              <w:t>iii</w:t>
            </w:r>
          </w:p>
        </w:tc>
        <w:tc>
          <w:tcPr>
            <w:tcW w:w="186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Section 11.02 Election and Contribution of the Corporation</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Section 11.03 Direct Exchange Right of the Corporation</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Section 11.04 Reservation of Shares of Class A Common Stock; Listing; Certificate of the Corporation</w:t>
            </w: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Section 11.05 Effect of Exercise of Redemption or Direct Exchange</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11.06</w:t>
            </w:r>
          </w:p>
        </w:tc>
        <w:tc>
          <w:tcPr>
            <w:tcW w:w="7900" w:type="dxa"/>
            <w:vAlign w:val="bottom"/>
          </w:tcPr>
          <w:p>
            <w:pPr>
              <w:ind w:left="40"/>
              <w:spacing w:after="0"/>
              <w:rPr>
                <w:sz w:val="20"/>
                <w:szCs w:val="20"/>
                <w:color w:val="auto"/>
              </w:rPr>
            </w:pPr>
            <w:r>
              <w:rPr>
                <w:rFonts w:ascii="Arial" w:cs="Arial" w:eastAsia="Arial" w:hAnsi="Arial"/>
                <w:sz w:val="18"/>
                <w:szCs w:val="18"/>
                <w:color w:val="auto"/>
              </w:rPr>
              <w:t>Tax Treatment</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300" w:type="dxa"/>
            <w:vAlign w:val="bottom"/>
            <w:gridSpan w:val="2"/>
          </w:tcPr>
          <w:p>
            <w:pPr>
              <w:spacing w:after="0"/>
              <w:rPr>
                <w:sz w:val="20"/>
                <w:szCs w:val="20"/>
                <w:color w:val="auto"/>
              </w:rPr>
            </w:pPr>
            <w:r>
              <w:rPr>
                <w:rFonts w:ascii="Arial" w:cs="Arial" w:eastAsia="Arial" w:hAnsi="Arial"/>
                <w:sz w:val="18"/>
                <w:szCs w:val="18"/>
                <w:color w:val="auto"/>
              </w:rPr>
              <w:t>Article XII. ADMISSION OF MEMBERS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12.01</w:t>
            </w:r>
          </w:p>
        </w:tc>
        <w:tc>
          <w:tcPr>
            <w:tcW w:w="7900" w:type="dxa"/>
            <w:vAlign w:val="bottom"/>
          </w:tcPr>
          <w:p>
            <w:pPr>
              <w:ind w:left="40"/>
              <w:spacing w:after="0"/>
              <w:rPr>
                <w:sz w:val="20"/>
                <w:szCs w:val="20"/>
                <w:color w:val="auto"/>
              </w:rPr>
            </w:pPr>
            <w:r>
              <w:rPr>
                <w:rFonts w:ascii="Arial" w:cs="Arial" w:eastAsia="Arial" w:hAnsi="Arial"/>
                <w:sz w:val="18"/>
                <w:szCs w:val="18"/>
                <w:color w:val="auto"/>
              </w:rPr>
              <w:t>Substituted Members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12.02</w:t>
            </w:r>
          </w:p>
        </w:tc>
        <w:tc>
          <w:tcPr>
            <w:tcW w:w="7900" w:type="dxa"/>
            <w:vAlign w:val="bottom"/>
          </w:tcPr>
          <w:p>
            <w:pPr>
              <w:ind w:left="40"/>
              <w:spacing w:after="0"/>
              <w:rPr>
                <w:sz w:val="20"/>
                <w:szCs w:val="20"/>
                <w:color w:val="auto"/>
              </w:rPr>
            </w:pPr>
            <w:r>
              <w:rPr>
                <w:rFonts w:ascii="Arial" w:cs="Arial" w:eastAsia="Arial" w:hAnsi="Arial"/>
                <w:sz w:val="18"/>
                <w:szCs w:val="18"/>
                <w:color w:val="auto"/>
              </w:rPr>
              <w:t>Additional Members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300" w:type="dxa"/>
            <w:vAlign w:val="bottom"/>
            <w:gridSpan w:val="2"/>
          </w:tcPr>
          <w:p>
            <w:pPr>
              <w:spacing w:after="0"/>
              <w:rPr>
                <w:sz w:val="20"/>
                <w:szCs w:val="20"/>
                <w:color w:val="auto"/>
              </w:rPr>
            </w:pPr>
            <w:r>
              <w:rPr>
                <w:rFonts w:ascii="Arial" w:cs="Arial" w:eastAsia="Arial" w:hAnsi="Arial"/>
                <w:sz w:val="18"/>
                <w:szCs w:val="18"/>
                <w:color w:val="auto"/>
              </w:rPr>
              <w:t>Article XIII. WITHDRAWAL AND RESIGNATION; TERMINATION OF RIGHTS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13.01</w:t>
            </w:r>
          </w:p>
        </w:tc>
        <w:tc>
          <w:tcPr>
            <w:tcW w:w="7900" w:type="dxa"/>
            <w:vAlign w:val="bottom"/>
          </w:tcPr>
          <w:p>
            <w:pPr>
              <w:ind w:left="40"/>
              <w:spacing w:after="0"/>
              <w:rPr>
                <w:sz w:val="20"/>
                <w:szCs w:val="20"/>
                <w:color w:val="auto"/>
              </w:rPr>
            </w:pPr>
            <w:r>
              <w:rPr>
                <w:rFonts w:ascii="Arial" w:cs="Arial" w:eastAsia="Arial" w:hAnsi="Arial"/>
                <w:sz w:val="18"/>
                <w:szCs w:val="18"/>
                <w:color w:val="auto"/>
              </w:rPr>
              <w:t>Withdrawal and Resignation of Members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300" w:type="dxa"/>
            <w:vAlign w:val="bottom"/>
            <w:gridSpan w:val="2"/>
          </w:tcPr>
          <w:p>
            <w:pPr>
              <w:spacing w:after="0"/>
              <w:rPr>
                <w:sz w:val="20"/>
                <w:szCs w:val="20"/>
                <w:color w:val="auto"/>
              </w:rPr>
            </w:pPr>
            <w:r>
              <w:rPr>
                <w:rFonts w:ascii="Arial" w:cs="Arial" w:eastAsia="Arial" w:hAnsi="Arial"/>
                <w:sz w:val="18"/>
                <w:szCs w:val="18"/>
                <w:color w:val="auto"/>
              </w:rPr>
              <w:t>Article XIV. DISSOLUTION AND LIQUIDATION</w:t>
            </w: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14.01</w:t>
            </w:r>
          </w:p>
        </w:tc>
        <w:tc>
          <w:tcPr>
            <w:tcW w:w="7900" w:type="dxa"/>
            <w:vAlign w:val="bottom"/>
          </w:tcPr>
          <w:p>
            <w:pPr>
              <w:ind w:left="40"/>
              <w:spacing w:after="0"/>
              <w:rPr>
                <w:sz w:val="20"/>
                <w:szCs w:val="20"/>
                <w:color w:val="auto"/>
              </w:rPr>
            </w:pPr>
            <w:r>
              <w:rPr>
                <w:rFonts w:ascii="Arial" w:cs="Arial" w:eastAsia="Arial" w:hAnsi="Arial"/>
                <w:sz w:val="18"/>
                <w:szCs w:val="18"/>
                <w:color w:val="auto"/>
              </w:rPr>
              <w:t>Dissolution</w:t>
            </w: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14.02</w:t>
            </w:r>
          </w:p>
        </w:tc>
        <w:tc>
          <w:tcPr>
            <w:tcW w:w="7900" w:type="dxa"/>
            <w:vAlign w:val="bottom"/>
          </w:tcPr>
          <w:p>
            <w:pPr>
              <w:ind w:left="40"/>
              <w:spacing w:after="0"/>
              <w:rPr>
                <w:sz w:val="20"/>
                <w:szCs w:val="20"/>
                <w:color w:val="auto"/>
              </w:rPr>
            </w:pPr>
            <w:r>
              <w:rPr>
                <w:rFonts w:ascii="Arial" w:cs="Arial" w:eastAsia="Arial" w:hAnsi="Arial"/>
                <w:sz w:val="18"/>
                <w:szCs w:val="18"/>
                <w:color w:val="auto"/>
              </w:rPr>
              <w:t>Winding Up</w:t>
            </w: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14.03</w:t>
            </w:r>
          </w:p>
        </w:tc>
        <w:tc>
          <w:tcPr>
            <w:tcW w:w="7900" w:type="dxa"/>
            <w:vAlign w:val="bottom"/>
          </w:tcPr>
          <w:p>
            <w:pPr>
              <w:ind w:left="40"/>
              <w:spacing w:after="0"/>
              <w:rPr>
                <w:sz w:val="20"/>
                <w:szCs w:val="20"/>
                <w:color w:val="auto"/>
              </w:rPr>
            </w:pPr>
            <w:r>
              <w:rPr>
                <w:rFonts w:ascii="Arial" w:cs="Arial" w:eastAsia="Arial" w:hAnsi="Arial"/>
                <w:sz w:val="18"/>
                <w:szCs w:val="18"/>
                <w:color w:val="auto"/>
              </w:rPr>
              <w:t>Deferment; Distribution in Kind</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14.04</w:t>
            </w:r>
          </w:p>
        </w:tc>
        <w:tc>
          <w:tcPr>
            <w:tcW w:w="7900" w:type="dxa"/>
            <w:vAlign w:val="bottom"/>
          </w:tcPr>
          <w:p>
            <w:pPr>
              <w:ind w:left="40"/>
              <w:spacing w:after="0"/>
              <w:rPr>
                <w:sz w:val="20"/>
                <w:szCs w:val="20"/>
                <w:color w:val="auto"/>
              </w:rPr>
            </w:pPr>
            <w:r>
              <w:rPr>
                <w:rFonts w:ascii="Arial" w:cs="Arial" w:eastAsia="Arial" w:hAnsi="Arial"/>
                <w:sz w:val="18"/>
                <w:szCs w:val="18"/>
                <w:color w:val="auto"/>
              </w:rPr>
              <w:t>Cancellation of Certificate</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14.05</w:t>
            </w:r>
          </w:p>
        </w:tc>
        <w:tc>
          <w:tcPr>
            <w:tcW w:w="7900" w:type="dxa"/>
            <w:vAlign w:val="bottom"/>
          </w:tcPr>
          <w:p>
            <w:pPr>
              <w:ind w:left="40"/>
              <w:spacing w:after="0"/>
              <w:rPr>
                <w:sz w:val="20"/>
                <w:szCs w:val="20"/>
                <w:color w:val="auto"/>
              </w:rPr>
            </w:pPr>
            <w:r>
              <w:rPr>
                <w:rFonts w:ascii="Arial" w:cs="Arial" w:eastAsia="Arial" w:hAnsi="Arial"/>
                <w:sz w:val="18"/>
                <w:szCs w:val="18"/>
                <w:color w:val="auto"/>
              </w:rPr>
              <w:t>Reasonable Time for Winding Up</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14.06</w:t>
            </w:r>
          </w:p>
        </w:tc>
        <w:tc>
          <w:tcPr>
            <w:tcW w:w="7900" w:type="dxa"/>
            <w:vAlign w:val="bottom"/>
          </w:tcPr>
          <w:p>
            <w:pPr>
              <w:ind w:left="40"/>
              <w:spacing w:after="0"/>
              <w:rPr>
                <w:sz w:val="20"/>
                <w:szCs w:val="20"/>
                <w:color w:val="auto"/>
              </w:rPr>
            </w:pPr>
            <w:r>
              <w:rPr>
                <w:rFonts w:ascii="Arial" w:cs="Arial" w:eastAsia="Arial" w:hAnsi="Arial"/>
                <w:sz w:val="18"/>
                <w:szCs w:val="18"/>
                <w:color w:val="auto"/>
              </w:rPr>
              <w:t>Return of Capital</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300" w:type="dxa"/>
            <w:vAlign w:val="bottom"/>
            <w:gridSpan w:val="2"/>
          </w:tcPr>
          <w:p>
            <w:pPr>
              <w:spacing w:after="0"/>
              <w:rPr>
                <w:sz w:val="20"/>
                <w:szCs w:val="20"/>
                <w:color w:val="auto"/>
              </w:rPr>
            </w:pPr>
            <w:r>
              <w:rPr>
                <w:rFonts w:ascii="Arial" w:cs="Arial" w:eastAsia="Arial" w:hAnsi="Arial"/>
                <w:sz w:val="18"/>
                <w:szCs w:val="18"/>
                <w:color w:val="auto"/>
              </w:rPr>
              <w:t>Article XV. GENERAL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15.01</w:t>
            </w:r>
          </w:p>
        </w:tc>
        <w:tc>
          <w:tcPr>
            <w:tcW w:w="7900" w:type="dxa"/>
            <w:vAlign w:val="bottom"/>
          </w:tcPr>
          <w:p>
            <w:pPr>
              <w:ind w:left="40"/>
              <w:spacing w:after="0"/>
              <w:rPr>
                <w:sz w:val="20"/>
                <w:szCs w:val="20"/>
                <w:color w:val="auto"/>
              </w:rPr>
            </w:pPr>
            <w:r>
              <w:rPr>
                <w:rFonts w:ascii="Arial" w:cs="Arial" w:eastAsia="Arial" w:hAnsi="Arial"/>
                <w:sz w:val="18"/>
                <w:szCs w:val="18"/>
                <w:color w:val="auto"/>
              </w:rPr>
              <w:t>Power of Attorney</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15.02</w:t>
            </w:r>
          </w:p>
        </w:tc>
        <w:tc>
          <w:tcPr>
            <w:tcW w:w="790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Section 15.03 Amendments</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15.04</w:t>
            </w:r>
          </w:p>
        </w:tc>
        <w:tc>
          <w:tcPr>
            <w:tcW w:w="7900" w:type="dxa"/>
            <w:vAlign w:val="bottom"/>
          </w:tcPr>
          <w:p>
            <w:pPr>
              <w:ind w:left="40"/>
              <w:spacing w:after="0"/>
              <w:rPr>
                <w:sz w:val="20"/>
                <w:szCs w:val="20"/>
                <w:color w:val="auto"/>
              </w:rPr>
            </w:pPr>
            <w:r>
              <w:rPr>
                <w:rFonts w:ascii="Arial" w:cs="Arial" w:eastAsia="Arial" w:hAnsi="Arial"/>
                <w:sz w:val="18"/>
                <w:szCs w:val="18"/>
                <w:color w:val="auto"/>
              </w:rPr>
              <w:t>Title to Company Assets</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15.05</w:t>
            </w:r>
          </w:p>
        </w:tc>
        <w:tc>
          <w:tcPr>
            <w:tcW w:w="7900" w:type="dxa"/>
            <w:vAlign w:val="bottom"/>
          </w:tcPr>
          <w:p>
            <w:pPr>
              <w:ind w:left="40"/>
              <w:spacing w:after="0"/>
              <w:rPr>
                <w:sz w:val="20"/>
                <w:szCs w:val="20"/>
                <w:color w:val="auto"/>
              </w:rPr>
            </w:pPr>
            <w:r>
              <w:rPr>
                <w:rFonts w:ascii="Arial" w:cs="Arial" w:eastAsia="Arial" w:hAnsi="Arial"/>
                <w:sz w:val="18"/>
                <w:szCs w:val="18"/>
                <w:color w:val="auto"/>
              </w:rPr>
              <w:t>Addresses and Notices</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15.06</w:t>
            </w:r>
          </w:p>
        </w:tc>
        <w:tc>
          <w:tcPr>
            <w:tcW w:w="7900" w:type="dxa"/>
            <w:vAlign w:val="bottom"/>
          </w:tcPr>
          <w:p>
            <w:pPr>
              <w:ind w:left="40"/>
              <w:spacing w:after="0"/>
              <w:rPr>
                <w:sz w:val="20"/>
                <w:szCs w:val="20"/>
                <w:color w:val="auto"/>
              </w:rPr>
            </w:pPr>
            <w:r>
              <w:rPr>
                <w:rFonts w:ascii="Arial" w:cs="Arial" w:eastAsia="Arial" w:hAnsi="Arial"/>
                <w:sz w:val="18"/>
                <w:szCs w:val="18"/>
                <w:color w:val="auto"/>
              </w:rPr>
              <w:t>Binding Effect; Intended Beneficiaries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15.07</w:t>
            </w:r>
          </w:p>
        </w:tc>
        <w:tc>
          <w:tcPr>
            <w:tcW w:w="7900" w:type="dxa"/>
            <w:vAlign w:val="bottom"/>
          </w:tcPr>
          <w:p>
            <w:pPr>
              <w:ind w:left="40"/>
              <w:spacing w:after="0"/>
              <w:rPr>
                <w:sz w:val="20"/>
                <w:szCs w:val="20"/>
                <w:color w:val="auto"/>
              </w:rPr>
            </w:pPr>
            <w:r>
              <w:rPr>
                <w:rFonts w:ascii="Arial" w:cs="Arial" w:eastAsia="Arial" w:hAnsi="Arial"/>
                <w:sz w:val="18"/>
                <w:szCs w:val="18"/>
                <w:color w:val="auto"/>
              </w:rPr>
              <w:t>Creditors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15.08</w:t>
            </w:r>
          </w:p>
        </w:tc>
        <w:tc>
          <w:tcPr>
            <w:tcW w:w="7900" w:type="dxa"/>
            <w:vAlign w:val="bottom"/>
          </w:tcPr>
          <w:p>
            <w:pPr>
              <w:ind w:left="40"/>
              <w:spacing w:after="0"/>
              <w:rPr>
                <w:sz w:val="20"/>
                <w:szCs w:val="20"/>
                <w:color w:val="auto"/>
              </w:rPr>
            </w:pPr>
            <w:r>
              <w:rPr>
                <w:rFonts w:ascii="Arial" w:cs="Arial" w:eastAsia="Arial" w:hAnsi="Arial"/>
                <w:sz w:val="18"/>
                <w:szCs w:val="18"/>
                <w:color w:val="auto"/>
              </w:rPr>
              <w:t>Waiver</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15.09</w:t>
            </w:r>
          </w:p>
        </w:tc>
        <w:tc>
          <w:tcPr>
            <w:tcW w:w="790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15.10</w:t>
            </w:r>
          </w:p>
        </w:tc>
        <w:tc>
          <w:tcPr>
            <w:tcW w:w="7900" w:type="dxa"/>
            <w:vAlign w:val="bottom"/>
          </w:tcPr>
          <w:p>
            <w:pPr>
              <w:ind w:left="40"/>
              <w:spacing w:after="0"/>
              <w:rPr>
                <w:sz w:val="20"/>
                <w:szCs w:val="20"/>
                <w:color w:val="auto"/>
              </w:rPr>
            </w:pPr>
            <w:r>
              <w:rPr>
                <w:rFonts w:ascii="Arial" w:cs="Arial" w:eastAsia="Arial" w:hAnsi="Arial"/>
                <w:sz w:val="18"/>
                <w:szCs w:val="18"/>
                <w:color w:val="auto"/>
              </w:rPr>
              <w:t>Applicable Law</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15.11</w:t>
            </w:r>
          </w:p>
        </w:tc>
        <w:tc>
          <w:tcPr>
            <w:tcW w:w="79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15.12</w:t>
            </w:r>
          </w:p>
        </w:tc>
        <w:tc>
          <w:tcPr>
            <w:tcW w:w="7900" w:type="dxa"/>
            <w:vAlign w:val="bottom"/>
          </w:tcPr>
          <w:p>
            <w:pPr>
              <w:ind w:left="40"/>
              <w:spacing w:after="0"/>
              <w:rPr>
                <w:sz w:val="20"/>
                <w:szCs w:val="20"/>
                <w:color w:val="auto"/>
              </w:rPr>
            </w:pPr>
            <w:r>
              <w:rPr>
                <w:rFonts w:ascii="Arial" w:cs="Arial" w:eastAsia="Arial" w:hAnsi="Arial"/>
                <w:sz w:val="18"/>
                <w:szCs w:val="18"/>
                <w:color w:val="auto"/>
              </w:rPr>
              <w:t>Further Action</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15.13</w:t>
            </w:r>
          </w:p>
        </w:tc>
        <w:tc>
          <w:tcPr>
            <w:tcW w:w="7900" w:type="dxa"/>
            <w:vAlign w:val="bottom"/>
          </w:tcPr>
          <w:p>
            <w:pPr>
              <w:ind w:left="40"/>
              <w:spacing w:after="0"/>
              <w:rPr>
                <w:sz w:val="20"/>
                <w:szCs w:val="20"/>
                <w:color w:val="auto"/>
              </w:rPr>
            </w:pPr>
            <w:r>
              <w:rPr>
                <w:rFonts w:ascii="Arial" w:cs="Arial" w:eastAsia="Arial" w:hAnsi="Arial"/>
                <w:sz w:val="18"/>
                <w:szCs w:val="18"/>
                <w:color w:val="auto"/>
              </w:rPr>
              <w:t>Execution and Delivery by Electronic Signature and Electronic Transmission</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15.14</w:t>
            </w:r>
          </w:p>
        </w:tc>
        <w:tc>
          <w:tcPr>
            <w:tcW w:w="7900" w:type="dxa"/>
            <w:vAlign w:val="bottom"/>
          </w:tcPr>
          <w:p>
            <w:pPr>
              <w:ind w:left="40"/>
              <w:spacing w:after="0"/>
              <w:rPr>
                <w:sz w:val="20"/>
                <w:szCs w:val="20"/>
                <w:color w:val="auto"/>
              </w:rPr>
            </w:pPr>
            <w:r>
              <w:rPr>
                <w:rFonts w:ascii="Arial" w:cs="Arial" w:eastAsia="Arial" w:hAnsi="Arial"/>
                <w:sz w:val="18"/>
                <w:szCs w:val="18"/>
                <w:color w:val="auto"/>
              </w:rPr>
              <w:t>Right of Offset</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15.15</w:t>
            </w:r>
          </w:p>
        </w:tc>
        <w:tc>
          <w:tcPr>
            <w:tcW w:w="790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15.16</w:t>
            </w:r>
          </w:p>
        </w:tc>
        <w:tc>
          <w:tcPr>
            <w:tcW w:w="7900" w:type="dxa"/>
            <w:vAlign w:val="bottom"/>
          </w:tcPr>
          <w:p>
            <w:pPr>
              <w:ind w:left="40"/>
              <w:spacing w:after="0"/>
              <w:rPr>
                <w:sz w:val="20"/>
                <w:szCs w:val="20"/>
                <w:color w:val="auto"/>
              </w:rPr>
            </w:pPr>
            <w:r>
              <w:rPr>
                <w:rFonts w:ascii="Arial" w:cs="Arial" w:eastAsia="Arial" w:hAnsi="Arial"/>
                <w:sz w:val="18"/>
                <w:szCs w:val="18"/>
                <w:color w:val="auto"/>
              </w:rPr>
              <w:t>Remedies</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w w:val="92"/>
              </w:rPr>
              <w:t>Section 15.17</w:t>
            </w:r>
          </w:p>
        </w:tc>
        <w:tc>
          <w:tcPr>
            <w:tcW w:w="7900" w:type="dxa"/>
            <w:vAlign w:val="bottom"/>
          </w:tcPr>
          <w:p>
            <w:pPr>
              <w:ind w:left="40"/>
              <w:spacing w:after="0"/>
              <w:rPr>
                <w:sz w:val="20"/>
                <w:szCs w:val="20"/>
                <w:color w:val="auto"/>
              </w:rPr>
            </w:pPr>
            <w:r>
              <w:rPr>
                <w:rFonts w:ascii="Arial" w:cs="Arial" w:eastAsia="Arial" w:hAnsi="Arial"/>
                <w:sz w:val="18"/>
                <w:szCs w:val="18"/>
                <w:color w:val="auto"/>
              </w:rPr>
              <w:t>Descriptive Headings; Interpretation</w:t>
            </w:r>
          </w:p>
        </w:tc>
        <w:tc>
          <w:tcPr>
            <w:tcW w:w="166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Schedules</w:t>
            </w:r>
          </w:p>
        </w:tc>
        <w:tc>
          <w:tcPr>
            <w:tcW w:w="220" w:type="dxa"/>
            <w:vAlign w:val="bottom"/>
          </w:tcPr>
          <w:p>
            <w:pPr>
              <w:spacing w:after="0"/>
              <w:rPr>
                <w:sz w:val="17"/>
                <w:szCs w:val="17"/>
                <w:color w:val="auto"/>
              </w:rPr>
            </w:pPr>
          </w:p>
        </w:tc>
        <w:tc>
          <w:tcPr>
            <w:tcW w:w="4140" w:type="dxa"/>
            <w:vAlign w:val="bottom"/>
          </w:tcPr>
          <w:p>
            <w:pPr>
              <w:spacing w:after="0"/>
              <w:rPr>
                <w:sz w:val="17"/>
                <w:szCs w:val="17"/>
                <w:color w:val="auto"/>
              </w:rPr>
            </w:pPr>
          </w:p>
        </w:tc>
      </w:tr>
      <w:tr>
        <w:trPr>
          <w:trHeight w:val="344"/>
        </w:trPr>
        <w:tc>
          <w:tcPr>
            <w:tcW w:w="980" w:type="dxa"/>
            <w:vAlign w:val="bottom"/>
            <w:gridSpan w:val="3"/>
          </w:tcPr>
          <w:p>
            <w:pPr>
              <w:spacing w:after="0"/>
              <w:rPr>
                <w:sz w:val="20"/>
                <w:szCs w:val="20"/>
                <w:color w:val="auto"/>
              </w:rPr>
            </w:pPr>
            <w:r>
              <w:rPr>
                <w:rFonts w:ascii="Arial" w:cs="Arial" w:eastAsia="Arial" w:hAnsi="Arial"/>
                <w:sz w:val="18"/>
                <w:szCs w:val="18"/>
                <w:color w:val="auto"/>
              </w:rPr>
              <w:t>Schedule 1</w:t>
            </w:r>
          </w:p>
        </w:tc>
        <w:tc>
          <w:tcPr>
            <w:tcW w:w="4140" w:type="dxa"/>
            <w:vAlign w:val="bottom"/>
          </w:tcPr>
          <w:p>
            <w:pPr>
              <w:ind w:left="120"/>
              <w:spacing w:after="0"/>
              <w:rPr>
                <w:sz w:val="20"/>
                <w:szCs w:val="20"/>
                <w:color w:val="auto"/>
              </w:rPr>
            </w:pPr>
            <w:r>
              <w:rPr>
                <w:rFonts w:ascii="Arial" w:cs="Arial" w:eastAsia="Arial" w:hAnsi="Arial"/>
                <w:sz w:val="18"/>
                <w:szCs w:val="18"/>
                <w:color w:val="auto"/>
              </w:rPr>
              <w:t>–  Schedule of Pre-IPO Members</w:t>
            </w:r>
          </w:p>
        </w:tc>
      </w:tr>
      <w:tr>
        <w:trPr>
          <w:trHeight w:val="230"/>
        </w:trPr>
        <w:tc>
          <w:tcPr>
            <w:tcW w:w="980" w:type="dxa"/>
            <w:vAlign w:val="bottom"/>
            <w:gridSpan w:val="3"/>
          </w:tcPr>
          <w:p>
            <w:pPr>
              <w:spacing w:after="0"/>
              <w:rPr>
                <w:sz w:val="20"/>
                <w:szCs w:val="20"/>
                <w:color w:val="auto"/>
              </w:rPr>
            </w:pPr>
            <w:r>
              <w:rPr>
                <w:rFonts w:ascii="Arial" w:cs="Arial" w:eastAsia="Arial" w:hAnsi="Arial"/>
                <w:sz w:val="18"/>
                <w:szCs w:val="18"/>
                <w:color w:val="auto"/>
              </w:rPr>
              <w:t>Schedule 2</w:t>
            </w:r>
          </w:p>
        </w:tc>
        <w:tc>
          <w:tcPr>
            <w:tcW w:w="4140" w:type="dxa"/>
            <w:vAlign w:val="bottom"/>
          </w:tcPr>
          <w:p>
            <w:pPr>
              <w:ind w:left="120"/>
              <w:spacing w:after="0"/>
              <w:rPr>
                <w:sz w:val="20"/>
                <w:szCs w:val="20"/>
                <w:color w:val="auto"/>
              </w:rPr>
            </w:pPr>
            <w:r>
              <w:rPr>
                <w:rFonts w:ascii="Arial" w:cs="Arial" w:eastAsia="Arial" w:hAnsi="Arial"/>
                <w:sz w:val="18"/>
                <w:szCs w:val="18"/>
                <w:color w:val="auto"/>
              </w:rPr>
              <w:t>–  Schedule of Members</w:t>
            </w:r>
          </w:p>
        </w:tc>
      </w:tr>
      <w:tr>
        <w:trPr>
          <w:trHeight w:val="50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340" w:type="dxa"/>
            <w:vAlign w:val="bottom"/>
            <w:gridSpan w:val="2"/>
          </w:tcPr>
          <w:p>
            <w:pPr>
              <w:spacing w:after="0"/>
              <w:rPr>
                <w:sz w:val="24"/>
                <w:szCs w:val="24"/>
                <w:color w:val="auto"/>
              </w:rPr>
            </w:pPr>
          </w:p>
        </w:tc>
        <w:tc>
          <w:tcPr>
            <w:tcW w:w="4140" w:type="dxa"/>
            <w:vAlign w:val="bottom"/>
          </w:tcPr>
          <w:p>
            <w:pPr>
              <w:spacing w:after="0"/>
              <w:rPr>
                <w:sz w:val="24"/>
                <w:szCs w:val="24"/>
                <w:color w:val="auto"/>
              </w:rPr>
            </w:pPr>
          </w:p>
        </w:tc>
      </w:tr>
      <w:tr>
        <w:trPr>
          <w:trHeight w:val="330"/>
        </w:trPr>
        <w:tc>
          <w:tcPr>
            <w:tcW w:w="9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4140" w:type="dxa"/>
            <w:vAlign w:val="bottom"/>
          </w:tcPr>
          <w:p>
            <w:pPr>
              <w:ind w:left="120"/>
              <w:spacing w:after="0"/>
              <w:rPr>
                <w:sz w:val="20"/>
                <w:szCs w:val="20"/>
                <w:color w:val="auto"/>
              </w:rPr>
            </w:pPr>
            <w:r>
              <w:rPr>
                <w:rFonts w:ascii="Arial" w:cs="Arial" w:eastAsia="Arial" w:hAnsi="Arial"/>
                <w:sz w:val="18"/>
                <w:szCs w:val="18"/>
                <w:color w:val="auto"/>
              </w:rPr>
              <w:t>–  Form of Joinder Agreement</w:t>
            </w:r>
          </w:p>
        </w:tc>
      </w:tr>
      <w:tr>
        <w:trPr>
          <w:trHeight w:val="216"/>
        </w:trPr>
        <w:tc>
          <w:tcPr>
            <w:tcW w:w="98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4140" w:type="dxa"/>
            <w:vAlign w:val="bottom"/>
          </w:tcPr>
          <w:p>
            <w:pPr>
              <w:ind w:left="120"/>
              <w:spacing w:after="0"/>
              <w:rPr>
                <w:sz w:val="20"/>
                <w:szCs w:val="20"/>
                <w:color w:val="auto"/>
              </w:rPr>
            </w:pPr>
            <w:r>
              <w:rPr>
                <w:rFonts w:ascii="Arial" w:cs="Arial" w:eastAsia="Arial" w:hAnsi="Arial"/>
                <w:sz w:val="18"/>
                <w:szCs w:val="18"/>
                <w:color w:val="auto"/>
              </w:rPr>
              <w:t>–  Form of Agreement and Consent of Spouse</w:t>
            </w:r>
          </w:p>
        </w:tc>
      </w:tr>
      <w:tr>
        <w:trPr>
          <w:trHeight w:val="230"/>
        </w:trPr>
        <w:tc>
          <w:tcPr>
            <w:tcW w:w="98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4140" w:type="dxa"/>
            <w:vAlign w:val="bottom"/>
          </w:tcPr>
          <w:p>
            <w:pPr>
              <w:ind w:left="120"/>
              <w:spacing w:after="0"/>
              <w:rPr>
                <w:sz w:val="20"/>
                <w:szCs w:val="20"/>
                <w:color w:val="auto"/>
              </w:rPr>
            </w:pPr>
            <w:r>
              <w:rPr>
                <w:rFonts w:ascii="Arial" w:cs="Arial" w:eastAsia="Arial" w:hAnsi="Arial"/>
                <w:sz w:val="18"/>
                <w:szCs w:val="18"/>
                <w:color w:val="auto"/>
                <w:w w:val="91"/>
              </w:rPr>
              <w:t>–  Form of Spouse’s Confirmation of Separate Property</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right"/>
        <w:ind w:right="44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19"/>
          </w:cols>
          <w:pgMar w:left="440" w:top="257" w:right="1440" w:bottom="1440" w:gutter="0" w:footer="0" w:header="0"/>
        </w:sectPr>
      </w:pPr>
    </w:p>
    <w:bookmarkStart w:id="85" w:name="page86"/>
    <w:bookmarkEnd w:id="8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GOHEALTH HOLDINGS,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LIMITED LIABILITY COMPANY AGREEMENT</w:t>
      </w:r>
    </w:p>
    <w:p>
      <w:pPr>
        <w:spacing w:after="0" w:line="211" w:lineRule="exact"/>
        <w:rPr>
          <w:sz w:val="20"/>
          <w:szCs w:val="20"/>
          <w:color w:val="auto"/>
        </w:rPr>
      </w:pPr>
    </w:p>
    <w:p>
      <w:pPr>
        <w:jc w:val="both"/>
        <w:ind w:right="320" w:firstLine="440"/>
        <w:spacing w:after="0" w:line="301" w:lineRule="auto"/>
        <w:rPr>
          <w:sz w:val="20"/>
          <w:szCs w:val="20"/>
          <w:color w:val="auto"/>
        </w:rPr>
      </w:pPr>
      <w:r>
        <w:rPr>
          <w:rFonts w:ascii="Arial" w:cs="Arial" w:eastAsia="Arial" w:hAnsi="Arial"/>
          <w:sz w:val="16"/>
          <w:szCs w:val="16"/>
          <w:color w:val="auto"/>
        </w:rPr>
        <w:t>This SECOND AMENDED AND RESTATED LIMITED LIABILITY COMPANY AGREEMENT (as the same may be amended, restated, amended and restated, supplemented or otherwise modified from time to time,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of GoHealth Holdings, LLC a Delaware limited liability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dated as of July 15, 2020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is entered into by and among the Company, GoHealth,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as the managing member of the Company, and each of the other Members (as defined herein).</w:t>
      </w: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WHEREAS, unless the context otherwise requires, capitalized terms used herein have the respective meaning ascribed to them in </w:t>
      </w:r>
      <w:r>
        <w:rPr>
          <w:rFonts w:ascii="Arial" w:cs="Arial" w:eastAsia="Arial" w:hAnsi="Arial"/>
          <w:sz w:val="17"/>
          <w:szCs w:val="17"/>
          <w:u w:val="single" w:color="auto"/>
          <w:color w:val="auto"/>
        </w:rPr>
        <w:t>Article I</w:t>
      </w:r>
      <w:r>
        <w:rPr>
          <w:rFonts w:ascii="Arial" w:cs="Arial" w:eastAsia="Arial" w:hAnsi="Arial"/>
          <w:sz w:val="17"/>
          <w:szCs w:val="17"/>
          <w:color w:val="auto"/>
        </w:rPr>
        <w:t>;</w:t>
      </w:r>
    </w:p>
    <w:p>
      <w:pPr>
        <w:spacing w:after="0" w:line="23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WHEREAS, the Company was formed as a limited liability company with the name “Blizzard Parent, LLC”, pursuant to and in accordance with the Delaware Act by the filing of the Certificate with the Secretary of State of the State of Delaware pursuant to Section 18-201 of the Delaware Act on July 11, 2019;</w:t>
      </w:r>
    </w:p>
    <w:p>
      <w:pPr>
        <w:spacing w:after="0" w:line="184"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WHEREAS, prior to the IPO (as defined below), the Company was governed by that certain Amended and Restated Limited Liability Company Agreement of the Company, dated as of September 13, 2019 (as amended, restated, amended and restated, supplemented or otherwise modified from time to time, together with all schedules, exhibits and annexes thereto, the “</w:t>
      </w:r>
      <w:r>
        <w:rPr>
          <w:rFonts w:ascii="Arial" w:cs="Arial" w:eastAsia="Arial" w:hAnsi="Arial"/>
          <w:sz w:val="16"/>
          <w:szCs w:val="16"/>
          <w:b w:val="1"/>
          <w:bCs w:val="1"/>
          <w:i w:val="1"/>
          <w:iCs w:val="1"/>
          <w:color w:val="auto"/>
        </w:rPr>
        <w:t>Initial LLC Agreement</w:t>
      </w:r>
      <w:r>
        <w:rPr>
          <w:rFonts w:ascii="Arial" w:cs="Arial" w:eastAsia="Arial" w:hAnsi="Arial"/>
          <w:sz w:val="16"/>
          <w:szCs w:val="16"/>
          <w:color w:val="auto"/>
        </w:rPr>
        <w:t xml:space="preserve">”), which the parties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executed in their capacity as members (including pursuant to consents and joinders thereto) (collectively, the “</w:t>
      </w:r>
      <w:r>
        <w:rPr>
          <w:rFonts w:ascii="Arial" w:cs="Arial" w:eastAsia="Arial" w:hAnsi="Arial"/>
          <w:sz w:val="16"/>
          <w:szCs w:val="16"/>
          <w:b w:val="1"/>
          <w:bCs w:val="1"/>
          <w:i w:val="1"/>
          <w:iCs w:val="1"/>
          <w:color w:val="auto"/>
        </w:rPr>
        <w:t>Pre-IPO Members</w:t>
      </w:r>
      <w:r>
        <w:rPr>
          <w:rFonts w:ascii="Arial" w:cs="Arial" w:eastAsia="Arial" w:hAnsi="Arial"/>
          <w:sz w:val="16"/>
          <w:szCs w:val="16"/>
          <w:color w:val="auto"/>
        </w:rPr>
        <w:t>”);</w:t>
      </w:r>
    </w:p>
    <w:p>
      <w:pPr>
        <w:spacing w:after="0" w:line="15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WHEREAS, in connection with the IPO, the Company was a party to a series of reorganization transactions with the Corporation and various other parties pursuant to which, among other matters, the Corporation was admitted as a Pre-IPO Member;</w:t>
      </w:r>
    </w:p>
    <w:p>
      <w:pPr>
        <w:spacing w:after="0" w:line="170"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WHEREAS, in connection with the IPO, the Company, the Corporation and the Pre-IPO Members desire to convert all of the Original Units (as defined below) into Common Units (as defined below), or, with respect to the Senior Preferred Earnout Units (as defined in Section 4.1 of the Initial LLC Agreement) issued in May 2020, the right to receive cash at the closing of the IPO (collectively, the “</w:t>
      </w: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as provided herein;</w:t>
      </w:r>
    </w:p>
    <w:p>
      <w:pPr>
        <w:spacing w:after="0" w:line="149"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WHEREAS, except for the Over-Allotment Option (as defined below), the Corporation will sell shares of its Class A Common Stock to public investors in the IPO and will use the net proceeds received from the IPO (the “</w:t>
      </w:r>
      <w:r>
        <w:rPr>
          <w:rFonts w:ascii="Arial" w:cs="Arial" w:eastAsia="Arial" w:hAnsi="Arial"/>
          <w:sz w:val="18"/>
          <w:szCs w:val="18"/>
          <w:b w:val="1"/>
          <w:bCs w:val="1"/>
          <w:i w:val="1"/>
          <w:iCs w:val="1"/>
          <w:color w:val="auto"/>
        </w:rPr>
        <w:t>IPO Net Proceeds</w:t>
      </w:r>
      <w:r>
        <w:rPr>
          <w:rFonts w:ascii="Arial" w:cs="Arial" w:eastAsia="Arial" w:hAnsi="Arial"/>
          <w:sz w:val="18"/>
          <w:szCs w:val="18"/>
          <w:color w:val="auto"/>
        </w:rPr>
        <w:t>”) to purchase newly issued Common Units from the Company pursuant to the IPO Common Unit Subscription Agreement;</w:t>
      </w:r>
    </w:p>
    <w:p>
      <w:pPr>
        <w:sectPr>
          <w:pgSz w:w="11900" w:h="16838" w:orient="portrait"/>
          <w:cols w:equalWidth="0" w:num="1">
            <w:col w:w="10900"/>
          </w:cols>
          <w:pgMar w:left="440" w:top="270" w:right="559" w:bottom="1440" w:gutter="0" w:footer="0" w:header="0"/>
        </w:sectPr>
      </w:pPr>
    </w:p>
    <w:bookmarkStart w:id="86" w:name="page87"/>
    <w:bookmarkEnd w:id="86"/>
    <w:p>
      <w:pPr>
        <w:ind w:right="3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immediately following the consummation of the purchase contemplated by the IPO Common Unit Subscription Agreement, the Company shall use a portion of the IPO Net Proceeds to redeem certain Common Units held by the Members (the “</w:t>
      </w:r>
      <w:r>
        <w:rPr>
          <w:rFonts w:ascii="Arial" w:cs="Arial" w:eastAsia="Arial" w:hAnsi="Arial"/>
          <w:sz w:val="16"/>
          <w:szCs w:val="16"/>
          <w:b w:val="1"/>
          <w:bCs w:val="1"/>
          <w:i w:val="1"/>
          <w:iCs w:val="1"/>
          <w:color w:val="auto"/>
        </w:rPr>
        <w:t>IPO Unit Redemption</w:t>
      </w:r>
      <w:r>
        <w:rPr>
          <w:rFonts w:ascii="Arial" w:cs="Arial" w:eastAsia="Arial" w:hAnsi="Arial"/>
          <w:sz w:val="16"/>
          <w:szCs w:val="16"/>
          <w:color w:val="auto"/>
        </w:rPr>
        <w:t>”);</w:t>
      </w:r>
    </w:p>
    <w:p>
      <w:pPr>
        <w:spacing w:after="0" w:line="12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WHEREAS, the Corporation may issue additional shares of Class A Common Stock in connection with the IPO as a result of the exercise by the underwriters of their over-allotment option (the “</w:t>
      </w:r>
      <w:r>
        <w:rPr>
          <w:rFonts w:ascii="Arial" w:cs="Arial" w:eastAsia="Arial" w:hAnsi="Arial"/>
          <w:sz w:val="18"/>
          <w:szCs w:val="18"/>
          <w:b w:val="1"/>
          <w:bCs w:val="1"/>
          <w:i w:val="1"/>
          <w:iCs w:val="1"/>
          <w:color w:val="auto"/>
        </w:rPr>
        <w:t>Over-Allotment Option</w:t>
      </w:r>
      <w:r>
        <w:rPr>
          <w:rFonts w:ascii="Arial" w:cs="Arial" w:eastAsia="Arial" w:hAnsi="Arial"/>
          <w:sz w:val="18"/>
          <w:szCs w:val="18"/>
          <w:color w:val="auto"/>
        </w:rPr>
        <w:t>”) and, if the Over-Allotment Option is exercised in whole or in part, any additional net proceeds (the “</w:t>
      </w:r>
      <w:r>
        <w:rPr>
          <w:rFonts w:ascii="Arial" w:cs="Arial" w:eastAsia="Arial" w:hAnsi="Arial"/>
          <w:sz w:val="18"/>
          <w:szCs w:val="18"/>
          <w:b w:val="1"/>
          <w:bCs w:val="1"/>
          <w:i w:val="1"/>
          <w:iCs w:val="1"/>
          <w:color w:val="auto"/>
        </w:rPr>
        <w:t>Over-Allotment Option Net Proceeds</w:t>
      </w:r>
      <w:r>
        <w:rPr>
          <w:rFonts w:ascii="Arial" w:cs="Arial" w:eastAsia="Arial" w:hAnsi="Arial"/>
          <w:sz w:val="18"/>
          <w:szCs w:val="18"/>
          <w:color w:val="auto"/>
        </w:rPr>
        <w:t>”) shall be used by the Corporation to purchase additional newly issued Common Units from the Company pursuant to the IPO Common Unit Subscription Agreement; and</w:t>
      </w:r>
    </w:p>
    <w:p>
      <w:pPr>
        <w:spacing w:after="0" w:line="187"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WHEREAS, in connection with the foregoing matters, the Company and the Members desire to continue the Company without dissolution and amend and restate the Initial LLC Agreement in its entirety as of the Effective Date to reflect, among other things, (a) the Recapitalization, (b) the addition of the Corporation as a Member and its designation as sole Manager of the Company and (c) the other rights and obligations of the Members, the Company, the Manager and the Corporation, in each case, as provided and agreed upon in the terms of this Agreement as of the Effective Date, at which time the Initial LLC Agreement shall be superseded entirely by this Agreement and shall be of no further force or effect.</w:t>
      </w:r>
    </w:p>
    <w:p>
      <w:pPr>
        <w:spacing w:after="0" w:line="161" w:lineRule="exact"/>
        <w:rPr>
          <w:sz w:val="20"/>
          <w:szCs w:val="20"/>
          <w:color w:val="auto"/>
        </w:rPr>
      </w:pPr>
    </w:p>
    <w:p>
      <w:pPr>
        <w:ind w:right="440" w:firstLine="440"/>
        <w:spacing w:after="0" w:line="286" w:lineRule="auto"/>
        <w:rPr>
          <w:sz w:val="20"/>
          <w:szCs w:val="20"/>
          <w:color w:val="auto"/>
        </w:rPr>
      </w:pPr>
      <w:r>
        <w:rPr>
          <w:rFonts w:ascii="Arial" w:cs="Arial" w:eastAsia="Arial" w:hAnsi="Arial"/>
          <w:sz w:val="17"/>
          <w:szCs w:val="17"/>
          <w:color w:val="auto"/>
        </w:rPr>
        <w:t>NOW, THEREFORE, in consideration of the mutual covenants contained herein and other good and valuable consideration, the receipt and sufficiency of which are hereby acknowledged, the Initial LLC Agreement is hereby amended and restated in its entirety and the Company, the Corporation and the other Members, each intending to be legally bound, each hereby agrees as follows:</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definitions shall be applied to the terms used in this Agreement for all purposes, unless otherwise clearly indicated to the contrary.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Capital Account Deficit</w:t>
      </w:r>
      <w:r>
        <w:rPr>
          <w:rFonts w:ascii="Arial" w:cs="Arial" w:eastAsia="Arial" w:hAnsi="Arial"/>
          <w:sz w:val="17"/>
          <w:szCs w:val="17"/>
          <w:color w:val="auto"/>
        </w:rPr>
        <w:t>” means, with respect to the Capital Account of any Member as of the end of any Taxable Year, the amount by which the balance in such Capital Account is less than zero. For this purpose, such Member’s Capital Account balance shall be:</w:t>
      </w:r>
    </w:p>
    <w:p>
      <w:pPr>
        <w:spacing w:after="0" w:line="52"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reduced for any items described in Treasury Regulation Section 1.704- 1(b)(2)(ii)(d)(4), (5), and (6); and</w:t>
      </w:r>
    </w:p>
    <w:p>
      <w:pPr>
        <w:spacing w:after="0" w:line="130" w:lineRule="exact"/>
        <w:rPr>
          <w:rFonts w:ascii="Arial" w:cs="Arial" w:eastAsia="Arial" w:hAnsi="Arial"/>
          <w:sz w:val="18"/>
          <w:szCs w:val="18"/>
          <w:color w:val="auto"/>
        </w:rPr>
      </w:pPr>
    </w:p>
    <w:p>
      <w:pPr>
        <w:jc w:val="both"/>
        <w:ind w:left="960" w:hanging="532"/>
        <w:spacing w:after="0" w:line="263"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increased for any amount such Member is obligated to contribute or is treated as being obligated to contribute to the Company pursuant to Treasury Regulation Section 1.704-1(b)(2)(ii)(c) (relating to partner liabilities to a partnership) or 1.704-2(g)(1) and 1.704-2(i) (relating to minimum gain).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Admission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87" w:name="page88"/>
    <w:bookmarkEnd w:id="87"/>
    <w:p>
      <w:pPr>
        <w:ind w:right="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with a correlative meaning, “</w:t>
      </w:r>
      <w:r>
        <w:rPr>
          <w:rFonts w:ascii="Arial" w:cs="Arial" w:eastAsia="Arial" w:hAnsi="Arial"/>
          <w:sz w:val="16"/>
          <w:szCs w:val="16"/>
          <w:b w:val="1"/>
          <w:bCs w:val="1"/>
          <w:i w:val="1"/>
          <w:iCs w:val="1"/>
          <w:color w:val="auto"/>
        </w:rPr>
        <w:t>Affiliated</w:t>
      </w:r>
      <w:r>
        <w:rPr>
          <w:rFonts w:ascii="Arial" w:cs="Arial" w:eastAsia="Arial" w:hAnsi="Arial"/>
          <w:sz w:val="16"/>
          <w:szCs w:val="16"/>
          <w:color w:val="auto"/>
        </w:rPr>
        <w:t>”) means, with respect to a specified Person, each other Person that directly, or indirectly through one or more intermediaries, controls or is controlled by, or is under common control with, the Person specified. As used in this definition, “control” (including with correlative meanings, “controlled by” and “under common control with”) means possession, directly or indirectly, of power to direct or cause the direction of management or policies (whether through ownership of voting securities or by contract or other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means a Person to whom a Unit has been transferred but who has not become a Member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Assumed Tax Liability</w:t>
      </w:r>
      <w:r>
        <w:rPr>
          <w:rFonts w:ascii="Arial" w:cs="Arial" w:eastAsia="Arial" w:hAnsi="Arial"/>
          <w:sz w:val="17"/>
          <w:szCs w:val="17"/>
          <w:color w:val="auto"/>
        </w:rPr>
        <w:t xml:space="preserve">” means, with respect to any Member, an amount equal to the excess of (i) the product of (A) the Distribution Tax Rate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(B) the estimated or actual cumulative taxable income or gain of the Company, as determined for federal income tax purposes, allocated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Member for full or partial Fiscal Years commencing on or after January 1, 2020, </w:t>
      </w:r>
      <w:r>
        <w:rPr>
          <w:rFonts w:ascii="Arial" w:cs="Arial" w:eastAsia="Arial" w:hAnsi="Arial"/>
          <w:sz w:val="17"/>
          <w:szCs w:val="17"/>
          <w:i w:val="1"/>
          <w:iCs w:val="1"/>
          <w:color w:val="auto"/>
        </w:rPr>
        <w:t>less</w:t>
      </w:r>
      <w:r>
        <w:rPr>
          <w:rFonts w:ascii="Arial" w:cs="Arial" w:eastAsia="Arial" w:hAnsi="Arial"/>
          <w:sz w:val="17"/>
          <w:szCs w:val="17"/>
          <w:color w:val="auto"/>
        </w:rPr>
        <w:t xml:space="preserve"> prior losses of the Company allocated to such Member for full or partial Fiscal Years commencing on or after January 1, 2020, in each case, as determined by the Manager and to the extent such prior losses are available to reduce such income </w:t>
      </w:r>
      <w:r>
        <w:rPr>
          <w:rFonts w:ascii="Arial" w:cs="Arial" w:eastAsia="Arial" w:hAnsi="Arial"/>
          <w:sz w:val="17"/>
          <w:szCs w:val="17"/>
          <w:i w:val="1"/>
          <w:iCs w:val="1"/>
          <w:color w:val="auto"/>
        </w:rPr>
        <w:t>over</w:t>
      </w:r>
      <w:r>
        <w:rPr>
          <w:rFonts w:ascii="Arial" w:cs="Arial" w:eastAsia="Arial" w:hAnsi="Arial"/>
          <w:sz w:val="17"/>
          <w:szCs w:val="17"/>
          <w:color w:val="auto"/>
        </w:rPr>
        <w:t xml:space="preserve"> (ii) the sum of (A) the cumulative Tax Distributions made to such Member after the closing date of the IPO pursuant to </w:t>
      </w:r>
      <w:r>
        <w:rPr>
          <w:rFonts w:ascii="Arial" w:cs="Arial" w:eastAsia="Arial" w:hAnsi="Arial"/>
          <w:sz w:val="17"/>
          <w:szCs w:val="17"/>
          <w:u w:val="single" w:color="auto"/>
          <w:color w:val="auto"/>
        </w:rPr>
        <w:t>Sections 4.01(b)(i)</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4.01(b)(iii)</w:t>
      </w:r>
      <w:r>
        <w:rPr>
          <w:rFonts w:ascii="Arial" w:cs="Arial" w:eastAsia="Arial" w:hAnsi="Arial"/>
          <w:sz w:val="17"/>
          <w:szCs w:val="17"/>
          <w:color w:val="auto"/>
        </w:rPr>
        <w:t xml:space="preserve"> and (B) distributions made to such Member (or such Member’s predecessor) pursuant to Section 5.3 of the Initial LLC Agreement with respect to taxable income or gain of the Company allocated for the Fiscal Year, or portion thereof, commencing on January 1, 2020, including such distributions made pursuant to </w:t>
      </w:r>
      <w:r>
        <w:rPr>
          <w:rFonts w:ascii="Arial" w:cs="Arial" w:eastAsia="Arial" w:hAnsi="Arial"/>
          <w:sz w:val="17"/>
          <w:szCs w:val="17"/>
          <w:u w:val="single" w:color="auto"/>
          <w:color w:val="auto"/>
        </w:rPr>
        <w:t>Section 4.01(b)(v)</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Corporation, such Assumed Tax Liability (x) shall be computed without regard to any increases to the tax basis of the Company’s property pursuant to Sections 734(b) or 743(b) of the Code and (y) to the extent permitted under the Credit Agreements, shall in no event be less than an amount that will enable the Corporation to meet both its tax obligations and its obligations pursuant to the Tax Receivable Agreement for the relevant Taxable Year;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each Member, and for the avoidance of doubt, such Assumed Tax Liability shall take into account any Code Section 704(c) allocations (including “reverse” 704(c) allocations) to the Member.</w:t>
      </w:r>
    </w:p>
    <w:p>
      <w:pPr>
        <w:spacing w:after="0" w:line="18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xml:space="preserve">” means, on any date, a variable rate per annum equal to the rate of interest most recently published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the “prime rate” at large U.S. money center banks.</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Black-Out Period</w:t>
      </w:r>
      <w:r>
        <w:rPr>
          <w:rFonts w:ascii="Arial" w:cs="Arial" w:eastAsia="Arial" w:hAnsi="Arial"/>
          <w:sz w:val="16"/>
          <w:szCs w:val="16"/>
          <w:color w:val="auto"/>
        </w:rPr>
        <w:t>” 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 For the avoidance of doubt, such policies shall not impose restrictions on trading by passive institutional investors.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8" w:name="page89"/>
    <w:bookmarkEnd w:id="88"/>
    <w:p>
      <w:pPr>
        <w:ind w:left="4" w:right="1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Book Value</w:t>
      </w:r>
      <w:r>
        <w:rPr>
          <w:rFonts w:ascii="Arial" w:cs="Arial" w:eastAsia="Arial" w:hAnsi="Arial"/>
          <w:sz w:val="17"/>
          <w:szCs w:val="17"/>
          <w:color w:val="auto"/>
        </w:rPr>
        <w:t>” means, with respect to any property of the Company, the Company’s adjusted basis for U.S. federal income tax purposes, adjusted from time to time to reflect the adjustments required or permitted by Treasury Regulation Section 1.704-1(b)(2)(iv)(d)-(g).</w:t>
      </w:r>
    </w:p>
    <w:p>
      <w:pPr>
        <w:spacing w:after="0" w:line="146"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day on which banks located in New York City, New York are authorized or required by Law to close.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capital account maintained for a Member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Contribution</w:t>
      </w:r>
      <w:r>
        <w:rPr>
          <w:rFonts w:ascii="Arial" w:cs="Arial" w:eastAsia="Arial" w:hAnsi="Arial"/>
          <w:sz w:val="16"/>
          <w:szCs w:val="16"/>
          <w:color w:val="auto"/>
        </w:rPr>
        <w:t xml:space="preserve">” means, with respect to any Member, the amount of any cash, cash equivalents, promissory obligations or the Fair Market Value of other property that such Member (or such Member’s predecessor) contributes (or is deemed to contribute) to the Company pursuant to </w:t>
      </w:r>
      <w:r>
        <w:rPr>
          <w:rFonts w:ascii="Arial" w:cs="Arial" w:eastAsia="Arial" w:hAnsi="Arial"/>
          <w:sz w:val="16"/>
          <w:szCs w:val="16"/>
          <w:u w:val="single" w:color="auto"/>
          <w:color w:val="auto"/>
        </w:rPr>
        <w:t>Article</w:t>
      </w:r>
    </w:p>
    <w:p>
      <w:pPr>
        <w:ind w:left="224" w:hanging="224"/>
        <w:spacing w:after="0"/>
        <w:tabs>
          <w:tab w:leader="none" w:pos="224" w:val="left"/>
        </w:tabs>
        <w:numPr>
          <w:ilvl w:val="0"/>
          <w:numId w:val="77"/>
        </w:numPr>
        <w:rPr>
          <w:rFonts w:ascii="Arial" w:cs="Arial" w:eastAsia="Arial" w:hAnsi="Arial"/>
          <w:sz w:val="18"/>
          <w:szCs w:val="18"/>
          <w:u w:val="single" w:color="auto"/>
          <w:color w:val="auto"/>
        </w:rPr>
      </w:pPr>
      <w:r>
        <w:rPr>
          <w:rFonts w:ascii="Arial" w:cs="Arial" w:eastAsia="Arial" w:hAnsi="Arial"/>
          <w:sz w:val="18"/>
          <w:szCs w:val="18"/>
          <w:color w:val="auto"/>
        </w:rPr>
        <w:t>hereof.</w:t>
      </w:r>
    </w:p>
    <w:p>
      <w:pPr>
        <w:spacing w:after="0" w:line="211"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Settlement</w:t>
      </w:r>
      <w:r>
        <w:rPr>
          <w:rFonts w:ascii="Arial" w:cs="Arial" w:eastAsia="Arial" w:hAnsi="Arial"/>
          <w:sz w:val="18"/>
          <w:szCs w:val="18"/>
          <w:color w:val="auto"/>
        </w:rPr>
        <w:t>” means immediately available funds in U.S. dollars in an amount equal to the Redeemed Units Equivalent; provided that such funds are (i) in the case of a Redemption occurring in connection with the closing of the IPO, funds that are received from the IPO and (ii) in any other case, funds that are received from a Secondary Offering.</w:t>
      </w:r>
    </w:p>
    <w:p>
      <w:pPr>
        <w:spacing w:after="0" w:line="184"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Company’s Certificate of Formation as filed with the Secretary of State of the State of Delaware, as amended or amended and restated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444" w:firstLine="419"/>
        <w:spacing w:after="0" w:line="255" w:lineRule="auto"/>
        <w:tabs>
          <w:tab w:leader="none" w:pos="11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or “group” (within the meaning of Sections 13(d) and 14(d) of the Exchange Act, but excluding any employee benefit plan of such person and its subsidiaries, and any person or entity acting in its capacity as trustee, agent or other fiduciary or administrator of any such plan, and excluding the Permitted Transferees)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fifty percent (50%) of the voting power of all of the outstanding shares of capital stock of the Corporation entitled to vote;</w:t>
      </w:r>
    </w:p>
    <w:p>
      <w:pPr>
        <w:spacing w:after="0" w:line="84" w:lineRule="exact"/>
        <w:rPr>
          <w:rFonts w:ascii="Arial" w:cs="Arial" w:eastAsia="Arial" w:hAnsi="Arial"/>
          <w:sz w:val="18"/>
          <w:szCs w:val="18"/>
          <w:color w:val="auto"/>
        </w:rPr>
      </w:pPr>
    </w:p>
    <w:p>
      <w:pPr>
        <w:jc w:val="both"/>
        <w:ind w:left="444" w:right="20" w:firstLine="419"/>
        <w:spacing w:after="0" w:line="286" w:lineRule="auto"/>
        <w:tabs>
          <w:tab w:leader="none" w:pos="1122"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stockholders of the Corporation approve a plan of complete liquidation or dissolution of the Corporation or there is consummated an agreement or series of related agreements for the sale or other disposition, directly or indirectly, by the Corporation of all or substantially all of the Corporation’s assets (including a sale of all or substantially all of the assets of the Company);</w:t>
      </w:r>
    </w:p>
    <w:p>
      <w:pPr>
        <w:spacing w:after="0" w:line="57" w:lineRule="exact"/>
        <w:rPr>
          <w:rFonts w:ascii="Arial" w:cs="Arial" w:eastAsia="Arial" w:hAnsi="Arial"/>
          <w:sz w:val="17"/>
          <w:szCs w:val="17"/>
          <w:color w:val="auto"/>
        </w:rPr>
      </w:pPr>
    </w:p>
    <w:p>
      <w:pPr>
        <w:ind w:left="444" w:right="100" w:firstLine="419"/>
        <w:spacing w:after="0" w:line="301" w:lineRule="auto"/>
        <w:tabs>
          <w:tab w:leader="none" w:pos="112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Corporation with any other corporation or entity, and, immediately after the consummation of such merger or consolidation, the voting securities of the Corporation immediately prior to such merger or consolidation do not continue to represent, or are not converted into, more than fifty percent (50%) of the combined voting power of the then outstanding voting securities of the Person resulting from such merger or consolidation or, if the surviving company is a Subsidiary, the ultimate parent thereof; or</w:t>
      </w:r>
    </w:p>
    <w:p>
      <w:pPr>
        <w:spacing w:after="0" w:line="157" w:lineRule="exact"/>
        <w:rPr>
          <w:rFonts w:ascii="Arial" w:cs="Arial" w:eastAsia="Arial" w:hAnsi="Arial"/>
          <w:sz w:val="16"/>
          <w:szCs w:val="16"/>
          <w:color w:val="auto"/>
        </w:rPr>
      </w:pPr>
    </w:p>
    <w:p>
      <w:pPr>
        <w:ind w:left="1124" w:hanging="261"/>
        <w:spacing w:after="0"/>
        <w:tabs>
          <w:tab w:leader="none" w:pos="11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Corporation ceases to be the sole Manager of the Company.</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89" w:name="page90"/>
    <w:bookmarkEnd w:id="89"/>
    <w:p>
      <w:pPr>
        <w:ind w:left="4"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 “Change of Control” shall not be deemed to have occurred by virtue of the consummation of any transaction or series of integrated transactions immediately following which the beneficial holders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10.09(a)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 Transaction</w:t>
      </w:r>
      <w:r>
        <w:rPr>
          <w:rFonts w:ascii="Arial" w:cs="Arial" w:eastAsia="Arial" w:hAnsi="Arial"/>
          <w:sz w:val="16"/>
          <w:szCs w:val="16"/>
          <w:color w:val="auto"/>
        </w:rPr>
        <w:t>” means any Change of Control that was approved by the Corporate Board prior to such Change of Control.</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shares of Class A common stock, par value $0.0001 per share, of the 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shares of Class B Common Stock, par value $0.0001 per share, of the Corporation.</w:t>
      </w:r>
    </w:p>
    <w:p>
      <w:pPr>
        <w:spacing w:after="0" w:line="225" w:lineRule="exact"/>
        <w:rPr>
          <w:sz w:val="20"/>
          <w:szCs w:val="20"/>
          <w:color w:val="auto"/>
        </w:rPr>
      </w:pPr>
    </w:p>
    <w:p>
      <w:pPr>
        <w:ind w:left="4"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Unless the context requires otherwise, any reference herein to a specific section of the Code shall be deemed to include any corresponding provisions of future Law as in effect for the relevant taxable period.</w:t>
      </w:r>
    </w:p>
    <w:p>
      <w:pPr>
        <w:spacing w:after="0" w:line="12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w:t>
      </w:r>
      <w:r>
        <w:rPr>
          <w:rFonts w:ascii="Arial" w:cs="Arial" w:eastAsia="Arial" w:hAnsi="Arial"/>
          <w:sz w:val="18"/>
          <w:szCs w:val="18"/>
          <w:color w:val="auto"/>
        </w:rPr>
        <w:t>” means a Unit designated as a “Common Unit” and having the rights and obligations specified with respect to the Common Units in this Agreement.</w:t>
      </w:r>
    </w:p>
    <w:p>
      <w:pPr>
        <w:spacing w:after="0" w:line="170"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Unit Redemption Price</w:t>
      </w:r>
      <w:r>
        <w:rPr>
          <w:rFonts w:ascii="Arial" w:cs="Arial" w:eastAsia="Arial" w:hAnsi="Arial"/>
          <w:sz w:val="16"/>
          <w:szCs w:val="16"/>
          <w:color w:val="auto"/>
        </w:rPr>
        <w:t>” means, with respect to any Redemption, the arithmetic average of the volume weighted average prices for a share of Class A Common Stock (or any class of stock into which it has been converted) on the Stock Exchange, or any other exchange or automated or electronic quotation system on which the Class A Common Stock trades, as reported by Bloomberg, L.P., or its successor, for each of the twenty</w:t>
      </w:r>
    </w:p>
    <w:p>
      <w:pPr>
        <w:spacing w:after="0" w:line="2" w:lineRule="exact"/>
        <w:rPr>
          <w:sz w:val="20"/>
          <w:szCs w:val="20"/>
          <w:color w:val="auto"/>
        </w:rPr>
      </w:pPr>
    </w:p>
    <w:p>
      <w:pPr>
        <w:ind w:left="4" w:right="180" w:hanging="4"/>
        <w:spacing w:after="0" w:line="288" w:lineRule="auto"/>
        <w:tabs>
          <w:tab w:leader="none" w:pos="3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consecutive full Trading Days ending on and including the last full Trading Day immediately prior to the applicable Redemption Date, subject to appropriate and equitable adjustment for any stock splits, reverse splits, stock dividends or similar events affecting the Class A Common Stock. Notwithstanding the foregoing, with respect to any Redemption that occurs in connection with the closing of the IPO, the Common Unit Redemption Price shall be equal to the price per share for which shares of Class A Common Stock are sold to the public in the IPO after taking into account the Discount (as defined below). If the Class A Common Stock no longer trades on the Stock Exchange or any other securities exchange or automated or electronic quotation system as of any particular Redemption Date, then the Manager (through at least two (2) of its independent directors (within the meaning of the rules of the Stock Exchange), who are disinterested) shall determine the Common Unit Redemption Price in good faith.</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Common Unitholder</w:t>
      </w:r>
      <w:r>
        <w:rPr>
          <w:rFonts w:ascii="Arial" w:cs="Arial" w:eastAsia="Arial" w:hAnsi="Arial"/>
          <w:sz w:val="18"/>
          <w:szCs w:val="18"/>
          <w:color w:val="auto"/>
        </w:rPr>
        <w:t>” means a Member who is the registered holder of Common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15.02(a)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Incentive Award Plan</w:t>
      </w:r>
      <w:r>
        <w:rPr>
          <w:rFonts w:ascii="Arial" w:cs="Arial" w:eastAsia="Arial" w:hAnsi="Arial"/>
          <w:sz w:val="18"/>
          <w:szCs w:val="18"/>
          <w:color w:val="auto"/>
        </w:rPr>
        <w:t>” means the Incentive Award Plan of the Corporation, as the same may be amended, restated, amended and restated, supplemented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has the meaning set forth in the recitals to this Agreement, together with its successors and assigns.</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Corresponding Rights</w:t>
      </w:r>
      <w:r>
        <w:rPr>
          <w:rFonts w:ascii="Arial" w:cs="Arial" w:eastAsia="Arial" w:hAnsi="Arial"/>
          <w:sz w:val="18"/>
          <w:szCs w:val="18"/>
          <w:color w:val="auto"/>
        </w:rPr>
        <w:t>” means any rights issued with respect to a share of Class A Common Stock or Class B Common Stock pursuant to a “poison pill” or similar stockholder rights plan approved by the Corporate Board.</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 Agreements</w:t>
      </w:r>
      <w:r>
        <w:rPr>
          <w:rFonts w:ascii="Arial" w:cs="Arial" w:eastAsia="Arial" w:hAnsi="Arial"/>
          <w:sz w:val="16"/>
          <w:szCs w:val="16"/>
          <w:color w:val="auto"/>
        </w:rPr>
        <w:t>” means any promissory note, mortgage, loan agreement, indenture or similar instrument or agreement to which the Company or any of its Subsidiaries is or becomes a borrower,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the Company or any of its Subsidiaries owes such obligation is not an Affiliate of the Company.</w:t>
      </w:r>
    </w:p>
    <w:p>
      <w:pPr>
        <w:spacing w:after="0" w:line="15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xml:space="preserve">” means the Delaware Limited Liability Company Act, 6 Del. C. § 18-101, </w:t>
      </w:r>
      <w:r>
        <w:rPr>
          <w:rFonts w:ascii="Arial" w:cs="Arial" w:eastAsia="Arial" w:hAnsi="Arial"/>
          <w:sz w:val="18"/>
          <w:szCs w:val="18"/>
          <w:i w:val="1"/>
          <w:iCs w:val="1"/>
          <w:color w:val="auto"/>
        </w:rPr>
        <w:t>et seq.</w:t>
      </w:r>
      <w:r>
        <w:rPr>
          <w:rFonts w:ascii="Arial" w:cs="Arial" w:eastAsia="Arial" w:hAnsi="Arial"/>
          <w:sz w:val="18"/>
          <w:szCs w:val="18"/>
          <w:color w:val="auto"/>
        </w:rPr>
        <w:t>, as it may be amended from time to time, and any successor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Distributable Cash</w:t>
      </w:r>
      <w:r>
        <w:rPr>
          <w:rFonts w:ascii="Arial" w:cs="Arial" w:eastAsia="Arial" w:hAnsi="Arial"/>
          <w:sz w:val="18"/>
          <w:szCs w:val="18"/>
          <w:color w:val="auto"/>
        </w:rPr>
        <w:t xml:space="preserve">” means, as of any relevant date on which a determination is being made by the Manager regarding a potential distribution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the amount of cash that could be distributed by the Company for such purposes in accordance with the Credit Agreements (and without otherwise violating any applicable provisions of any of the Credit Agreements).</w:t>
      </w:r>
    </w:p>
    <w:p>
      <w:pPr>
        <w:spacing w:after="0" w:line="184"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(and, with a correlative meaning, “</w:t>
      </w:r>
      <w:r>
        <w:rPr>
          <w:rFonts w:ascii="Arial" w:cs="Arial" w:eastAsia="Arial" w:hAnsi="Arial"/>
          <w:sz w:val="17"/>
          <w:szCs w:val="17"/>
          <w:b w:val="1"/>
          <w:bCs w:val="1"/>
          <w:i w:val="1"/>
          <w:iCs w:val="1"/>
          <w:color w:val="auto"/>
        </w:rPr>
        <w:t>Distribute</w:t>
      </w:r>
      <w:r>
        <w:rPr>
          <w:rFonts w:ascii="Arial" w:cs="Arial" w:eastAsia="Arial" w:hAnsi="Arial"/>
          <w:sz w:val="17"/>
          <w:szCs w:val="17"/>
          <w:color w:val="auto"/>
        </w:rPr>
        <w:t xml:space="preserve">”) means each distribution made by the Company to a Member with respect to such Member’s Units, whether in cash, property or securities of the Company and whether by liquidating distribution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none of the following shall be a Distribution: (a) any recapitalization that does not result in the distribution of cash or property to Members or any exchange of securities of the Company, and any subdivision (by Unit split or otherwise) or any combination (by reverse Unit split or otherwise) of any outstanding Units or (b) any other payment made by the Company to a Member that is not properly treated as a “distribution” for purposes of Sections 731, 732, or 733 or other applicable provisions of the Code.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91" w:name="page92"/>
    <w:bookmarkEnd w:id="91"/>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i w:val="1"/>
          <w:iCs w:val="1"/>
          <w:color w:val="auto"/>
        </w:rPr>
        <w:t>Distribution Tax Rate</w:t>
      </w:r>
      <w:r>
        <w:rPr>
          <w:rFonts w:ascii="Arial" w:cs="Arial" w:eastAsia="Arial" w:hAnsi="Arial"/>
          <w:sz w:val="17"/>
          <w:szCs w:val="17"/>
          <w:color w:val="auto"/>
        </w:rPr>
        <w:t>” means a rate equal to the highest effective marginal combined federal, state and local income tax rate for a Fiscal Year applicable to corporate or individual taxpayers (whichever is higher) that may potentially apply to any Member for such Fiscal Year, taking into account the character of the relevant tax items (</w:t>
      </w:r>
      <w:r>
        <w:rPr>
          <w:rFonts w:ascii="Arial" w:cs="Arial" w:eastAsia="Arial" w:hAnsi="Arial"/>
          <w:sz w:val="17"/>
          <w:szCs w:val="17"/>
          <w:i w:val="1"/>
          <w:iCs w:val="1"/>
          <w:color w:val="auto"/>
        </w:rPr>
        <w:t>e.g.</w:t>
      </w:r>
      <w:r>
        <w:rPr>
          <w:rFonts w:ascii="Arial" w:cs="Arial" w:eastAsia="Arial" w:hAnsi="Arial"/>
          <w:sz w:val="17"/>
          <w:szCs w:val="17"/>
          <w:color w:val="auto"/>
        </w:rPr>
        <w:t>, ordinary or capital) and the deductibility of state and local income taxes for federal income tax purposes (but only to the extent such taxes are deductible under the Code), as reasonably determined by the Manager.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any stock or equity purchase plan, restricted stock or equity plan or other similar equity compensation plan now or hereafter adopted by the Company or the Corporation.</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Securities</w:t>
      </w:r>
      <w:r>
        <w:rPr>
          <w:rFonts w:ascii="Arial" w:cs="Arial" w:eastAsia="Arial" w:hAnsi="Arial"/>
          <w:sz w:val="17"/>
          <w:szCs w:val="17"/>
          <w:color w:val="auto"/>
        </w:rPr>
        <w:t>” means (a) Units or other equity interests in the Company or any Subsidiary of the Company (including other classes or groups thereof having such relative rights, powers and duties as may from time to time be established by the Manager pursuant to the provisions of this Agreement, including rights, powers and/or duties senior to existing classes and groups of Units and other equity interests in the Company or any Subsidiary of the Company), (b) obligations, evidences of indebtedness or other securities or interests convertible or exchangeable into Units or other equity interests in the Company or any Subsidiary of the Company, and (c) warrants, options or other rights to purchase or otherwise acquire Units or other equity interests in the Company or any Subsidiary of the Company.</w:t>
      </w:r>
    </w:p>
    <w:p>
      <w:pPr>
        <w:spacing w:after="0" w:line="178"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 means the bankruptcy or dissolution of a Member or the occurrence of any other event that terminates the continued membership of a Member in the Company. “Event of Withdrawal” shall not include an event that (a) terminates the existence of a Member for income tax purposes (including, without limitation, (i) a change in entity classification of a Member under Treasury Regulations Section 301.7701-3, (ii) a sale of assets by, or liquidation of, a Member pursuant to an election under Code Sections 336 or 338, or (iii)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Units of such trust that is a Member).</w:t>
      </w:r>
    </w:p>
    <w:p>
      <w:pPr>
        <w:spacing w:after="0" w:line="19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any applicable rules and regulations promulgated thereunder, and any successor to such statute, rules or regulations.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11.03(b)</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92" w:name="page93"/>
    <w:bookmarkEnd w:id="92"/>
    <w:p>
      <w:pPr>
        <w:ind w:left="4"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of a specific asset of the Company will mean the amount which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w:t>
      </w:r>
      <w:r>
        <w:rPr>
          <w:rFonts w:ascii="Arial" w:cs="Arial" w:eastAsia="Arial" w:hAnsi="Arial"/>
          <w:sz w:val="17"/>
          <w:szCs w:val="17"/>
          <w:u w:val="single" w:color="auto"/>
          <w:color w:val="auto"/>
        </w:rPr>
        <w:t>Section 14.02</w:t>
      </w:r>
      <w:r>
        <w:rPr>
          <w:rFonts w:ascii="Arial" w:cs="Arial" w:eastAsia="Arial" w:hAnsi="Arial"/>
          <w:sz w:val="17"/>
          <w:szCs w:val="17"/>
          <w:color w:val="auto"/>
        </w:rPr>
        <w:t>, the Liquidators) in its good faith judgment using all factors, information and data it deems to be pertinent.</w:t>
      </w:r>
    </w:p>
    <w:p>
      <w:pPr>
        <w:spacing w:after="0" w:line="176"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Period</w:t>
      </w:r>
      <w:r>
        <w:rPr>
          <w:rFonts w:ascii="Arial" w:cs="Arial" w:eastAsia="Arial" w:hAnsi="Arial"/>
          <w:sz w:val="18"/>
          <w:szCs w:val="18"/>
          <w:color w:val="auto"/>
        </w:rPr>
        <w:t>” means any interim accounting period within a Taxable Year established by the Manager and which is permitted or required by Section 706 of the Code.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the Company’s annual accounting period established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Entity</w:t>
      </w:r>
      <w:r>
        <w:rPr>
          <w:rFonts w:ascii="Arial" w:cs="Arial" w:eastAsia="Arial" w:hAnsi="Arial"/>
          <w:sz w:val="16"/>
          <w:szCs w:val="16"/>
          <w:color w:val="auto"/>
        </w:rPr>
        <w:t>” means (a) the United States of America, (b) any other sovereign nation, (c) any state, province, district, territory or other political subdivision of (a) or (b) of this definition, including, but not limited to, any county, municipal or other local subdivision of the foregoing, or</w:t>
      </w:r>
    </w:p>
    <w:p>
      <w:pPr>
        <w:ind w:left="4" w:hanging="4"/>
        <w:spacing w:after="0" w:line="290" w:lineRule="auto"/>
        <w:tabs>
          <w:tab w:leader="none" w:pos="259"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agency, arbitrator or arbitral body, authority, board, body, bureau, commission, court, department, entity, instrumentality, organization or tribunal exercising executive, legislative, judicial, regulatory or administrative functions of government on behalf of (a), (b) or (c) of this definition.</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7.04(a)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LLC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means the U.S. Investment Company Act of 1940, as amended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initial underwritten public offering of shares of the Corporation’s Class A Common Stock.</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Common Unit Subscription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Common Unit Subscription Agreement</w:t>
      </w:r>
      <w:r>
        <w:rPr>
          <w:rFonts w:ascii="Arial" w:cs="Arial" w:eastAsia="Arial" w:hAnsi="Arial"/>
          <w:sz w:val="18"/>
          <w:szCs w:val="18"/>
          <w:color w:val="auto"/>
        </w:rPr>
        <w:t>” means that certain Common Unit Subscription Agreement, dated as of the Effective Date, by and between the Corporation and the Company.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Net Proceeds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Unit Redemption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means a joinder to this Agreement, in form and substance substantially similar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all laws, statutes, ordinances, rules and regulations of any Governmental Entity.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14.02</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93" w:name="page94"/>
    <w:bookmarkEnd w:id="93"/>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i w:val="1"/>
          <w:iCs w:val="1"/>
          <w:color w:val="auto"/>
        </w:rPr>
        <w:t>LLC Employee</w:t>
      </w:r>
      <w:r>
        <w:rPr>
          <w:rFonts w:ascii="Arial" w:cs="Arial" w:eastAsia="Arial" w:hAnsi="Arial"/>
          <w:sz w:val="16"/>
          <w:szCs w:val="16"/>
          <w:color w:val="auto"/>
        </w:rPr>
        <w:t>” means an employee of, or other service provider (including, without limitation, any management member whether or not treated as an employee for the purposes of U.S. federal income tax) to, the Company or any of its Subsidiaries, in each case acting in such capacity.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xml:space="preserve">” means items of loss or deduction of the Company determined according to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Feeder</w:t>
      </w:r>
      <w:r>
        <w:rPr>
          <w:rFonts w:ascii="Arial" w:cs="Arial" w:eastAsia="Arial" w:hAnsi="Arial"/>
          <w:sz w:val="18"/>
          <w:szCs w:val="18"/>
          <w:color w:val="auto"/>
        </w:rPr>
        <w:t>” means Blizzard Management Feeder, LLC, a Delaware limited liability company.</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Feeder LLC Agreement</w:t>
      </w:r>
      <w:r>
        <w:rPr>
          <w:rFonts w:ascii="Arial" w:cs="Arial" w:eastAsia="Arial" w:hAnsi="Arial"/>
          <w:sz w:val="18"/>
          <w:szCs w:val="18"/>
          <w:color w:val="auto"/>
        </w:rPr>
        <w:t>” means the Amended and Restated Limited Liability Company Agreement of Management Feeder, dated as of the date hereof, as amended, restated, supplemented or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Feeder Member</w:t>
      </w:r>
      <w:r>
        <w:rPr>
          <w:rFonts w:ascii="Arial" w:cs="Arial" w:eastAsia="Arial" w:hAnsi="Arial"/>
          <w:sz w:val="18"/>
          <w:szCs w:val="18"/>
          <w:color w:val="auto"/>
        </w:rPr>
        <w:t>” means a member of Management Feeder.</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 Price</w:t>
      </w:r>
      <w:r>
        <w:rPr>
          <w:rFonts w:ascii="Arial" w:cs="Arial" w:eastAsia="Arial" w:hAnsi="Arial"/>
          <w:sz w:val="17"/>
          <w:szCs w:val="17"/>
          <w:color w:val="auto"/>
        </w:rPr>
        <w:t>” means, with respect to a share of Class A Common Stock as of a specified date, the last sale price per share of Class A Common Stock, regular way, or if no such sale took place on such day, the average of the closing bid and asked prices per share of Class A Common Stock, regular way, in either case as reported in the principal consolidated transaction reporting system with respect to securities listed or admitted to trading on the Stock Exchange or, if the Class A Common Stock is not listed or admitted to trading on the Stock Exchange, as reported on the principal consolidated transaction reporting system with respect to securities listed on the principal national securities exchange on which the Class A Common Stock is listed or admitted to trading or, if the Class A Common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the Class A Common Stock is not quoted by any such system, the average of the closing bid and asked prices as furnished by a professional market maker making a market in shares of Class A Common Stock selected by the Corporate Board or, in the event that no trading price is available for the shares of Class A Common Stock, the fair market value of a share of Class A Common Stock, as determined in good faith by the Corporate Board.</w:t>
      </w:r>
    </w:p>
    <w:p>
      <w:pPr>
        <w:spacing w:after="0" w:line="179"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xml:space="preserve">” means, as of any date of determination, (a) each of the members named on the Schedule of Members and (b) any Person admitted to the Company as a Substituted Member or Additional Member in accordance with </w:t>
      </w:r>
      <w:r>
        <w:rPr>
          <w:rFonts w:ascii="Arial" w:cs="Arial" w:eastAsia="Arial" w:hAnsi="Arial"/>
          <w:sz w:val="17"/>
          <w:szCs w:val="17"/>
          <w:u w:val="single" w:color="auto"/>
          <w:color w:val="auto"/>
        </w:rPr>
        <w:t>Article XII</w:t>
      </w:r>
      <w:r>
        <w:rPr>
          <w:rFonts w:ascii="Arial" w:cs="Arial" w:eastAsia="Arial" w:hAnsi="Arial"/>
          <w:sz w:val="17"/>
          <w:szCs w:val="17"/>
          <w:color w:val="auto"/>
        </w:rPr>
        <w:t>, but in each case only so long as such Person is shown on the Company’s books and records as the owner of one or more Units, each in its capacity as a member of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Gain</w:t>
      </w:r>
      <w:r>
        <w:rPr>
          <w:rFonts w:ascii="Arial" w:cs="Arial" w:eastAsia="Arial" w:hAnsi="Arial"/>
          <w:sz w:val="18"/>
          <w:szCs w:val="18"/>
          <w:color w:val="auto"/>
        </w:rPr>
        <w:t>” means “partnership minimum gain” determined pursuant to Treasury Regulation Section 1.704-2(d).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94" w:name="page95"/>
    <w:bookmarkEnd w:id="94"/>
    <w:p>
      <w:pPr>
        <w:ind w:right="4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Net Loss</w:t>
      </w:r>
      <w:r>
        <w:rPr>
          <w:rFonts w:ascii="Arial" w:cs="Arial" w:eastAsia="Arial" w:hAnsi="Arial"/>
          <w:sz w:val="18"/>
          <w:szCs w:val="18"/>
          <w:color w:val="auto"/>
        </w:rPr>
        <w:t xml:space="preserve">” means, with respect to a Fiscal Year, the excess if any, of Losses for such Fiscal Year over Profits for such Fiscal Year (excluding Profits and Losses specially allocated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Profit</w:t>
      </w:r>
      <w:r>
        <w:rPr>
          <w:rFonts w:ascii="Arial" w:cs="Arial" w:eastAsia="Arial" w:hAnsi="Arial"/>
          <w:sz w:val="18"/>
          <w:szCs w:val="18"/>
          <w:color w:val="auto"/>
        </w:rPr>
        <w:t xml:space="preserve">” means, with respect to a Fiscal Year, the excess if any, of Profits for such Fiscal Year over Losses for such Fiscal Year (excluding Profits and Losses specially allocated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 Holdings</w:t>
      </w:r>
      <w:r>
        <w:rPr>
          <w:rFonts w:ascii="Arial" w:cs="Arial" w:eastAsia="Arial" w:hAnsi="Arial"/>
          <w:sz w:val="18"/>
          <w:szCs w:val="18"/>
          <w:color w:val="auto"/>
        </w:rPr>
        <w:t>” means NVX Holdings,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means a Person to whom a stock option is granted under any Stock Option Plan.</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Units</w:t>
      </w:r>
      <w:r>
        <w:rPr>
          <w:rFonts w:ascii="Arial" w:cs="Arial" w:eastAsia="Arial" w:hAnsi="Arial"/>
          <w:sz w:val="18"/>
          <w:szCs w:val="18"/>
          <w:color w:val="auto"/>
        </w:rPr>
        <w:t>” means the Senior Preferred Earnout Units, Preferred Units, Class A Common Units, Class B Common Units and Profits Units (each as defined in Section 4.1 of the Initial LLC Agreement)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Over-Allotment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Over-Allotment Option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Over-Allotment Option Net Proceeds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Percentage Interest</w:t>
      </w:r>
      <w:r>
        <w:rPr>
          <w:rFonts w:ascii="Arial" w:cs="Arial" w:eastAsia="Arial" w:hAnsi="Arial"/>
          <w:sz w:val="17"/>
          <w:szCs w:val="17"/>
          <w:color w:val="auto"/>
        </w:rPr>
        <w:t>” means, as among an individual class of Units and with respect to a Member at a particular time, such Member’s percentage interest in the Company determined by dividing the number of such Member’s Units of such class by the total number of Units of all Members of such class at such time. The Percentage Interest of each Member shall be calculated to the fourth decimal place.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any corporation, partnership, limited liability company, trust, unincorporated organization, association, joint venture or any other organization or entity, whether or not a legal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Pre-IPO Members</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w:t>
      </w:r>
      <w:r>
        <w:rPr>
          <w:rFonts w:ascii="Arial" w:cs="Arial" w:eastAsia="Arial" w:hAnsi="Arial"/>
          <w:sz w:val="18"/>
          <w:szCs w:val="18"/>
          <w:b w:val="1"/>
          <w:bCs w:val="1"/>
          <w:i w:val="1"/>
          <w:iCs w:val="1"/>
          <w:color w:val="auto"/>
        </w:rPr>
        <w:t>pro rata portion</w:t>
      </w:r>
      <w:r>
        <w:rPr>
          <w:rFonts w:ascii="Arial" w:cs="Arial" w:eastAsia="Arial" w:hAnsi="Arial"/>
          <w:sz w:val="18"/>
          <w:szCs w:val="18"/>
          <w:color w:val="auto"/>
        </w:rPr>
        <w:t>,” “</w:t>
      </w:r>
      <w:r>
        <w:rPr>
          <w:rFonts w:ascii="Arial" w:cs="Arial" w:eastAsia="Arial" w:hAnsi="Arial"/>
          <w:sz w:val="18"/>
          <w:szCs w:val="18"/>
          <w:b w:val="1"/>
          <w:bCs w:val="1"/>
          <w:i w:val="1"/>
          <w:iCs w:val="1"/>
          <w:color w:val="auto"/>
        </w:rPr>
        <w:t>according to their interests</w:t>
      </w:r>
      <w:r>
        <w:rPr>
          <w:rFonts w:ascii="Arial" w:cs="Arial" w:eastAsia="Arial" w:hAnsi="Arial"/>
          <w:sz w:val="18"/>
          <w:szCs w:val="18"/>
          <w:color w:val="auto"/>
        </w:rPr>
        <w:t>,” “</w:t>
      </w:r>
      <w:r>
        <w:rPr>
          <w:rFonts w:ascii="Arial" w:cs="Arial" w:eastAsia="Arial" w:hAnsi="Arial"/>
          <w:sz w:val="18"/>
          <w:szCs w:val="18"/>
          <w:b w:val="1"/>
          <w:bCs w:val="1"/>
          <w:i w:val="1"/>
          <w:iCs w:val="1"/>
          <w:color w:val="auto"/>
        </w:rPr>
        <w:t>ratably</w:t>
      </w:r>
      <w:r>
        <w:rPr>
          <w:rFonts w:ascii="Arial" w:cs="Arial" w:eastAsia="Arial" w:hAnsi="Arial"/>
          <w:sz w:val="18"/>
          <w:szCs w:val="18"/>
          <w:color w:val="auto"/>
        </w:rPr>
        <w:t>,” “</w:t>
      </w:r>
      <w:r>
        <w:rPr>
          <w:rFonts w:ascii="Arial" w:cs="Arial" w:eastAsia="Arial" w:hAnsi="Arial"/>
          <w:sz w:val="18"/>
          <w:szCs w:val="18"/>
          <w:b w:val="1"/>
          <w:bCs w:val="1"/>
          <w:i w:val="1"/>
          <w:iCs w:val="1"/>
          <w:color w:val="auto"/>
        </w:rPr>
        <w:t>proportionately</w:t>
      </w:r>
      <w:r>
        <w:rPr>
          <w:rFonts w:ascii="Arial" w:cs="Arial" w:eastAsia="Arial" w:hAnsi="Arial"/>
          <w:sz w:val="18"/>
          <w:szCs w:val="18"/>
          <w:color w:val="auto"/>
        </w:rPr>
        <w:t>,” “</w:t>
      </w:r>
      <w:r>
        <w:rPr>
          <w:rFonts w:ascii="Arial" w:cs="Arial" w:eastAsia="Arial" w:hAnsi="Arial"/>
          <w:sz w:val="18"/>
          <w:szCs w:val="18"/>
          <w:b w:val="1"/>
          <w:bCs w:val="1"/>
          <w:i w:val="1"/>
          <w:iCs w:val="1"/>
          <w:color w:val="auto"/>
        </w:rPr>
        <w:t>proportional</w:t>
      </w:r>
      <w:r>
        <w:rPr>
          <w:rFonts w:ascii="Arial" w:cs="Arial" w:eastAsia="Arial" w:hAnsi="Arial"/>
          <w:sz w:val="18"/>
          <w:szCs w:val="18"/>
          <w:color w:val="auto"/>
        </w:rPr>
        <w:t>,” “</w:t>
      </w:r>
      <w:r>
        <w:rPr>
          <w:rFonts w:ascii="Arial" w:cs="Arial" w:eastAsia="Arial" w:hAnsi="Arial"/>
          <w:sz w:val="18"/>
          <w:szCs w:val="18"/>
          <w:b w:val="1"/>
          <w:bCs w:val="1"/>
          <w:i w:val="1"/>
          <w:iCs w:val="1"/>
          <w:color w:val="auto"/>
        </w:rPr>
        <w:t>in proportion to</w:t>
      </w:r>
      <w:r>
        <w:rPr>
          <w:rFonts w:ascii="Arial" w:cs="Arial" w:eastAsia="Arial" w:hAnsi="Arial"/>
          <w:sz w:val="18"/>
          <w:szCs w:val="18"/>
          <w:color w:val="auto"/>
        </w:rPr>
        <w:t>,” “</w:t>
      </w:r>
      <w:r>
        <w:rPr>
          <w:rFonts w:ascii="Arial" w:cs="Arial" w:eastAsia="Arial" w:hAnsi="Arial"/>
          <w:sz w:val="18"/>
          <w:szCs w:val="18"/>
          <w:b w:val="1"/>
          <w:bCs w:val="1"/>
          <w:i w:val="1"/>
          <w:iCs w:val="1"/>
          <w:color w:val="auto"/>
        </w:rPr>
        <w:t>based on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number of Units held</w:t>
      </w:r>
      <w:r>
        <w:rPr>
          <w:rFonts w:ascii="Arial" w:cs="Arial" w:eastAsia="Arial" w:hAnsi="Arial"/>
          <w:sz w:val="18"/>
          <w:szCs w:val="18"/>
          <w:color w:val="auto"/>
        </w:rPr>
        <w:t>,” “</w:t>
      </w:r>
      <w:r>
        <w:rPr>
          <w:rFonts w:ascii="Arial" w:cs="Arial" w:eastAsia="Arial" w:hAnsi="Arial"/>
          <w:sz w:val="18"/>
          <w:szCs w:val="18"/>
          <w:b w:val="1"/>
          <w:bCs w:val="1"/>
          <w:i w:val="1"/>
          <w:iCs w:val="1"/>
          <w:color w:val="auto"/>
        </w:rPr>
        <w:t>based upon the percentage of Units held</w:t>
      </w:r>
      <w:r>
        <w:rPr>
          <w:rFonts w:ascii="Arial" w:cs="Arial" w:eastAsia="Arial" w:hAnsi="Arial"/>
          <w:sz w:val="18"/>
          <w:szCs w:val="18"/>
          <w:color w:val="auto"/>
        </w:rPr>
        <w:t>,” “</w:t>
      </w:r>
      <w:r>
        <w:rPr>
          <w:rFonts w:ascii="Arial" w:cs="Arial" w:eastAsia="Arial" w:hAnsi="Arial"/>
          <w:sz w:val="18"/>
          <w:szCs w:val="18"/>
          <w:b w:val="1"/>
          <w:bCs w:val="1"/>
          <w:i w:val="1"/>
          <w:iCs w:val="1"/>
          <w:color w:val="auto"/>
        </w:rPr>
        <w:t>based upon the number of Units outstanding</w:t>
      </w:r>
      <w:r>
        <w:rPr>
          <w:rFonts w:ascii="Arial" w:cs="Arial" w:eastAsia="Arial" w:hAnsi="Arial"/>
          <w:sz w:val="18"/>
          <w:szCs w:val="18"/>
          <w:color w:val="auto"/>
        </w:rPr>
        <w:t>,” and other terms with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meanings, when used in the context of a number of Units of the Company relative to other Units, means as amongst an individual class of Units, pro rata based upon the number of such Units within such class of Units.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95" w:name="page96"/>
    <w:bookmarkEnd w:id="9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Profits</w:t>
      </w:r>
      <w:r>
        <w:rPr>
          <w:rFonts w:ascii="Arial" w:cs="Arial" w:eastAsia="Arial" w:hAnsi="Arial"/>
          <w:sz w:val="18"/>
          <w:szCs w:val="18"/>
          <w:color w:val="auto"/>
        </w:rPr>
        <w:t xml:space="preserve">” means items of income and gain of the Company determined according to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Pubco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10.09(b)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Quarterly Tax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Redeemed Units Equivalent</w:t>
      </w:r>
      <w:r>
        <w:rPr>
          <w:rFonts w:ascii="Arial" w:cs="Arial" w:eastAsia="Arial" w:hAnsi="Arial"/>
          <w:sz w:val="18"/>
          <w:szCs w:val="18"/>
          <w:color w:val="auto"/>
        </w:rPr>
        <w:t xml:space="preserve">” means the product of (a) the applicable number of Redeemed Units,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Common Unit Redemption Price.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means that certain Registration Rights Agreement, dated as of the Effective Date, by and among the Corporation, certain of the Members as of the Effective Date and certain other Persons whose signatures are affixed thereto (together with any joinder thereto from time to time by any successor or assign to any party to such agreement) (as it may be amended from time to time in accordance with its terms).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Revised Partnership Audit Provisions</w:t>
      </w:r>
      <w:r>
        <w:rPr>
          <w:rFonts w:ascii="Arial" w:cs="Arial" w:eastAsia="Arial" w:hAnsi="Arial"/>
          <w:sz w:val="18"/>
          <w:szCs w:val="18"/>
          <w:color w:val="auto"/>
        </w:rPr>
        <w:t>” means Section 1101 of Title XI (Revenue Provisions Related to Tax Compliance) of the Bipartisan Budget Act of 2015, H.R. 1314, Public Law Number 114-74.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U.S. Securities and Exchange Commission, including any governmental body or agency succeeding to the functions thereof.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Secondary Offering</w:t>
      </w:r>
      <w:r>
        <w:rPr>
          <w:rFonts w:ascii="Arial" w:cs="Arial" w:eastAsia="Arial" w:hAnsi="Arial"/>
          <w:sz w:val="16"/>
          <w:szCs w:val="16"/>
          <w:color w:val="auto"/>
        </w:rPr>
        <w:t>” means a follow-on or secondary public offering of shares of Class A Common Stock by the Corporation following the IPO.</w:t>
      </w:r>
    </w:p>
    <w:p>
      <w:pPr>
        <w:spacing w:after="0" w:line="24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96" w:name="page97"/>
    <w:bookmarkEnd w:id="96"/>
    <w:p>
      <w:pPr>
        <w:ind w:left="4" w:right="5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Share Settlement</w:t>
      </w:r>
      <w:r>
        <w:rPr>
          <w:rFonts w:ascii="Arial" w:cs="Arial" w:eastAsia="Arial" w:hAnsi="Arial"/>
          <w:sz w:val="18"/>
          <w:szCs w:val="18"/>
          <w:color w:val="auto"/>
        </w:rPr>
        <w:t>” means a number of shares of Class A Common Stock (together with any Corresponding Rights) equal to the number of Redeemed Units.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Exchange</w:t>
      </w:r>
      <w:r>
        <w:rPr>
          <w:rFonts w:ascii="Arial" w:cs="Arial" w:eastAsia="Arial" w:hAnsi="Arial"/>
          <w:sz w:val="18"/>
          <w:szCs w:val="18"/>
          <w:color w:val="auto"/>
        </w:rPr>
        <w:t>” means the Nasdaq Global Market.</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Option Plan</w:t>
      </w:r>
      <w:r>
        <w:rPr>
          <w:rFonts w:ascii="Arial" w:cs="Arial" w:eastAsia="Arial" w:hAnsi="Arial"/>
          <w:sz w:val="18"/>
          <w:szCs w:val="18"/>
          <w:color w:val="auto"/>
        </w:rPr>
        <w:t>” means any stock option plan now or hereafter adopted by the Company or by the Corporation, including the Corporate Incentive Award Plan.</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means that certain stockholders agreement, dated as of the Effective Date, by and among the Corporation and the other Persons party thereto (as it may be amended from time to time in accordance with its terms).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limited liability company, partnership, association or business entity of which</w:t>
      </w:r>
    </w:p>
    <w:p>
      <w:pPr>
        <w:spacing w:after="0" w:line="46" w:lineRule="exact"/>
        <w:rPr>
          <w:sz w:val="20"/>
          <w:szCs w:val="20"/>
          <w:color w:val="auto"/>
        </w:rPr>
      </w:pPr>
    </w:p>
    <w:p>
      <w:pPr>
        <w:ind w:left="4" w:hanging="4"/>
        <w:spacing w:after="0" w:line="290"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voting interests thereof are at the time owned or controlled, directly or indirectly, by any Person or one or more Subsidiaries of that Person or a combination thereof. For purposes hereof, references to a “Subsidiary” of the Company shall be given effect only at such times that the Company has one or more Subsidiaries, and, unless otherwise indicated, the term “Subsidiary” refers to a Subsidiary of the Company.</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xml:space="preserve">” means a Person that is admitted as a Member to the Company pursuant to </w:t>
      </w:r>
      <w:r>
        <w:rPr>
          <w:rFonts w:ascii="Arial" w:cs="Arial" w:eastAsia="Arial" w:hAnsi="Arial"/>
          <w:sz w:val="18"/>
          <w:szCs w:val="18"/>
          <w:u w:val="single" w:color="auto"/>
          <w:color w:val="auto"/>
        </w:rPr>
        <w:t>Section 12.01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that certain Tax Receivable Agreement, dated as the date of the Effective Date, by and among the Corporation and the Company, on the one hand, and the TRA Holders (as such term is defined in the Tax Receivable Agreement) party thereto, on the other hand (together with any joinder thereto from time to time by any successor or assign to any party to such agreement) (as it may be amended from time to time in accordance with its terms).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Taxable Year</w:t>
      </w:r>
      <w:r>
        <w:rPr>
          <w:rFonts w:ascii="Arial" w:cs="Arial" w:eastAsia="Arial" w:hAnsi="Arial"/>
          <w:sz w:val="18"/>
          <w:szCs w:val="18"/>
          <w:color w:val="auto"/>
        </w:rPr>
        <w:t xml:space="preserve">” means the Company’s accounting period for U.S. federal income tax purposes determined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97" w:name="page98"/>
    <w:bookmarkEnd w:id="97"/>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(and, with a correlative meaning, “</w:t>
      </w:r>
      <w:r>
        <w:rPr>
          <w:rFonts w:ascii="Arial" w:cs="Arial" w:eastAsia="Arial" w:hAnsi="Arial"/>
          <w:sz w:val="18"/>
          <w:szCs w:val="18"/>
          <w:b w:val="1"/>
          <w:bCs w:val="1"/>
          <w:i w:val="1"/>
          <w:iCs w:val="1"/>
          <w:color w:val="auto"/>
        </w:rPr>
        <w:t>Transferring</w:t>
      </w:r>
      <w:r>
        <w:rPr>
          <w:rFonts w:ascii="Arial" w:cs="Arial" w:eastAsia="Arial" w:hAnsi="Arial"/>
          <w:sz w:val="18"/>
          <w:szCs w:val="18"/>
          <w:color w:val="auto"/>
        </w:rPr>
        <w:t>”) means any sale, transfer, assignment, redemption, pledge, encumbrance or other disposition of (whether directly or indirectly, whether with or without consideration and whether voluntarily or involuntarily or by operation of Law) (a) any interest (legal or beneficial) in any Equity Securities or (b) any equity or other interest (legal or beneficial) in any Member if substantially all of the assets of such Member consist solely of Units.</w:t>
      </w:r>
    </w:p>
    <w:p>
      <w:pPr>
        <w:spacing w:after="0" w:line="187" w:lineRule="exact"/>
        <w:rPr>
          <w:sz w:val="20"/>
          <w:szCs w:val="20"/>
          <w:color w:val="auto"/>
        </w:rPr>
      </w:pPr>
    </w:p>
    <w:p>
      <w:pPr>
        <w:ind w:right="8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the final, temporary and (to the extent they can be relied upon) proposed regulations under the Code, as promulgated from time to time (including corresponding provisions and succeeding provisions) as in effect for the relevant taxable period.</w:t>
      </w:r>
    </w:p>
    <w:p>
      <w:pPr>
        <w:spacing w:after="0" w:line="124"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means the Underwriting Agreement, dated as of July 14, 2020, by and among the Corporation, the Company, Goldman Sachs &amp; Co. LLC, BofA Securities, Inc. and Morgan Stanley &amp; Co. LLC.</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w:t>
      </w:r>
      <w:r>
        <w:rPr>
          <w:rFonts w:ascii="Arial" w:cs="Arial" w:eastAsia="Arial" w:hAnsi="Arial"/>
          <w:sz w:val="18"/>
          <w:szCs w:val="18"/>
          <w:color w:val="auto"/>
        </w:rPr>
        <w:t xml:space="preserve">” means the fractional interest of a Member in Profits, Losses and Distributions of the Company, and otherwise having the rights and obligations specified with respect to “Units” in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class or group of Units issued shall have the relative rights, powers and duties set forth in this Agreement applicable to such class or group of Units.</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Corporate Shares</w:t>
      </w:r>
      <w:r>
        <w:rPr>
          <w:rFonts w:ascii="Arial" w:cs="Arial" w:eastAsia="Arial" w:hAnsi="Arial"/>
          <w:sz w:val="18"/>
          <w:szCs w:val="18"/>
          <w:color w:val="auto"/>
        </w:rPr>
        <w:t>” means shares of Class A Common Stock issuable pursuant to awards granted under the Corporate Incentive Award Plan that are not Vested Corporate Shares.</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Value</w:t>
      </w:r>
      <w:r>
        <w:rPr>
          <w:rFonts w:ascii="Arial" w:cs="Arial" w:eastAsia="Arial" w:hAnsi="Arial"/>
          <w:sz w:val="18"/>
          <w:szCs w:val="18"/>
          <w:color w:val="auto"/>
        </w:rPr>
        <w:t>” means (a) for any Stock Option Plan, the Market Price for the Trading Day immediately preceding the date of exercise of a stock option under such Stock Option Plan and (b) for any Equity Plan other than a Stock Option Plan, the Market Price for the Trading Day immediately preceding the Vesting Date.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Corporate Shares</w:t>
      </w:r>
      <w:r>
        <w:rPr>
          <w:rFonts w:ascii="Arial" w:cs="Arial" w:eastAsia="Arial" w:hAnsi="Arial"/>
          <w:sz w:val="18"/>
          <w:szCs w:val="18"/>
          <w:color w:val="auto"/>
        </w:rPr>
        <w:t>” means the shares of Class A Common Stock issued pursuant to awards granted under the Corporate Incentive Award Plan that are vested pursuant to the terms thereof or any award or similar agreement relating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3.10(c)(ii)</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MATTERS</w:t>
      </w:r>
    </w:p>
    <w:p>
      <w:pPr>
        <w:spacing w:after="0" w:line="21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u w:val="single" w:color="auto"/>
          <w:color w:val="auto"/>
        </w:rPr>
        <w:t>Section 2.01 Formation of Company</w:t>
      </w:r>
      <w:r>
        <w:rPr>
          <w:rFonts w:ascii="Arial" w:cs="Arial" w:eastAsia="Arial" w:hAnsi="Arial"/>
          <w:sz w:val="18"/>
          <w:szCs w:val="18"/>
          <w:color w:val="auto"/>
        </w:rPr>
        <w:t>. The Company was formed on July 11, 2019 pursuant to the provisions of the Delaware Act. The filing of the Certificate of Formation of the Company, and the Certificate of Amendment, with the Secretary of State of the State of Delaware are hereby ratified and confirmed in all respects.</w:t>
      </w:r>
    </w:p>
    <w:p>
      <w:pPr>
        <w:spacing w:after="0" w:line="184"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u w:val="single" w:color="auto"/>
          <w:color w:val="auto"/>
        </w:rPr>
        <w:t>Section 2.02 Second Amended and Restated Limited Liability Company Agreement</w:t>
      </w:r>
      <w:r>
        <w:rPr>
          <w:rFonts w:ascii="Arial" w:cs="Arial" w:eastAsia="Arial" w:hAnsi="Arial"/>
          <w:sz w:val="16"/>
          <w:szCs w:val="16"/>
          <w:color w:val="auto"/>
        </w:rPr>
        <w:t>. The Members hereby execute this Agreement for the purpose of amending, restating and superseding the Initial Agreement in its entirety and otherwise establishing the affairs of the Company and the conduct of its business in accordance with the provisions of the Delaware Act. The Members hereby agree that during the term of the Company set forth in</w:t>
      </w:r>
    </w:p>
    <w:p>
      <w:pPr>
        <w:spacing w:after="0" w:line="2"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the rights and obligations of the Members with respect to the Company will be determined in accordance with the terms and conditions of this Agreement and the Delaware Act. No provision of this Agreement shall be in violation of the Delaware Act and to the extent any provision of this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98" w:name="page99"/>
    <w:bookmarkEnd w:id="98"/>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is in violation of the Delaware Act, such provision shall be void and of no effect to the extent of such violation without affecting the validity of the other provisions of this Agreement. Neither any Member nor the Manager nor any other Person shall have appraisal rights with respect to any Units.</w:t>
      </w:r>
    </w:p>
    <w:p>
      <w:pPr>
        <w:spacing w:after="0" w:line="184"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u w:val="single" w:color="auto"/>
          <w:color w:val="auto"/>
        </w:rPr>
        <w:t>Section 2.03 Name</w:t>
      </w:r>
      <w:r>
        <w:rPr>
          <w:rFonts w:ascii="Arial" w:cs="Arial" w:eastAsia="Arial" w:hAnsi="Arial"/>
          <w:sz w:val="18"/>
          <w:szCs w:val="18"/>
          <w:color w:val="auto"/>
        </w:rPr>
        <w:t>. The name of the Company is “GoHealth Holdings, LLC”. The Manager in its sole discretion may change the name of the Company at any time and from time to time. Notification of any such change shall be given to all of the Members. The Company’s business may be conducted under its name and/or any other name or names deemed advisable by the Manager.</w:t>
      </w:r>
    </w:p>
    <w:p>
      <w:pPr>
        <w:spacing w:after="0" w:line="18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u w:val="single" w:color="auto"/>
          <w:color w:val="auto"/>
        </w:rPr>
        <w:t>Section 2.04 Purpose; Powers</w:t>
      </w:r>
      <w:r>
        <w:rPr>
          <w:rFonts w:ascii="Arial" w:cs="Arial" w:eastAsia="Arial" w:hAnsi="Arial"/>
          <w:sz w:val="17"/>
          <w:szCs w:val="17"/>
          <w:color w:val="auto"/>
        </w:rPr>
        <w:t>. The primary business and purpose of the Company shall be to engage in such activities as are permitted under the Delaware Act and determined from time to time by the Manager in accordance with the terms and conditions of this Agreement. The Company shall have the power and authority to take (directly or indirectly through its Subsidiaries) any and all actions and engage in any and all activities necessary, appropriate, desirable, advisable, ancillary or incidental to accomplish the foregoing purpose.</w:t>
      </w:r>
    </w:p>
    <w:p>
      <w:pPr>
        <w:spacing w:after="0" w:line="17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u w:val="single" w:color="auto"/>
          <w:color w:val="auto"/>
        </w:rPr>
        <w:t>Section 2.05 Principal Office; Registered Office</w:t>
      </w:r>
      <w:r>
        <w:rPr>
          <w:rFonts w:ascii="Arial" w:cs="Arial" w:eastAsia="Arial" w:hAnsi="Arial"/>
          <w:sz w:val="17"/>
          <w:szCs w:val="17"/>
          <w:color w:val="auto"/>
        </w:rPr>
        <w:t>. The principal office of the Company shall be located at such place or places as the Manager may from time to time designate, each of which may be within or outside the State of Delaware. The address of the registered office of the Company in the State of Delaware shall be c/o Corporation Service Company, 251 Little Falls Drive, Wilmington, Delaware, 19808, and the registered agent for service of process on the Company in the State of Delaware at such registered office shall be Corporation Service Company. The Manager may from time to time change the Company’s registered agent and registered office in the State of Delaware.</w:t>
      </w:r>
    </w:p>
    <w:p>
      <w:pPr>
        <w:spacing w:after="0" w:line="176"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u w:val="single" w:color="auto"/>
          <w:color w:val="auto"/>
        </w:rPr>
        <w:t>Section 2.06 Term</w:t>
      </w:r>
      <w:r>
        <w:rPr>
          <w:rFonts w:ascii="Arial" w:cs="Arial" w:eastAsia="Arial" w:hAnsi="Arial"/>
          <w:sz w:val="18"/>
          <w:szCs w:val="18"/>
          <w:color w:val="auto"/>
        </w:rPr>
        <w:t xml:space="preserve">. The term of the Company commenced upon the filing of the Certificate in accordance with the Delaware Act and shall continue in perpetuity unless dissolved in accordance with the provisions of </w:t>
      </w:r>
      <w:r>
        <w:rPr>
          <w:rFonts w:ascii="Arial" w:cs="Arial" w:eastAsia="Arial" w:hAnsi="Arial"/>
          <w:sz w:val="18"/>
          <w:szCs w:val="18"/>
          <w:u w:val="single" w:color="auto"/>
          <w:color w:val="auto"/>
        </w:rPr>
        <w:t>Article XIV</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u w:val="single" w:color="auto"/>
          <w:color w:val="auto"/>
        </w:rPr>
        <w:t>Section 2.07 No State-Law Partnership</w:t>
      </w:r>
      <w:r>
        <w:rPr>
          <w:rFonts w:ascii="Arial" w:cs="Arial" w:eastAsia="Arial" w:hAnsi="Arial"/>
          <w:sz w:val="17"/>
          <w:szCs w:val="17"/>
          <w:color w:val="auto"/>
        </w:rPr>
        <w:t xml:space="preserve">. The Members intend that the Company not be a partnership (including, without limitation, a limited partnership) or joint venture, and that no Member be a partner or joint venturer of any other Member by virtue of this Agreement, for any purposes other than as set forth in the last sentence of this </w:t>
      </w:r>
      <w:r>
        <w:rPr>
          <w:rFonts w:ascii="Arial" w:cs="Arial" w:eastAsia="Arial" w:hAnsi="Arial"/>
          <w:sz w:val="17"/>
          <w:szCs w:val="17"/>
          <w:u w:val="single" w:color="auto"/>
          <w:color w:val="auto"/>
        </w:rPr>
        <w:t>Section 2.07</w:t>
      </w:r>
      <w:r>
        <w:rPr>
          <w:rFonts w:ascii="Arial" w:cs="Arial" w:eastAsia="Arial" w:hAnsi="Arial"/>
          <w:sz w:val="17"/>
          <w:szCs w:val="17"/>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UNITS; CAPITALIZATION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Section 3.01 Members</w:t>
      </w:r>
      <w:r>
        <w:rPr>
          <w:rFonts w:ascii="Arial" w:cs="Arial" w:eastAsia="Arial" w:hAnsi="Arial"/>
          <w:sz w:val="18"/>
          <w:szCs w:val="18"/>
          <w:color w:val="auto"/>
        </w:rPr>
        <w:t>.</w:t>
      </w:r>
    </w:p>
    <w:p>
      <w:pPr>
        <w:spacing w:after="0" w:line="117" w:lineRule="exact"/>
        <w:rPr>
          <w:sz w:val="20"/>
          <w:szCs w:val="20"/>
          <w:color w:val="auto"/>
        </w:rPr>
      </w:pPr>
    </w:p>
    <w:p>
      <w:pPr>
        <w:ind w:left="-20" w:right="40" w:firstLine="436"/>
        <w:spacing w:after="0" w:line="263" w:lineRule="auto"/>
        <w:tabs>
          <w:tab w:leader="none" w:pos="6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 In connection with the reorganization transactions (as described in the Recitals), the Corporation acquired Original Units (which will be converted into Common Units pursuant to the Recapitalization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 and was admitted as a Member and (ii) the Corporation will acquire additional Common Units pursuant to the IPO Common Unit Subscription Agreement.</w:t>
      </w:r>
    </w:p>
    <w:p>
      <w:pPr>
        <w:spacing w:after="0" w:line="75" w:lineRule="exact"/>
        <w:rPr>
          <w:rFonts w:ascii="Arial" w:cs="Arial" w:eastAsia="Arial" w:hAnsi="Arial"/>
          <w:sz w:val="18"/>
          <w:szCs w:val="18"/>
          <w:color w:val="auto"/>
        </w:rPr>
      </w:pPr>
    </w:p>
    <w:p>
      <w:pPr>
        <w:ind w:left="-20" w:firstLine="436"/>
        <w:spacing w:after="0" w:line="288" w:lineRule="auto"/>
        <w:tabs>
          <w:tab w:leader="none" w:pos="67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shall maintain a schedule setting forth: (i) the name and address of each Member and (ii) the aggregate number of outstanding Units and the number and class of Units held by each Member (such schedule, the “</w:t>
      </w:r>
      <w:r>
        <w:rPr>
          <w:rFonts w:ascii="Arial" w:cs="Arial" w:eastAsia="Arial" w:hAnsi="Arial"/>
          <w:sz w:val="16"/>
          <w:szCs w:val="16"/>
          <w:b w:val="1"/>
          <w:bCs w:val="1"/>
          <w:i w:val="1"/>
          <w:iCs w:val="1"/>
          <w:color w:val="auto"/>
        </w:rPr>
        <w:t>Schedule of Members</w:t>
      </w:r>
      <w:r>
        <w:rPr>
          <w:rFonts w:ascii="Arial" w:cs="Arial" w:eastAsia="Arial" w:hAnsi="Arial"/>
          <w:sz w:val="16"/>
          <w:szCs w:val="16"/>
          <w:color w:val="auto"/>
        </w:rPr>
        <w:t xml:space="preserve">”). The applicable Schedule of Members in effect as of the Effective Date and after giving effect to the Recapitalization is set forth as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to this Agreement. The Company shall also maintain a record of (1) the aggregate amount of cash Capital Contributions that has been made by the Members with respect to their Units and (2) the Fair Market Value of any property other than cash contributed by the Members with respect to their Units (including, if applicable, a description and the amount of any liability assumed by the Company or to which contributed property is subject) in its books and records. The Schedule of Members may be updated by the Manager in the Company’s books and records from time to time, and as so updated, it shall be the definitive record of ownership of each Unit of the Company and all relevant information with respect to each Member.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Delaware Act.</w:t>
      </w:r>
    </w:p>
    <w:p>
      <w:pPr>
        <w:spacing w:after="0" w:line="60" w:lineRule="exact"/>
        <w:rPr>
          <w:rFonts w:ascii="Arial" w:cs="Arial" w:eastAsia="Arial" w:hAnsi="Arial"/>
          <w:sz w:val="16"/>
          <w:szCs w:val="16"/>
          <w:color w:val="auto"/>
        </w:rPr>
      </w:pPr>
    </w:p>
    <w:p>
      <w:pPr>
        <w:ind w:left="-20" w:right="180" w:firstLine="436"/>
        <w:spacing w:after="0" w:line="263" w:lineRule="auto"/>
        <w:tabs>
          <w:tab w:leader="none" w:pos="6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No Member shall be required or, except as approved by the Manager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in accordance with the other provisions of this Agreement, permitted to (i) loan any money or property to the Company, (ii) borrow any money or property from the Company or (iii) make any additional Capital Contributions.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Section 3.02 Units</w:t>
      </w:r>
      <w:r>
        <w:rPr>
          <w:rFonts w:ascii="Arial" w:cs="Arial" w:eastAsia="Arial" w:hAnsi="Arial"/>
          <w:sz w:val="18"/>
          <w:szCs w:val="18"/>
          <w:color w:val="auto"/>
        </w:rPr>
        <w:t>.</w:t>
      </w:r>
    </w:p>
    <w:p>
      <w:pPr>
        <w:spacing w:after="0" w:line="117" w:lineRule="exact"/>
        <w:rPr>
          <w:sz w:val="20"/>
          <w:szCs w:val="20"/>
          <w:color w:val="auto"/>
        </w:rPr>
      </w:pPr>
    </w:p>
    <w:p>
      <w:pPr>
        <w:ind w:left="-20" w:right="100" w:firstLine="436"/>
        <w:spacing w:after="0" w:line="263" w:lineRule="auto"/>
        <w:tabs>
          <w:tab w:leader="none" w:pos="6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Interests in the Company shall be represented by Units, or such other securities of the Company, in each case as the Manager may establish in its discretion in accordance with the terms and subject to the restrictions hereof. At the Effective Date, the Units will be comprised of a single class of Common Units.</w:t>
      </w:r>
    </w:p>
    <w:p>
      <w:pPr>
        <w:spacing w:after="0" w:line="75" w:lineRule="exact"/>
        <w:rPr>
          <w:rFonts w:ascii="Arial" w:cs="Arial" w:eastAsia="Arial" w:hAnsi="Arial"/>
          <w:sz w:val="18"/>
          <w:szCs w:val="18"/>
          <w:color w:val="auto"/>
        </w:rPr>
      </w:pPr>
    </w:p>
    <w:p>
      <w:pPr>
        <w:ind w:left="-20" w:right="60" w:firstLine="436"/>
        <w:spacing w:after="0" w:line="289" w:lineRule="auto"/>
        <w:tabs>
          <w:tab w:leader="none" w:pos="67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the Manager may (i) issue additional Common Units at any time in its sole discretion and (ii) create one or more classes or series of Units or preferred Units solely to the extent such new class or series of Units or preferred Units are substantially economically equivalent to a class of common or other stock of the Corporation or class or series of preferred stock of the Corporation, respectively;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long as there are any Members (other than the Corporation and its Subsidiaries) (i) no such new class or series of Units may deprive such Members of, or dilute or reduce, the allocations and distributions they would have received, and the other rights and benefits to which they would have been entitled, in respect of their Units if such new class or series of Units had not been created and (ii) no such new class or series of Units may be issued, in each case, except to the extent (and solely to the extent) the Company actually receives cash in an aggregate amount, or other property with a Fair Market Value in an aggregate amount, equal to the aggregate distributions that would be made in respect of such new class or series of Units if the Company were liquidated immediately after the issuance of such new class or series of Units.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60" w:top="274" w:right="479" w:bottom="1440" w:gutter="0" w:footer="0" w:header="0"/>
        </w:sectPr>
      </w:pPr>
    </w:p>
    <w:bookmarkStart w:id="100" w:name="page101"/>
    <w:bookmarkEnd w:id="100"/>
    <w:p>
      <w:pPr>
        <w:ind w:left="4" w:right="160" w:firstLine="436"/>
        <w:spacing w:after="0" w:line="308" w:lineRule="auto"/>
        <w:tabs>
          <w:tab w:leader="none" w:pos="689" w:val="left"/>
        </w:tabs>
        <w:numPr>
          <w:ilvl w:val="0"/>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w:t>
      </w:r>
      <w:r>
        <w:rPr>
          <w:rFonts w:ascii="Arial" w:cs="Arial" w:eastAsia="Arial" w:hAnsi="Arial"/>
          <w:sz w:val="17"/>
          <w:szCs w:val="17"/>
          <w:u w:val="single" w:color="auto"/>
          <w:color w:val="auto"/>
        </w:rPr>
        <w:t>Sections 15.03(b)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15.03(c)</w:t>
      </w:r>
      <w:r>
        <w:rPr>
          <w:rFonts w:ascii="Arial" w:cs="Arial" w:eastAsia="Arial" w:hAnsi="Arial"/>
          <w:sz w:val="17"/>
          <w:szCs w:val="17"/>
          <w:color w:val="auto"/>
        </w:rPr>
        <w:t xml:space="preserve">, the Manager may amend this Agreement, without the consent of any Member or any other Person, in connection with the creation and issuance of such classes or series of Units, pursuant to </w:t>
      </w:r>
      <w:r>
        <w:rPr>
          <w:rFonts w:ascii="Arial" w:cs="Arial" w:eastAsia="Arial" w:hAnsi="Arial"/>
          <w:sz w:val="17"/>
          <w:szCs w:val="17"/>
          <w:u w:val="single" w:color="auto"/>
          <w:color w:val="auto"/>
        </w:rPr>
        <w:t>Sections 3.02(b)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3.10</w:t>
      </w:r>
      <w:r>
        <w:rPr>
          <w:rFonts w:ascii="Arial" w:cs="Arial" w:eastAsia="Arial" w:hAnsi="Arial"/>
          <w:sz w:val="17"/>
          <w:szCs w:val="17"/>
          <w:color w:val="auto"/>
        </w:rPr>
        <w:t>.</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auto"/>
        </w:rPr>
        <w:t>Section 3.03 Recapitalization; the Corporation’s Capital Contribution; the Corporation’s Purchase of Common Units; the IPO Unit Redemption</w:t>
      </w:r>
      <w:r>
        <w:rPr>
          <w:rFonts w:ascii="Arial" w:cs="Arial" w:eastAsia="Arial" w:hAnsi="Arial"/>
          <w:sz w:val="16"/>
          <w:szCs w:val="16"/>
          <w:color w:val="auto"/>
        </w:rPr>
        <w:t>.</w:t>
      </w:r>
    </w:p>
    <w:p>
      <w:pPr>
        <w:spacing w:after="0" w:line="140" w:lineRule="exact"/>
        <w:rPr>
          <w:sz w:val="20"/>
          <w:szCs w:val="20"/>
          <w:color w:val="auto"/>
        </w:rPr>
      </w:pPr>
    </w:p>
    <w:p>
      <w:pPr>
        <w:ind w:left="4" w:right="20" w:firstLine="436"/>
        <w:spacing w:after="0" w:line="271" w:lineRule="auto"/>
        <w:tabs>
          <w:tab w:leader="none" w:pos="689"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In order to effect the Recapitalization, the number of Original Units that were issued and outstanding and held by the Pre-IPO Members prior to the Effective Date as set forth opposite the respective Pre-IPO Member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are hereby converted, as of the Effective Date, and after giving effect to such conversion and the other transactions related to the Recapitalization, into the number of Common Units, or with respect to Senior Preferred Earnout Units issued in May 2020, the right to receive the amount of cash at the closing of the IPO, as applicable, set forth opposite the name of the respective Member on the Schedule of Members attached hereto as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(provided, for the avoidance of doubt, that the number of Common Units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shall include the Common Units issued to the Corporation pursuant to the IPO Common Unit Subscription Agreement and should be net of any Common Units redeemed pursuant to the IPO Unit Redemption), and such Common Units are hereby issued and outstanding as of the Effective Date and the holders of such Common Units are Members hereunder.</w:t>
      </w:r>
    </w:p>
    <w:p>
      <w:pPr>
        <w:spacing w:after="0" w:line="70" w:lineRule="exact"/>
        <w:rPr>
          <w:rFonts w:ascii="Arial" w:cs="Arial" w:eastAsia="Arial" w:hAnsi="Arial"/>
          <w:sz w:val="17"/>
          <w:szCs w:val="17"/>
          <w:color w:val="auto"/>
        </w:rPr>
      </w:pPr>
    </w:p>
    <w:p>
      <w:pPr>
        <w:ind w:left="4" w:firstLine="436"/>
        <w:spacing w:after="0" w:line="253" w:lineRule="auto"/>
        <w:tabs>
          <w:tab w:leader="none" w:pos="699"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Following the Recapitalization, the Company shall issue to the Corporation, and the Corporation will acquire 38,679,685 newly issued Common Units in exchange for a portion of the IPO Net Proceeds payable to the Company upon consummation of the IPO pursuant to the IPO Common Unit Subscription Agreement (the “</w:t>
      </w:r>
      <w:r>
        <w:rPr>
          <w:rFonts w:ascii="Arial" w:cs="Arial" w:eastAsia="Arial" w:hAnsi="Arial"/>
          <w:sz w:val="18"/>
          <w:szCs w:val="18"/>
          <w:b w:val="1"/>
          <w:bCs w:val="1"/>
          <w:i w:val="1"/>
          <w:iCs w:val="1"/>
          <w:color w:val="auto"/>
        </w:rPr>
        <w:t>IPO Common Unit Subscription</w:t>
      </w:r>
      <w:r>
        <w:rPr>
          <w:rFonts w:ascii="Arial" w:cs="Arial" w:eastAsia="Arial" w:hAnsi="Arial"/>
          <w:sz w:val="18"/>
          <w:szCs w:val="18"/>
          <w:color w:val="auto"/>
        </w:rPr>
        <w:t>”). In addition, to the extent the underwriters in the IPO exercise the Over-Allotment Option in whole or in part, upon the exercise of the Over-Allotment Option, the Corporation will contribute a portion of the Over-Allotment Option Net Proceeds to the Company in exchange for newly issued Common Units pursuant to the IPO Common Unit Subscription Agreement, and such issuance of additional Common Units shall be reflected on the Schedule of Members (the “</w:t>
      </w:r>
      <w:r>
        <w:rPr>
          <w:rFonts w:ascii="Arial" w:cs="Arial" w:eastAsia="Arial" w:hAnsi="Arial"/>
          <w:sz w:val="18"/>
          <w:szCs w:val="18"/>
          <w:b w:val="1"/>
          <w:bCs w:val="1"/>
          <w:i w:val="1"/>
          <w:iCs w:val="1"/>
          <w:color w:val="auto"/>
        </w:rPr>
        <w:t>Over-Allotment Contribution</w:t>
      </w:r>
      <w:r>
        <w:rPr>
          <w:rFonts w:ascii="Arial" w:cs="Arial" w:eastAsia="Arial" w:hAnsi="Arial"/>
          <w:sz w:val="18"/>
          <w:szCs w:val="18"/>
          <w:color w:val="auto"/>
        </w:rPr>
        <w:t>”). The number of Common Units issued in the Over-Allotment Contribution, in the aggregate, shall be equal to the number of shares of Class A Common Stock issued by the Corporation in such exercise of the Over-Allotment Option. Immediately following the consummation of the IPO Common Unit Subscription, the Company shall use a portion of the IPO Net Proceeds received pursuant to the IPO Common Unit Subscription Agreement to effect the IPO Unit Redemption. For the avoidance of doubt, the Corporation shall be admitted as a Member with respect to all Common Units it holds from time to time.</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3.04 Authorization and Issuance of Additional Units</w:t>
      </w:r>
      <w:r>
        <w:rPr>
          <w:rFonts w:ascii="Arial" w:cs="Arial" w:eastAsia="Arial" w:hAnsi="Arial"/>
          <w:sz w:val="18"/>
          <w:szCs w:val="18"/>
          <w:color w:val="auto"/>
        </w:rPr>
        <w:t>.</w:t>
      </w:r>
    </w:p>
    <w:p>
      <w:pPr>
        <w:spacing w:after="0" w:line="117" w:lineRule="exact"/>
        <w:rPr>
          <w:sz w:val="20"/>
          <w:szCs w:val="20"/>
          <w:color w:val="auto"/>
        </w:rPr>
      </w:pPr>
    </w:p>
    <w:p>
      <w:pPr>
        <w:ind w:left="4" w:right="160" w:firstLine="436"/>
        <w:spacing w:after="0" w:line="287" w:lineRule="auto"/>
        <w:tabs>
          <w:tab w:leader="none" w:pos="689" w:val="left"/>
        </w:tabs>
        <w:numPr>
          <w:ilvl w:val="1"/>
          <w:numId w:val="86"/>
        </w:numPr>
        <w:rPr>
          <w:rFonts w:ascii="Arial" w:cs="Arial" w:eastAsia="Arial" w:hAnsi="Arial"/>
          <w:sz w:val="16"/>
          <w:szCs w:val="16"/>
          <w:color w:val="auto"/>
        </w:rPr>
      </w:pPr>
      <w:r>
        <w:rPr>
          <w:rFonts w:ascii="Arial" w:cs="Arial" w:eastAsia="Arial" w:hAnsi="Arial"/>
          <w:sz w:val="16"/>
          <w:szCs w:val="16"/>
          <w:color w:val="auto"/>
        </w:rPr>
        <w:t>Except as otherwise determined by the Manager in connection with a contribution of cash or other assets by the Corporation to the Company, the Company and the Corporation shall undertake all actions, including, without limitation, an issuance, reclassification, distribution, division or recapitalization, with respect to the Common Units and the Class A Common Stock or Class B Common Stock, as applicable, to maintain at all times</w:t>
      </w:r>
    </w:p>
    <w:p>
      <w:pPr>
        <w:spacing w:after="0" w:line="2" w:lineRule="exact"/>
        <w:rPr>
          <w:rFonts w:ascii="Arial" w:cs="Arial" w:eastAsia="Arial" w:hAnsi="Arial"/>
          <w:sz w:val="16"/>
          <w:szCs w:val="16"/>
          <w:color w:val="auto"/>
        </w:rPr>
      </w:pPr>
    </w:p>
    <w:p>
      <w:pPr>
        <w:ind w:left="4" w:right="200" w:hanging="4"/>
        <w:spacing w:after="0" w:line="260" w:lineRule="auto"/>
        <w:tabs>
          <w:tab w:leader="none" w:pos="21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one-to-one ratio between the number of Common Units owned by the Corporation, directly or indirectly, and the number of outstanding shares of Class A Common Stock and (ii) a one-to-one ratio between the number of</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101" w:name="page102"/>
    <w:bookmarkEnd w:id="101"/>
    <w:p>
      <w:pPr>
        <w:jc w:val="both"/>
        <w:ind w:left="4" w:right="3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Common Units owned by Members (other than the Corporation and its Subsidiaries), directly or indirectly, and the number of outstanding shares of Class B Common Stock owned by such Members, directly or indirectly, in each case, disregarding, for purposes of maintaining the one-to-one ratio,</w:t>
      </w:r>
    </w:p>
    <w:p>
      <w:pPr>
        <w:ind w:left="4" w:hanging="4"/>
        <w:spacing w:after="0" w:line="283" w:lineRule="auto"/>
        <w:tabs>
          <w:tab w:leader="none" w:pos="299"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Unvested Corporate Shares, (B) treasury stock or (C) preferred stock or other debt or equity securities (including, without limitation, warrants, options or rights) issued by the Corporation that are convertible into or exercisable or exchangeable for Class A Common Stock or Class B Common Stock (except to the extent the net proceeds from such other securities, including any exercise or purchase price payable upon conversion, exercise or exchange thereof, has been contributed by the Corporation to the equity capital of the Company). Except as otherwise determined by the Manager in connection with a contribution of cash or other assets by the Corporation to the Company, in the event the Corporation issues, transfers or delivers from treasury stock or repurchases Class A Common Stock in a transaction not contemplated in this Agreement, the Manager and the Corporation shall take all actions such that, after giving effect to all such issuances, transfers, deliveries or repurchases, the number of outstanding Common Units owned, directly or indirectly, by the Corporation will equal on a one-for-one basis the number of outstanding shares of Class A Common Stock. Except as otherwise determined by the Manager in connection with a contribution of cash or other assets by the Corporation to the Company, in the event the Corporation issues, transfers or delivers from treasury stock or repurchases or redeems the Corporation’s preferred stock in a transaction not contemplated in this Agreement, the Manager and the Corporation shall take all actions such that, after giving effect to all such issuances, transfers, deliveries, repurchases or redemptions, the Corporation, directly or indirectly, holds (in the case of any issuance, transfer or delivery) or ceases to hold (in the case of any repurchase or redemption) equity interests in the Company which (in the good faith determination by the Manager) are in the aggregate substantially economically equivalent to the outstanding preferred stock of the Corporation so issued, transferred, delivered, repurchased or redeemed. Except as otherwise determined by the Manager in its reasonable discretion, the Company and the Corporation shall not undertake any subdivision (by any Common Unit split, stock split, Common Unit distribution, stock distribution, reclassification, division, recapitalization or similar event) or combination (by reverse Common Unit split, reverse stock split, reclassification, division, recapitalization or similar event) of the Common Units, Class A Common Stock or Class B Common Stock, as applicable, that is not accompanied by an identical subdivision or combination of Class A Common Stock, Class B Common Stock or Common Units, respectively, to maintain at all times (x) a one-to-one ratio between the number of Common Units owned, directly or indirectly, by the Corporation and the number of outstanding shares of Class A Common Stock or (y) a one-to-one ratio between the number of Common Units owned by Members (other than the Corporation and its Subsidiaries) and the number of outstanding shares of Class B Common Stock, in each case, unless such action is necessary to maintain at all times a one-to-one ratio between either the number of Common Units owned, directly or indirectly, by the Corporation and the number of outstanding shares of Class A Common Stock or the number of Common Units owned by Members (other than the Corporation and its Subsidiaries) and the number of outstanding shares of Class B Common Stock as contemplated by the first sentence of this </w:t>
      </w:r>
      <w:r>
        <w:rPr>
          <w:rFonts w:ascii="Arial" w:cs="Arial" w:eastAsia="Arial" w:hAnsi="Arial"/>
          <w:sz w:val="16"/>
          <w:szCs w:val="16"/>
          <w:u w:val="single" w:color="auto"/>
          <w:color w:val="auto"/>
        </w:rPr>
        <w:t>Section 3.04(a)</w:t>
      </w:r>
      <w:r>
        <w:rPr>
          <w:rFonts w:ascii="Arial" w:cs="Arial" w:eastAsia="Arial" w:hAnsi="Arial"/>
          <w:sz w:val="16"/>
          <w:szCs w:val="16"/>
          <w:color w:val="auto"/>
        </w:rPr>
        <w:t>.</w:t>
      </w:r>
    </w:p>
    <w:p>
      <w:pPr>
        <w:spacing w:after="0" w:line="286" w:lineRule="exact"/>
        <w:rPr>
          <w:rFonts w:ascii="Arial" w:cs="Arial" w:eastAsia="Arial" w:hAnsi="Arial"/>
          <w:sz w:val="16"/>
          <w:szCs w:val="16"/>
          <w:color w:val="auto"/>
        </w:rPr>
      </w:pPr>
    </w:p>
    <w:p>
      <w:pPr>
        <w:ind w:left="4" w:right="20" w:firstLine="436"/>
        <w:spacing w:after="0" w:line="259" w:lineRule="auto"/>
        <w:tabs>
          <w:tab w:leader="none" w:pos="699"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The Company shall only be permitted to issue additional Common Units, and/or establish other classes or series of Units or other Equity Securities in the Company to the Persons and on the terms and conditions provided for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3.11</w:t>
      </w:r>
      <w:r>
        <w:rPr>
          <w:rFonts w:ascii="Arial" w:cs="Arial" w:eastAsia="Arial" w:hAnsi="Arial"/>
          <w:sz w:val="18"/>
          <w:szCs w:val="18"/>
          <w:color w:val="auto"/>
        </w:rPr>
        <w:t>. Subject to the foregoing, the Manager may cause the Company to issue additional Common Units authorized under this Agreement and/or establish other classes or series of Units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102" w:name="page103"/>
    <w:bookmarkEnd w:id="102"/>
    <w:p>
      <w:pPr>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other Equity Securities in the Company at such times and upon such terms as the Manager shall determine and the Manager shall amend this Agreement as necessary in connection with the issuance of additional Common Units and admission of additional Members under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without the requirement of any consent or acknowledgement of any other Member.</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u w:val="single" w:color="auto"/>
          <w:color w:val="auto"/>
        </w:rPr>
        <w:t>Section 3.05 Repurchase or Redemption of shares of Class A Common Stock</w:t>
      </w:r>
      <w:r>
        <w:rPr>
          <w:rFonts w:ascii="Arial" w:cs="Arial" w:eastAsia="Arial" w:hAnsi="Arial"/>
          <w:sz w:val="17"/>
          <w:szCs w:val="17"/>
          <w:color w:val="auto"/>
        </w:rPr>
        <w:t xml:space="preserve">. Except as otherwise determined by the Manager in connection with the use of cash or other assets held by the Corporation, if at any time, any shares of Class A Common Stock are repurchased or redeemed (whether by exercise of a put or call, automatically or by means of another arrangement) by the Corporation for cash, then the Manager shall cause the Company, immediately prior to such repurchase or redemption of Class A Common Stock, to redeem a corresponding number of Common Units held (directly or indirectly) by the Corporation, at an aggregate redemption price equal to the aggregate purchase or redemption price of the shares of Class A Common Stock being repurchased or redeemed by the Corporation (plus any expenses related thereto) and upon such other terms as are the same for the shares of Class A Common Stock being repurchased or redeemed by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if the Corporation uses funds received from distributions from the Company or the net proceeds from an issuance of Class A Common Stock to fund such repurchase or redemption, then the Company shall cancel a corresponding number of Common Units held (directly or indirectly) by the Corporation for no consideration. Notwithstanding any provision to the contrary contained in this Agreement, the Company shall not make any repurchase or redemption if such repurchase or redemption would violate any applicable Law.</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3.06 Certificates Representing Units; Lost, Stolen or Destroyed Certificates; Registration and Transfer of Units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1" w:lineRule="auto"/>
        <w:tabs>
          <w:tab w:leader="none" w:pos="68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Units shall not be certificated unless otherwise determined by the Manager. If the Manager determines that one or more Units shall be certificated, each such certificate shall be signed by or in the name of the Company, by the Chief Executive Officer, Chief Financial Officer, General Counsel, Secretary or any other officer designated by the Manager, representing the number of Units held by such holder. Such certificate shall be in such form (and shall contain such legends) as the Manager may determine. Any or all of such signatures on any certificate representing one or more Units may be a facsimile, engraved or printed, to the extent permitted by applicable Law. No Units shall be treated as a “security” within the meaning of Article 8 of the Uniform Commercial Code unless all Units then outstanding are certificated; notwithstanding anything to the contrary herein, including </w:t>
      </w:r>
      <w:r>
        <w:rPr>
          <w:rFonts w:ascii="Arial" w:cs="Arial" w:eastAsia="Arial" w:hAnsi="Arial"/>
          <w:sz w:val="17"/>
          <w:szCs w:val="17"/>
          <w:u w:val="single" w:color="auto"/>
          <w:color w:val="auto"/>
        </w:rPr>
        <w:t>Section 15.03</w:t>
      </w:r>
      <w:r>
        <w:rPr>
          <w:rFonts w:ascii="Arial" w:cs="Arial" w:eastAsia="Arial" w:hAnsi="Arial"/>
          <w:sz w:val="17"/>
          <w:szCs w:val="17"/>
          <w:color w:val="auto"/>
        </w:rPr>
        <w:t>, the Manager is authorized to amend this Agreement in order for the Company to opt-in to the provisions of Article 8 of the Uniform Commercial Code without the consent or approval of any Member of any other Person.</w:t>
      </w:r>
    </w:p>
    <w:p>
      <w:pPr>
        <w:spacing w:after="0" w:line="70" w:lineRule="exact"/>
        <w:rPr>
          <w:rFonts w:ascii="Arial" w:cs="Arial" w:eastAsia="Arial" w:hAnsi="Arial"/>
          <w:sz w:val="17"/>
          <w:szCs w:val="17"/>
          <w:color w:val="auto"/>
        </w:rPr>
      </w:pPr>
    </w:p>
    <w:p>
      <w:pPr>
        <w:ind w:firstLine="436"/>
        <w:spacing w:after="0" w:line="275" w:lineRule="auto"/>
        <w:tabs>
          <w:tab w:leader="none" w:pos="695"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Units are certificated, the Manager may direct that a new certificate representing one or more Units be issued in place of any certificate theretofore issued by the Company alleged to have been lost, stolen or destroyed, upon delivery to the Manager of an affidavit of the owner or owners of such certificate, setting forth such allegation. The Manager may require the owner of such lost, stolen or destroyed certificate, or such owner’s legal representative, to give the Company a bond sufficient to indemnify it against any claim that may be made against it on account of the alleged loss, theft or destruction of any such certificate or the issuance of any such new certificate.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03" w:name="page104"/>
    <w:bookmarkEnd w:id="103"/>
    <w:p>
      <w:pPr>
        <w:ind w:firstLine="436"/>
        <w:spacing w:after="0" w:line="257"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Units are certificated, upon surrender to the Company or the transfer agent of the Company, if any, of a certificate for one or more Units, duly endorsed or accompanied by appropriate evidence of succession, assignment or authority to transfer, in compliance with the provisions hereof, the Company shall issue a new certificate representing one or more Units to the Person entitled thereto, cancel the old certificate and record the transaction upon its books. Subject to the provisions of this Agreement, the Manager may prescribe such additional rules and regulations as it may deem appropriate relating to the issue, Transfer and registration of Units.</w:t>
      </w:r>
    </w:p>
    <w:p>
      <w:pPr>
        <w:spacing w:after="0" w:line="188" w:lineRule="exact"/>
        <w:rPr>
          <w:sz w:val="20"/>
          <w:szCs w:val="20"/>
          <w:color w:val="auto"/>
        </w:rPr>
      </w:pPr>
    </w:p>
    <w:p>
      <w:pPr>
        <w:ind w:right="600" w:firstLine="440"/>
        <w:spacing w:after="0" w:line="342" w:lineRule="auto"/>
        <w:rPr>
          <w:sz w:val="20"/>
          <w:szCs w:val="20"/>
          <w:color w:val="auto"/>
        </w:rPr>
      </w:pPr>
      <w:r>
        <w:rPr>
          <w:rFonts w:ascii="Arial" w:cs="Arial" w:eastAsia="Arial" w:hAnsi="Arial"/>
          <w:sz w:val="16"/>
          <w:szCs w:val="16"/>
          <w:u w:val="single" w:color="auto"/>
          <w:color w:val="auto"/>
        </w:rPr>
        <w:t>Section 3.07 Negative Capital Accounts</w:t>
      </w:r>
      <w:r>
        <w:rPr>
          <w:rFonts w:ascii="Arial" w:cs="Arial" w:eastAsia="Arial" w:hAnsi="Arial"/>
          <w:sz w:val="16"/>
          <w:szCs w:val="16"/>
          <w:color w:val="auto"/>
        </w:rPr>
        <w:t>. No Member shall be required to pay to any other Member or the Company any deficit or negative balance which may exist from time to time in such Member’s Capital Account (including upon and after dissolution of the Company).</w:t>
      </w:r>
    </w:p>
    <w:p>
      <w:pPr>
        <w:spacing w:after="0" w:line="12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u w:val="single" w:color="auto"/>
          <w:color w:val="auto"/>
        </w:rPr>
        <w:t>Section 3.08 No Withdrawal</w:t>
      </w:r>
      <w:r>
        <w:rPr>
          <w:rFonts w:ascii="Arial" w:cs="Arial" w:eastAsia="Arial" w:hAnsi="Arial"/>
          <w:sz w:val="18"/>
          <w:szCs w:val="18"/>
          <w:color w:val="auto"/>
        </w:rPr>
        <w:t>. No Person shall be entitled to withdraw any part of such Person’s Capital Contribution or Capital Account or to receive any Distribution from the Company, except as expressly provided in this Agreement.</w:t>
      </w:r>
    </w:p>
    <w:p>
      <w:pPr>
        <w:spacing w:after="0" w:line="170"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u w:val="single" w:color="auto"/>
          <w:color w:val="auto"/>
        </w:rPr>
        <w:t>Section 3.09 Loans From Members</w:t>
      </w:r>
      <w:r>
        <w:rPr>
          <w:rFonts w:ascii="Arial" w:cs="Arial" w:eastAsia="Arial" w:hAnsi="Arial"/>
          <w:sz w:val="18"/>
          <w:szCs w:val="18"/>
          <w:color w:val="auto"/>
        </w:rPr>
        <w:t xml:space="preserve">. Loans by Members to the Company shall not be considered Capital Contributions. Subject to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the amount of any such advances shall be a debt of the Company to such Member and shall be payable or collectible in accordance with the terms and conditions upon which such advances are made.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3.10 Corporate Stock Option Plans and Equity Plans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77" w:lineRule="auto"/>
        <w:tabs>
          <w:tab w:leader="none" w:pos="685"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Options Granted to Persons other than LLC Employees</w:t>
      </w:r>
      <w:r>
        <w:rPr>
          <w:rFonts w:ascii="Arial" w:cs="Arial" w:eastAsia="Arial" w:hAnsi="Arial"/>
          <w:sz w:val="18"/>
          <w:szCs w:val="18"/>
          <w:color w:val="auto"/>
        </w:rPr>
        <w:t>. If at any time or from time to time, in connection with any Stock Option Plan,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over shares of Class A Common Stock to a Person other than an LLC Employee is duly exercised:</w:t>
      </w:r>
    </w:p>
    <w:p>
      <w:pPr>
        <w:spacing w:after="0" w:line="62" w:lineRule="exact"/>
        <w:rPr>
          <w:rFonts w:ascii="Arial" w:cs="Arial" w:eastAsia="Arial" w:hAnsi="Arial"/>
          <w:sz w:val="18"/>
          <w:szCs w:val="18"/>
          <w:color w:val="auto"/>
        </w:rPr>
      </w:pPr>
    </w:p>
    <w:p>
      <w:pPr>
        <w:ind w:left="440" w:right="140" w:firstLine="419"/>
        <w:spacing w:after="0" w:line="308" w:lineRule="auto"/>
        <w:tabs>
          <w:tab w:leader="none" w:pos="1078"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Corporation shall, as soon as practicable after such exercise, make a Capital Contribution to the Company in an amount equal to the exercise price paid to the Corporation by such exercising Person in connection with the exercise of such stock option.</w:t>
      </w:r>
    </w:p>
    <w:p>
      <w:pPr>
        <w:spacing w:after="0" w:line="38" w:lineRule="exact"/>
        <w:rPr>
          <w:rFonts w:ascii="Arial" w:cs="Arial" w:eastAsia="Arial" w:hAnsi="Arial"/>
          <w:sz w:val="17"/>
          <w:szCs w:val="17"/>
          <w:color w:val="auto"/>
        </w:rPr>
      </w:pPr>
    </w:p>
    <w:p>
      <w:pPr>
        <w:ind w:left="440" w:right="40" w:firstLine="419"/>
        <w:spacing w:after="0" w:line="301" w:lineRule="auto"/>
        <w:tabs>
          <w:tab w:leader="none" w:pos="1128"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Notwithstanding the amount of the Capital Contribution actually made pursuant to </w:t>
      </w:r>
      <w:r>
        <w:rPr>
          <w:rFonts w:ascii="Arial" w:cs="Arial" w:eastAsia="Arial" w:hAnsi="Arial"/>
          <w:sz w:val="16"/>
          <w:szCs w:val="16"/>
          <w:u w:val="single" w:color="auto"/>
          <w:color w:val="auto"/>
        </w:rPr>
        <w:t>Section 3.10(a)(i)</w:t>
      </w:r>
      <w:r>
        <w:rPr>
          <w:rFonts w:ascii="Arial" w:cs="Arial" w:eastAsia="Arial" w:hAnsi="Arial"/>
          <w:sz w:val="16"/>
          <w:szCs w:val="16"/>
          <w:color w:val="auto"/>
        </w:rPr>
        <w:t>, the Corporation shall be deemed to have contributed to the Company as a Capital Contribution, in lieu of the Capital Contribution actually made and in consideration of additional Common Units, an amount equal to the Value of a share of Class A Common Stock as of the date of such exercise multiplied by the number of shares of Class A Common Stock then being issued by the Corporation in connection with the exercise of such stock option.</w:t>
      </w:r>
    </w:p>
    <w:p>
      <w:pPr>
        <w:spacing w:after="0" w:line="49" w:lineRule="exact"/>
        <w:rPr>
          <w:rFonts w:ascii="Arial" w:cs="Arial" w:eastAsia="Arial" w:hAnsi="Arial"/>
          <w:sz w:val="16"/>
          <w:szCs w:val="16"/>
          <w:color w:val="auto"/>
        </w:rPr>
      </w:pPr>
    </w:p>
    <w:p>
      <w:pPr>
        <w:ind w:left="440" w:right="440" w:firstLine="419"/>
        <w:spacing w:after="0" w:line="277" w:lineRule="auto"/>
        <w:tabs>
          <w:tab w:leader="none" w:pos="1178"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The Corporation shall receive in exchange for such Capital Contributions (as deemed made under </w:t>
      </w:r>
      <w:r>
        <w:rPr>
          <w:rFonts w:ascii="Arial" w:cs="Arial" w:eastAsia="Arial" w:hAnsi="Arial"/>
          <w:sz w:val="18"/>
          <w:szCs w:val="18"/>
          <w:u w:val="single" w:color="auto"/>
          <w:color w:val="auto"/>
        </w:rPr>
        <w:t>Section 3.10(a)(ii)</w:t>
      </w:r>
      <w:r>
        <w:rPr>
          <w:rFonts w:ascii="Arial" w:cs="Arial" w:eastAsia="Arial" w:hAnsi="Arial"/>
          <w:sz w:val="18"/>
          <w:szCs w:val="18"/>
          <w:color w:val="auto"/>
        </w:rPr>
        <w:t>), a number of Common Units equal to the number of shares of Class A Common Stock for which such option was exercised.</w:t>
      </w:r>
    </w:p>
    <w:p>
      <w:pPr>
        <w:spacing w:after="0" w:line="62"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Options Granted to LLC Employees</w:t>
      </w:r>
      <w:r>
        <w:rPr>
          <w:rFonts w:ascii="Arial" w:cs="Arial" w:eastAsia="Arial" w:hAnsi="Arial"/>
          <w:sz w:val="18"/>
          <w:szCs w:val="18"/>
          <w:color w:val="auto"/>
        </w:rPr>
        <w:t>. If at any time or from time to time, in connection with any Stock Option Plan, a stock option granted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A Common Stock to an LLC Employee is duly exercised: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04" w:name="page105"/>
    <w:bookmarkEnd w:id="104"/>
    <w:p>
      <w:pPr>
        <w:ind w:left="440" w:right="160" w:firstLine="419"/>
        <w:spacing w:after="0" w:line="291" w:lineRule="auto"/>
        <w:tabs>
          <w:tab w:leader="none" w:pos="1078" w:val="left"/>
        </w:tabs>
        <w:numPr>
          <w:ilvl w:val="1"/>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shall sell to the Optionee, and the Optionee shall purchase from the Corporation, for a cash price per share equal to the Value of a share of Class A Common Stock at the time of the exercise, the number of shares of Class A Common Stock equal to the quotient of</w:t>
      </w:r>
    </w:p>
    <w:p>
      <w:pPr>
        <w:ind w:left="440" w:right="140" w:hanging="4"/>
        <w:spacing w:after="0" w:line="260"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exercise price payable by the Optionee in connection with the exercise of such stock option divided by (y) the Value of a share of Class A Common Stock at the time of such exercise.</w:t>
      </w:r>
    </w:p>
    <w:p>
      <w:pPr>
        <w:spacing w:after="0" w:line="77" w:lineRule="exact"/>
        <w:rPr>
          <w:rFonts w:ascii="Arial" w:cs="Arial" w:eastAsia="Arial" w:hAnsi="Arial"/>
          <w:sz w:val="18"/>
          <w:szCs w:val="18"/>
          <w:color w:val="auto"/>
        </w:rPr>
      </w:pPr>
    </w:p>
    <w:p>
      <w:pPr>
        <w:ind w:left="1120" w:hanging="261"/>
        <w:spacing w:after="0"/>
        <w:tabs>
          <w:tab w:leader="none" w:pos="11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Corporation shall sell to the Company (or if the Optionee is an employee of, or other service provider to, a Subsidiary, the</w:t>
      </w:r>
    </w:p>
    <w:p>
      <w:pPr>
        <w:spacing w:after="0" w:line="34" w:lineRule="exact"/>
        <w:rPr>
          <w:rFonts w:ascii="Arial" w:cs="Arial" w:eastAsia="Arial" w:hAnsi="Arial"/>
          <w:sz w:val="17"/>
          <w:szCs w:val="17"/>
          <w:color w:val="auto"/>
        </w:rPr>
      </w:pPr>
    </w:p>
    <w:p>
      <w:pPr>
        <w:ind w:left="44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Corporation shall sell to such Subsidiary), and the Company (or such Subsidiary, as applicable) shall purchase from the Corporation, a number of shares of Class A Common Stock equal to the difference between (x) the number of shares of Class A Common Stock as to which such stock option is being exercised minus (y) the number of shares of Class A Common Stock sold pursuant to </w:t>
      </w:r>
      <w:r>
        <w:rPr>
          <w:rFonts w:ascii="Arial" w:cs="Arial" w:eastAsia="Arial" w:hAnsi="Arial"/>
          <w:sz w:val="17"/>
          <w:szCs w:val="17"/>
          <w:u w:val="single" w:color="auto"/>
          <w:color w:val="auto"/>
        </w:rPr>
        <w:t>Section 3.10(b)(i)</w:t>
      </w:r>
      <w:r>
        <w:rPr>
          <w:rFonts w:ascii="Arial" w:cs="Arial" w:eastAsia="Arial" w:hAnsi="Arial"/>
          <w:sz w:val="17"/>
          <w:szCs w:val="17"/>
          <w:color w:val="auto"/>
        </w:rPr>
        <w:t xml:space="preserve"> hereof. The purchase price per share of Class A Common Stock for such sale of shares of Class A Common Stock to the Company (or such Subsidiary) shall be the Value of a share of Class A Common Stock as of the date of exercise of such stock option.</w:t>
      </w:r>
    </w:p>
    <w:p>
      <w:pPr>
        <w:spacing w:after="0" w:line="70" w:lineRule="exact"/>
        <w:rPr>
          <w:rFonts w:ascii="Arial" w:cs="Arial" w:eastAsia="Arial" w:hAnsi="Arial"/>
          <w:sz w:val="17"/>
          <w:szCs w:val="17"/>
          <w:color w:val="auto"/>
        </w:rPr>
      </w:pPr>
    </w:p>
    <w:p>
      <w:pPr>
        <w:ind w:left="440" w:right="180" w:firstLine="419"/>
        <w:spacing w:after="0" w:line="286" w:lineRule="auto"/>
        <w:tabs>
          <w:tab w:leader="none" w:pos="1178"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The Company shall transfer to the Optionee (or if the Optionee is an employee of, or other service provider to, a Subsidiary, the Subsidiary shall transfer to the Optionee) at no additional cost to such LLC Employee and as additional compensation (and not a distribution) to such LLC Employee, the number of shares of Class A Common Stock described in </w:t>
      </w:r>
      <w:r>
        <w:rPr>
          <w:rFonts w:ascii="Arial" w:cs="Arial" w:eastAsia="Arial" w:hAnsi="Arial"/>
          <w:sz w:val="17"/>
          <w:szCs w:val="17"/>
          <w:u w:val="single" w:color="auto"/>
          <w:color w:val="auto"/>
        </w:rPr>
        <w:t>Section 3.10(b)(ii)</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40" w:right="60" w:firstLine="419"/>
        <w:spacing w:after="0" w:line="279" w:lineRule="auto"/>
        <w:tabs>
          <w:tab w:leader="none" w:pos="1168"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Corporation shall, as soon as practicable after such exercise, make a Capital Contribution to the Company in an amount equal to all proceeds received (from whatever source, but excluding any payment in respect of payroll taxes or other withholdings) by the Corporation in connection with the exercise of such stock option. The Corporation shall receive for such Capital Contribution, a number of Common Units equal to the number of shares of Class A Common Stock for which such option was exercised.</w:t>
      </w:r>
    </w:p>
    <w:p>
      <w:pPr>
        <w:spacing w:after="0" w:line="63" w:lineRule="exact"/>
        <w:rPr>
          <w:sz w:val="20"/>
          <w:szCs w:val="20"/>
          <w:color w:val="auto"/>
        </w:rPr>
      </w:pPr>
    </w:p>
    <w:p>
      <w:pPr>
        <w:ind w:firstLine="436"/>
        <w:spacing w:after="0" w:line="259" w:lineRule="auto"/>
        <w:tabs>
          <w:tab w:leader="none" w:pos="68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Restricted Stock Granted to LLC Employees</w:t>
      </w:r>
      <w:r>
        <w:rPr>
          <w:rFonts w:ascii="Arial" w:cs="Arial" w:eastAsia="Arial" w:hAnsi="Arial"/>
          <w:sz w:val="18"/>
          <w:szCs w:val="18"/>
          <w:color w:val="auto"/>
        </w:rPr>
        <w:t>. If at any time or from time to time, in connection with any Equity Plan (other than a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any shares of Class A Common Stock are issued to an LLC Employee (including any shares of Class A Common Stock that are subject to forfeiture in the event such LLC Employee terminates his or her employment with the Company or any Subsidiary) in consideration for services performed for the Company or any Subsidiary:</w:t>
      </w:r>
    </w:p>
    <w:p>
      <w:pPr>
        <w:spacing w:after="0" w:line="78" w:lineRule="exact"/>
        <w:rPr>
          <w:rFonts w:ascii="Arial" w:cs="Arial" w:eastAsia="Arial" w:hAnsi="Arial"/>
          <w:sz w:val="18"/>
          <w:szCs w:val="18"/>
          <w:color w:val="auto"/>
        </w:rPr>
      </w:pPr>
    </w:p>
    <w:p>
      <w:pPr>
        <w:ind w:left="440" w:right="200" w:firstLine="419"/>
        <w:spacing w:after="0" w:line="277" w:lineRule="auto"/>
        <w:tabs>
          <w:tab w:leader="none" w:pos="107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Corporation shall issue such number of shares of Class A Common Stock as are to be issued to such LLC Employee in accordance with the Equity Plan;</w:t>
      </w:r>
    </w:p>
    <w:p>
      <w:pPr>
        <w:spacing w:after="0" w:line="62" w:lineRule="exact"/>
        <w:rPr>
          <w:rFonts w:ascii="Arial" w:cs="Arial" w:eastAsia="Arial" w:hAnsi="Arial"/>
          <w:sz w:val="18"/>
          <w:szCs w:val="18"/>
          <w:color w:val="auto"/>
        </w:rPr>
      </w:pPr>
    </w:p>
    <w:p>
      <w:pPr>
        <w:ind w:left="440" w:right="20" w:firstLine="419"/>
        <w:spacing w:after="0" w:line="257" w:lineRule="auto"/>
        <w:tabs>
          <w:tab w:leader="none" w:pos="1128" w:val="left"/>
        </w:tabs>
        <w:numPr>
          <w:ilvl w:val="1"/>
          <w:numId w:val="94"/>
        </w:numPr>
        <w:rPr>
          <w:rFonts w:ascii="Arial" w:cs="Arial" w:eastAsia="Arial" w:hAnsi="Arial"/>
          <w:sz w:val="18"/>
          <w:szCs w:val="18"/>
          <w:color w:val="auto"/>
        </w:rPr>
      </w:pPr>
      <w:r>
        <w:rPr>
          <w:rFonts w:ascii="Arial" w:cs="Arial" w:eastAsia="Arial" w:hAnsi="Arial"/>
          <w:sz w:val="18"/>
          <w:szCs w:val="18"/>
          <w:color w:val="auto"/>
        </w:rPr>
        <w:t>On the date (such date,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that the Value of such shares is includible in taxable income of such LLC Employee, the following events will be deemed to have occurred: (1) the Corporation shall be deemed to have sold such shares of Class A Common Stock to the Company (or if such LLC Employee is an employee of, or other service provider to, a Subsidiary, to such Subsidiary) for a purchase price equal to the Value of such shares of Class A Common Stock, (2) the Company (or such Subsidiary) shall be deemed to have delivered such shares of Class A Common Stock to such LLC Employee,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05" w:name="page106"/>
    <w:bookmarkEnd w:id="105"/>
    <w:p>
      <w:pPr>
        <w:ind w:left="440" w:right="40" w:hanging="4"/>
        <w:spacing w:after="0" w:line="263" w:lineRule="auto"/>
        <w:tabs>
          <w:tab w:leader="none" w:pos="695"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shall be deemed to have contributed the purchase price for such shares of Class A Common Stock to the Company as a Capital Contribution, and (4) in the case where such LLC Employee is an employee of a Subsidiary, the Company shall be deemed to have contributed such amount to the capital of the Subsidiary; and</w:t>
      </w:r>
    </w:p>
    <w:p>
      <w:pPr>
        <w:spacing w:after="0" w:line="75" w:lineRule="exact"/>
        <w:rPr>
          <w:rFonts w:ascii="Arial" w:cs="Arial" w:eastAsia="Arial" w:hAnsi="Arial"/>
          <w:sz w:val="18"/>
          <w:szCs w:val="18"/>
          <w:color w:val="auto"/>
        </w:rPr>
      </w:pPr>
    </w:p>
    <w:p>
      <w:pPr>
        <w:ind w:left="440" w:firstLine="419"/>
        <w:spacing w:after="0" w:line="263" w:lineRule="auto"/>
        <w:tabs>
          <w:tab w:leader="none" w:pos="11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The Company shall issue to the Corporation on the Vesting Date a number of Common Units equal to the number of shares of Class A Common Stock issued under </w:t>
      </w:r>
      <w:r>
        <w:rPr>
          <w:rFonts w:ascii="Arial" w:cs="Arial" w:eastAsia="Arial" w:hAnsi="Arial"/>
          <w:sz w:val="18"/>
          <w:szCs w:val="18"/>
          <w:u w:val="single" w:color="auto"/>
          <w:color w:val="auto"/>
        </w:rPr>
        <w:t>Section 3.10(c)(i)</w:t>
      </w:r>
      <w:r>
        <w:rPr>
          <w:rFonts w:ascii="Arial" w:cs="Arial" w:eastAsia="Arial" w:hAnsi="Arial"/>
          <w:sz w:val="18"/>
          <w:szCs w:val="18"/>
          <w:color w:val="auto"/>
        </w:rPr>
        <w:t xml:space="preserve"> in consideration for a Capital Contribution that the Corporation is deemed to make to the Company pursuant to clause (3) of </w:t>
      </w:r>
      <w:r>
        <w:rPr>
          <w:rFonts w:ascii="Arial" w:cs="Arial" w:eastAsia="Arial" w:hAnsi="Arial"/>
          <w:sz w:val="18"/>
          <w:szCs w:val="18"/>
          <w:u w:val="single" w:color="auto"/>
          <w:color w:val="auto"/>
        </w:rPr>
        <w:t>Section 3.10(c)(ii)</w:t>
      </w:r>
      <w:r>
        <w:rPr>
          <w:rFonts w:ascii="Arial" w:cs="Arial" w:eastAsia="Arial" w:hAnsi="Arial"/>
          <w:sz w:val="18"/>
          <w:szCs w:val="18"/>
          <w:color w:val="auto"/>
        </w:rPr>
        <w:t xml:space="preserve"> above.</w:t>
      </w:r>
    </w:p>
    <w:p>
      <w:pPr>
        <w:spacing w:after="0" w:line="76" w:lineRule="exact"/>
        <w:rPr>
          <w:sz w:val="20"/>
          <w:szCs w:val="20"/>
          <w:color w:val="auto"/>
        </w:rPr>
      </w:pPr>
    </w:p>
    <w:p>
      <w:pPr>
        <w:ind w:right="160" w:firstLine="436"/>
        <w:spacing w:after="0" w:line="255"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Future Stock Incentive Plans</w:t>
      </w:r>
      <w:r>
        <w:rPr>
          <w:rFonts w:ascii="Arial" w:cs="Arial" w:eastAsia="Arial" w:hAnsi="Arial"/>
          <w:sz w:val="18"/>
          <w:szCs w:val="18"/>
          <w:color w:val="auto"/>
        </w:rPr>
        <w:t>. Nothing in this Agreement shall be construed or applied to preclude or restrain the Corporation from adopting,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modifying or terminating stock incentive plans for the benefit of employees, directors or other business associates of the Corporation, the Company or any of their respective Affiliates. The Members acknowledge and agree that, in the event that any such plan is adopted, modified or terminated by the Corporation, amendments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may become necessary or advisable and that any approval or consent to any such amendments requested by the Corporation shall be deemed granted by the Manager and the Members, as applicable, without the requirement of any further consent or acknowledgement of any other Member.</w:t>
      </w:r>
    </w:p>
    <w:p>
      <w:pPr>
        <w:spacing w:after="0" w:line="84" w:lineRule="exact"/>
        <w:rPr>
          <w:rFonts w:ascii="Arial" w:cs="Arial" w:eastAsia="Arial" w:hAnsi="Arial"/>
          <w:sz w:val="18"/>
          <w:szCs w:val="18"/>
          <w:color w:val="auto"/>
        </w:rPr>
      </w:pPr>
    </w:p>
    <w:p>
      <w:pPr>
        <w:ind w:right="40" w:firstLine="436"/>
        <w:spacing w:after="0" w:line="259" w:lineRule="auto"/>
        <w:tabs>
          <w:tab w:leader="none" w:pos="68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For all purposes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3.10</w:t>
      </w:r>
      <w:r>
        <w:rPr>
          <w:rFonts w:ascii="Arial" w:cs="Arial" w:eastAsia="Arial" w:hAnsi="Arial"/>
          <w:sz w:val="18"/>
          <w:szCs w:val="18"/>
          <w:color w:val="auto"/>
        </w:rPr>
        <w:t>, the number of shares of Class A Common Stock and the corresponding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Units shall be determined after giving effect to all anti-dilution or similar adjustments that are applicable, as of the date of exercise or vesting, to the option, warrant, restricted stock or other equity interest that is being exercised or becomes vested under the applicable Stock Option Plan or other Equity Plan and applicable award or grant documentation.</w:t>
      </w:r>
    </w:p>
    <w:p>
      <w:pPr>
        <w:spacing w:after="0" w:line="18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u w:val="single" w:color="auto"/>
          <w:color w:val="auto"/>
        </w:rPr>
        <w:t>Section 3.11 Dividend Reinvestment Plan, Cash Option Purchase Plan, Stock Incentive Plan or Other Plan</w:t>
      </w:r>
      <w:r>
        <w:rPr>
          <w:rFonts w:ascii="Arial" w:cs="Arial" w:eastAsia="Arial" w:hAnsi="Arial"/>
          <w:sz w:val="16"/>
          <w:szCs w:val="16"/>
          <w:color w:val="auto"/>
        </w:rPr>
        <w:t xml:space="preserve">. Except as may otherwise be provided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all amounts received or deemed received by the Corporation in respect of any dividend reinvestment plan, cash option purchase plan, stock incentive or other stock or subscription plan or agreement, either (a) shall be utilized by the Corporation to effect open market purchases of shares of Class A Common Stock, or (b) if the Corporation elects instead to issue new shares of Class A Common Stock with respect to such amounts, shall be contributed by the Corporation to the Company in exchange for additional Common Units. Upon such contribution, the Company will issue to the Corporation a number of Common Units equal to the number of new shares of Class A Common Stock so issued.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4.01 Distributions</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9" w:lineRule="auto"/>
        <w:tabs>
          <w:tab w:leader="none" w:pos="68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Distributable Cash; Other Distributions</w:t>
      </w:r>
      <w:r>
        <w:rPr>
          <w:rFonts w:ascii="Arial" w:cs="Arial" w:eastAsia="Arial" w:hAnsi="Arial"/>
          <w:sz w:val="18"/>
          <w:szCs w:val="18"/>
          <w:color w:val="auto"/>
        </w:rPr>
        <w:t>. To the extent permitted by applicable Law and hereunder, Distributions to Members may be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Manager out of Distributable Cash or other funds or property legally available therefor in such amounts, at such time and on such terms (including the payment dates of such Distributions) as the Manager in its sole discretion shall determine using such record date as the Manager may designate. 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06" w:name="page107"/>
    <w:bookmarkEnd w:id="10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Distributions made under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shall be made to the Members as of the close of business on such record date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each Member’s Percentage Interest (other than, for the avoidance of doubt, any distributions made pursuant to </w:t>
      </w:r>
      <w:r>
        <w:rPr>
          <w:rFonts w:ascii="Arial" w:cs="Arial" w:eastAsia="Arial" w:hAnsi="Arial"/>
          <w:sz w:val="16"/>
          <w:szCs w:val="16"/>
          <w:u w:val="single" w:color="auto"/>
          <w:color w:val="auto"/>
        </w:rPr>
        <w:t>Section 4.01(b)(v)</w:t>
      </w:r>
      <w:r>
        <w:rPr>
          <w:rFonts w:ascii="Arial" w:cs="Arial" w:eastAsia="Arial" w:hAnsi="Arial"/>
          <w:sz w:val="16"/>
          <w:szCs w:val="16"/>
          <w:color w:val="auto"/>
        </w:rPr>
        <w:t xml:space="preserve">) as of the close of business on such record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Manager shall have the obligation to make Distributions as set forth in </w:t>
      </w:r>
      <w:r>
        <w:rPr>
          <w:rFonts w:ascii="Arial" w:cs="Arial" w:eastAsia="Arial" w:hAnsi="Arial"/>
          <w:sz w:val="16"/>
          <w:szCs w:val="16"/>
          <w:u w:val="single" w:color="auto"/>
          <w:color w:val="auto"/>
        </w:rPr>
        <w:t>Sections</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4.01(b)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14.02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notwithstanding any other provision herein to the contrary, no Distributions shall be made to any Member to the extent such Distribution would render the Company insolvent or violate the Delaware Act. For purposes of the foregoing sentence, insolvency means the inability of the Company to meet its payment obligations when due. In furtherance of the foregoing, it is intended that the Manager shall, to the extent permitted by applicable Law and hereunder, have the right in its sole discretion to make Distributions of Distributable Cash to the Members pursuant to this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in such amounts as shall enable the Corporation to meet its obligations, including its obligations pursuant to the Tax Receivable Agreement (to the extent such obligations are not otherwise able to be satisfied as a result of Tax Distributions required to be made pursuant to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(i) the Company shall not make a distribution (other than Tax Distributions under </w:t>
      </w:r>
      <w:r>
        <w:rPr>
          <w:rFonts w:ascii="Arial" w:cs="Arial" w:eastAsia="Arial" w:hAnsi="Arial"/>
          <w:sz w:val="17"/>
          <w:szCs w:val="17"/>
          <w:u w:val="single" w:color="auto"/>
          <w:color w:val="auto"/>
        </w:rPr>
        <w:t>Section 4.01(b)</w:t>
      </w:r>
      <w:r>
        <w:rPr>
          <w:rFonts w:ascii="Arial" w:cs="Arial" w:eastAsia="Arial" w:hAnsi="Arial"/>
          <w:sz w:val="17"/>
          <w:szCs w:val="17"/>
          <w:color w:val="auto"/>
        </w:rPr>
        <w:t>) to any Member in respect of any Common Units which remain subject to vesting conditions in accordance with any applicable equity plan or individual award agreement and (ii) with respect to any amounts that would otherwise have been distributed to a Member but for the preceding clause (i), such amount shall be held in trust by the Company for the benefit of such Member unless and until such time as such Common Units have vested in accordance with the applicable equity plan or individual award agreement, and within five (5) Business Days of such time, the Company shall distribute such amounts to such Member.</w:t>
      </w:r>
    </w:p>
    <w:p>
      <w:pPr>
        <w:spacing w:after="0" w:line="76" w:lineRule="exact"/>
        <w:rPr>
          <w:sz w:val="20"/>
          <w:szCs w:val="20"/>
          <w:color w:val="auto"/>
        </w:rPr>
      </w:pPr>
    </w:p>
    <w:p>
      <w:pPr>
        <w:ind w:left="700" w:hanging="264"/>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Tax Distributions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8" w:lineRule="auto"/>
        <w:tabs>
          <w:tab w:leader="none" w:pos="1078" w:val="left"/>
        </w:tabs>
        <w:numPr>
          <w:ilvl w:val="1"/>
          <w:numId w:val="98"/>
        </w:numPr>
        <w:rPr>
          <w:rFonts w:ascii="Arial" w:cs="Arial" w:eastAsia="Arial" w:hAnsi="Arial"/>
          <w:sz w:val="17"/>
          <w:szCs w:val="17"/>
          <w:color w:val="auto"/>
        </w:rPr>
      </w:pPr>
      <w:r>
        <w:rPr>
          <w:rFonts w:ascii="Arial" w:cs="Arial" w:eastAsia="Arial" w:hAnsi="Arial"/>
          <w:sz w:val="17"/>
          <w:szCs w:val="17"/>
          <w:color w:val="auto"/>
        </w:rPr>
        <w:t>With respect to each Fiscal Year, the Company shall, to the extent permitted by applicable Law, make cash distributions (“</w:t>
      </w:r>
      <w:r>
        <w:rPr>
          <w:rFonts w:ascii="Arial" w:cs="Arial" w:eastAsia="Arial" w:hAnsi="Arial"/>
          <w:sz w:val="17"/>
          <w:szCs w:val="17"/>
          <w:b w:val="1"/>
          <w:bCs w:val="1"/>
          <w:i w:val="1"/>
          <w:i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Distributions</w:t>
      </w:r>
      <w:r>
        <w:rPr>
          <w:rFonts w:ascii="Arial" w:cs="Arial" w:eastAsia="Arial" w:hAnsi="Arial"/>
          <w:sz w:val="17"/>
          <w:szCs w:val="17"/>
          <w:color w:val="auto"/>
        </w:rPr>
        <w:t>”) to each Member in accordance with, and to the extent of, such Member’s Assumed Tax Liability. Tax Distributions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4.01(b)(i)</w:t>
      </w:r>
      <w:r>
        <w:rPr>
          <w:rFonts w:ascii="Arial" w:cs="Arial" w:eastAsia="Arial" w:hAnsi="Arial"/>
          <w:sz w:val="17"/>
          <w:szCs w:val="17"/>
          <w:color w:val="auto"/>
        </w:rPr>
        <w:t xml:space="preserve"> shall be estimated by the Company on a quarterly basis and, to the extent feasible, shall be distributed to the Members (together with a statement showing the calculation of such Tax Distribution and an estimate of the Company’s net taxable income allocable to each Member for such period) on a quarterly basis on April 15</w:t>
      </w:r>
      <w:r>
        <w:rPr>
          <w:rFonts w:ascii="Arial" w:cs="Arial" w:eastAsia="Arial" w:hAnsi="Arial"/>
          <w:sz w:val="14"/>
          <w:szCs w:val="14"/>
          <w:color w:val="auto"/>
        </w:rPr>
        <w:t>th</w:t>
      </w:r>
      <w:r>
        <w:rPr>
          <w:rFonts w:ascii="Arial" w:cs="Arial" w:eastAsia="Arial" w:hAnsi="Arial"/>
          <w:sz w:val="17"/>
          <w:szCs w:val="17"/>
          <w:color w:val="auto"/>
        </w:rPr>
        <w:t>, June 15</w:t>
      </w:r>
      <w:r>
        <w:rPr>
          <w:rFonts w:ascii="Arial" w:cs="Arial" w:eastAsia="Arial" w:hAnsi="Arial"/>
          <w:sz w:val="14"/>
          <w:szCs w:val="14"/>
          <w:color w:val="auto"/>
        </w:rPr>
        <w:t>th</w:t>
      </w:r>
      <w:r>
        <w:rPr>
          <w:rFonts w:ascii="Arial" w:cs="Arial" w:eastAsia="Arial" w:hAnsi="Arial"/>
          <w:sz w:val="17"/>
          <w:szCs w:val="17"/>
          <w:color w:val="auto"/>
        </w:rPr>
        <w:t>, September 15</w:t>
      </w:r>
      <w:r>
        <w:rPr>
          <w:rFonts w:ascii="Arial" w:cs="Arial" w:eastAsia="Arial" w:hAnsi="Arial"/>
          <w:sz w:val="14"/>
          <w:szCs w:val="14"/>
          <w:color w:val="auto"/>
        </w:rPr>
        <w:t>th</w:t>
      </w:r>
      <w:r>
        <w:rPr>
          <w:rFonts w:ascii="Arial" w:cs="Arial" w:eastAsia="Arial" w:hAnsi="Arial"/>
          <w:sz w:val="17"/>
          <w:szCs w:val="17"/>
          <w:color w:val="auto"/>
        </w:rPr>
        <w:t xml:space="preserve"> and January 15</w:t>
      </w:r>
      <w:r>
        <w:rPr>
          <w:rFonts w:ascii="Arial" w:cs="Arial" w:eastAsia="Arial" w:hAnsi="Arial"/>
          <w:sz w:val="14"/>
          <w:szCs w:val="14"/>
          <w:color w:val="auto"/>
        </w:rPr>
        <w:t>th</w:t>
      </w:r>
      <w:r>
        <w:rPr>
          <w:rFonts w:ascii="Arial" w:cs="Arial" w:eastAsia="Arial" w:hAnsi="Arial"/>
          <w:sz w:val="17"/>
          <w:szCs w:val="17"/>
          <w:color w:val="auto"/>
        </w:rPr>
        <w:t xml:space="preserve"> (of the succeeding year) (or such other dates for which individuals are required to make quarterly estimated tax payments for U.S. federal income tax purposes) (each, a “</w:t>
      </w:r>
      <w:r>
        <w:rPr>
          <w:rFonts w:ascii="Arial" w:cs="Arial" w:eastAsia="Arial" w:hAnsi="Arial"/>
          <w:sz w:val="17"/>
          <w:szCs w:val="17"/>
          <w:b w:val="1"/>
          <w:bCs w:val="1"/>
          <w:i w:val="1"/>
          <w:iCs w:val="1"/>
          <w:color w:val="auto"/>
        </w:rPr>
        <w:t>Quarterly Tax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shall not restrict the Company from making a Tax Distribution on any other date. Quarterly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shall take into account the estimated taxable income or loss of the Company for the Fiscal Year through the end of the relevant quarterly period. A final accounting for Tax Distributions shall be made for each Fiscal Year after the allocation of the Company’s actual net taxable income or loss has been determined and any shortfall in the amount of Tax Distributions a Member received for such Fiscal Year based on such final accounting shall promptly be distributed to such Member. For the avoidance of doubt, any excess Tax Distributions a Member receives with respect to any Fiscal Year shall reduce future Tax Distributions otherwise required to be made to such Member with respect to any subsequent Fiscal Year.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07" w:name="page108"/>
    <w:bookmarkEnd w:id="107"/>
    <w:p>
      <w:pPr>
        <w:ind w:right="40" w:firstLine="419"/>
        <w:spacing w:after="0" w:line="254" w:lineRule="auto"/>
        <w:tabs>
          <w:tab w:leader="none" w:pos="688"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a Member otherwise would be entitled to receive less than its Percentage Interest of the aggregate Tax Distributions to be paid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(other than any distributions made pursuant to </w:t>
      </w:r>
      <w:r>
        <w:rPr>
          <w:rFonts w:ascii="Arial" w:cs="Arial" w:eastAsia="Arial" w:hAnsi="Arial"/>
          <w:sz w:val="18"/>
          <w:szCs w:val="18"/>
          <w:u w:val="single" w:color="auto"/>
          <w:color w:val="auto"/>
        </w:rPr>
        <w:t>Section 4.01(b)(v)</w:t>
      </w:r>
      <w:r>
        <w:rPr>
          <w:rFonts w:ascii="Arial" w:cs="Arial" w:eastAsia="Arial" w:hAnsi="Arial"/>
          <w:sz w:val="18"/>
          <w:szCs w:val="18"/>
          <w:color w:val="auto"/>
        </w:rPr>
        <w:t xml:space="preserve">) on any given date, the Tax Distributions to such Member shall be increased to ensure that all Distributions made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are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Members’ respective Percentage Interests. If, on the date of a Tax Distribution, there are insufficient funds on hand to distribute to the Members the full amount of the Tax Distributions to which such Members are otherwise entitled, Distributions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shall be made to the Members to the extent of available funds in accordance with their Percentage Interests and the Company shall make future Tax Distributions as soon as funds become available sufficient to pay the remaining portion of the Tax Distributions to which such Members are otherwise entitled.</w:t>
      </w:r>
    </w:p>
    <w:p>
      <w:pPr>
        <w:spacing w:after="0" w:line="83" w:lineRule="exact"/>
        <w:rPr>
          <w:rFonts w:ascii="Arial" w:cs="Arial" w:eastAsia="Arial" w:hAnsi="Arial"/>
          <w:sz w:val="18"/>
          <w:szCs w:val="18"/>
          <w:color w:val="auto"/>
        </w:rPr>
      </w:pPr>
    </w:p>
    <w:p>
      <w:pPr>
        <w:ind w:firstLine="419"/>
        <w:spacing w:after="0" w:line="284" w:lineRule="auto"/>
        <w:tabs>
          <w:tab w:leader="none" w:pos="738"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event of any audit by, or similar event with, a taxing authority that affects the calculation of any Member’s Assumed Tax Liability for any Taxable Year (other than an audit conducted pursuant to the Revised Partnership Audit Provisions for which no election is made pursuant to Section 6226 thereof and the Treasury Regulations promulgated thereunder), or in the event the Company files an amended tax return, each Member’s Assumed Tax Liability with respect to such year shall be recalculated by giving effect to such event (for the avoidance of doubt, taking into account interest or penalties). Any shortfall in the amount of Tax Distributions the Members and former Members received for the relevant Taxable Years based on such recalculated Assumed Tax Liability promptly shall be distributed to such Members and the successors of such former Members, except, for the avoidance of doubt, to the extent Distributions were made to such Members and former Members pursuant to</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in the relevant Taxable Years sufficient to cover such shortfall.</w:t>
      </w:r>
    </w:p>
    <w:p>
      <w:pPr>
        <w:spacing w:after="0" w:line="102" w:lineRule="exact"/>
        <w:rPr>
          <w:rFonts w:ascii="Arial" w:cs="Arial" w:eastAsia="Arial" w:hAnsi="Arial"/>
          <w:sz w:val="16"/>
          <w:szCs w:val="16"/>
          <w:color w:val="auto"/>
        </w:rPr>
      </w:pPr>
    </w:p>
    <w:p>
      <w:pPr>
        <w:ind w:right="200" w:firstLine="419"/>
        <w:spacing w:after="0" w:line="259" w:lineRule="auto"/>
        <w:tabs>
          <w:tab w:leader="none" w:pos="7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Notwithstanding the foregoing, Tax Distributions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(other than, for the avoidance of doubt, any distributions made pursuant to </w:t>
      </w:r>
      <w:r>
        <w:rPr>
          <w:rFonts w:ascii="Arial" w:cs="Arial" w:eastAsia="Arial" w:hAnsi="Arial"/>
          <w:sz w:val="18"/>
          <w:szCs w:val="18"/>
          <w:u w:val="single" w:color="auto"/>
          <w:color w:val="auto"/>
        </w:rPr>
        <w:t>Section 4.01(b)(v))</w:t>
      </w:r>
      <w:r>
        <w:rPr>
          <w:rFonts w:ascii="Arial" w:cs="Arial" w:eastAsia="Arial" w:hAnsi="Arial"/>
          <w:sz w:val="18"/>
          <w:szCs w:val="18"/>
          <w:color w:val="auto"/>
        </w:rPr>
        <w:t xml:space="preserve">, if any, shall be made to a Member only to the extent all previous Tax Distributions to such Member pursuant to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with respect to the Fiscal Year are less than the Tax Distributions such Member otherwise would have been entitled to receive with respect to such Fiscal Year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40" w:firstLine="419"/>
        <w:spacing w:after="0" w:line="270" w:lineRule="auto"/>
        <w:tabs>
          <w:tab w:leader="none" w:pos="678"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Notwithstanding the foregoing and anything to the contrary in this Agreement, a final accounting for distributions under Section 5.3 of the Initial LLC Agreement in respect of the taxable income of the Company for the portion of the Fiscal Year of the Company that ends on the closing date of the IPO shall be made by the Company following the closing date of the IPO and, based on such final accounting, the Company shall make a distribution to the Pre-IPO Members (or in the case of any Pre-IPO Member that no longer exists, the successor of such Pre-IPO Member) in accordance with the applicable terms of the Initial LLC Agreement to the extent of any shortfall in the amount of distributions the Pre-IPO Members received prior to the closing date of the IPO under Section 5.3 of the Initial LLC Agreement with respect to taxable income of the Company for such portion of such Fiscal Year that will be allocated to the Pre-IPO Members pursuant to Section 706 of the Code. For the avoidance of doubt, the amount of distributions to be made pursuant to this </w:t>
      </w:r>
      <w:r>
        <w:rPr>
          <w:rFonts w:ascii="Arial" w:cs="Arial" w:eastAsia="Arial" w:hAnsi="Arial"/>
          <w:sz w:val="17"/>
          <w:szCs w:val="17"/>
          <w:u w:val="single" w:color="auto"/>
          <w:color w:val="auto"/>
        </w:rPr>
        <w:t>Section 4.01(b)(v)</w:t>
      </w:r>
      <w:r>
        <w:rPr>
          <w:rFonts w:ascii="Arial" w:cs="Arial" w:eastAsia="Arial" w:hAnsi="Arial"/>
          <w:sz w:val="17"/>
          <w:szCs w:val="17"/>
          <w:color w:val="auto"/>
        </w:rPr>
        <w:t xml:space="preserve"> shall be calculated pursuant to Section 5.3 of the Initial LLC Agreement.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4" w:right="45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CAPITAL ACCOUNTS; ALLOCATIONS; TAX MATTERS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5.01 Capital Accounts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Company shall maintain a separate Capital Account for each Member according to the rules of Treasury Regulation</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Section 1.704-1(b)(2)(iv). For this purpose, the Company may (in the discretion of the Manager), upon the occurrence of the events specified in Treasury Regulation Section 1.704-1(b)(2)(iv)(f), increase or decrease the Capital Accounts in accordance with the rules of such Treasury Regulation and Treasury Regulation Section 1.704-1(b)(2)(iv)(g) to reflect a revaluation of the Company’s property.</w:t>
      </w:r>
    </w:p>
    <w:p>
      <w:pPr>
        <w:spacing w:after="0" w:line="82" w:lineRule="exact"/>
        <w:rPr>
          <w:sz w:val="20"/>
          <w:szCs w:val="20"/>
          <w:color w:val="auto"/>
        </w:rPr>
      </w:pPr>
    </w:p>
    <w:p>
      <w:pPr>
        <w:jc w:val="both"/>
        <w:ind w:firstLine="436"/>
        <w:spacing w:after="0" w:line="259" w:lineRule="auto"/>
        <w:tabs>
          <w:tab w:leader="none" w:pos="6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For purposes of computing the amount of any item of income, gain, loss or deduction with respect to the Company to be allocated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to be reflected in the Capital Accounts of the Members, the determination, recognition and classification of any such item shall be the same as its determination, recognition and classification for U.S. federal income tax purposes (including any method of depreciation, cost recovery or amortization used for this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78" w:lineRule="exact"/>
        <w:rPr>
          <w:rFonts w:ascii="Arial" w:cs="Arial" w:eastAsia="Arial" w:hAnsi="Arial"/>
          <w:sz w:val="18"/>
          <w:szCs w:val="18"/>
          <w:color w:val="auto"/>
        </w:rPr>
      </w:pPr>
    </w:p>
    <w:p>
      <w:pPr>
        <w:ind w:left="440" w:right="200" w:firstLine="419"/>
        <w:spacing w:after="0" w:line="263" w:lineRule="auto"/>
        <w:tabs>
          <w:tab w:leader="none" w:pos="10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computation of all items of income, gain, loss and deduction shall include those items described in Code Section 705(a)(l)(B) or Code Section 705(a)(2)(B) and Treasury Regulation Section 1.704-1(b)(2)(iv)(i), without regard to the fact that such items are not includible in gross income or are not deductible for U.S. federal income tax purposes.</w:t>
      </w:r>
    </w:p>
    <w:p>
      <w:pPr>
        <w:spacing w:after="0" w:line="75" w:lineRule="exact"/>
        <w:rPr>
          <w:rFonts w:ascii="Arial" w:cs="Arial" w:eastAsia="Arial" w:hAnsi="Arial"/>
          <w:sz w:val="18"/>
          <w:szCs w:val="18"/>
          <w:color w:val="auto"/>
        </w:rPr>
      </w:pPr>
    </w:p>
    <w:p>
      <w:pPr>
        <w:ind w:left="440" w:right="220" w:firstLine="419"/>
        <w:spacing w:after="0" w:line="308" w:lineRule="auto"/>
        <w:tabs>
          <w:tab w:leader="none" w:pos="1128"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If the Book Value of any property of the Company is adjusted pursuant to Treasury Regulation Section 1.704-1(b)(2)(iv)(e) or (f), the amount of such adjustment shall be taken into account as gain or loss from the disposition of such property.</w:t>
      </w:r>
    </w:p>
    <w:p>
      <w:pPr>
        <w:spacing w:after="0" w:line="38" w:lineRule="exact"/>
        <w:rPr>
          <w:rFonts w:ascii="Arial" w:cs="Arial" w:eastAsia="Arial" w:hAnsi="Arial"/>
          <w:sz w:val="17"/>
          <w:szCs w:val="17"/>
          <w:color w:val="auto"/>
        </w:rPr>
      </w:pPr>
    </w:p>
    <w:p>
      <w:pPr>
        <w:ind w:left="440" w:right="300" w:firstLine="419"/>
        <w:spacing w:after="0" w:line="277" w:lineRule="auto"/>
        <w:tabs>
          <w:tab w:leader="none" w:pos="11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Items of income, gain, loss or deduction attributable to the disposition of property of the Company having a Book Value that differs from its adjusted basis for tax purposes shall be computed by reference to the Book Value of such property.</w:t>
      </w:r>
    </w:p>
    <w:p>
      <w:pPr>
        <w:spacing w:after="0" w:line="62" w:lineRule="exact"/>
        <w:rPr>
          <w:rFonts w:ascii="Arial" w:cs="Arial" w:eastAsia="Arial" w:hAnsi="Arial"/>
          <w:sz w:val="18"/>
          <w:szCs w:val="18"/>
          <w:color w:val="auto"/>
        </w:rPr>
      </w:pPr>
    </w:p>
    <w:p>
      <w:pPr>
        <w:ind w:left="440" w:right="180" w:firstLine="419"/>
        <w:spacing w:after="0" w:line="263" w:lineRule="auto"/>
        <w:tabs>
          <w:tab w:leader="none" w:pos="116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Items of depreciation, amortization and other cost recovery deductions with respect to property of the Company having a Book Value that differs from its adjusted basis for tax purposes shall be computed by reference to the property’s Book Value in accordance with Treasury Regulation Section 1.704-1(b)(2)(iv)(g).</w:t>
      </w:r>
    </w:p>
    <w:p>
      <w:pPr>
        <w:spacing w:after="0" w:line="75" w:lineRule="exact"/>
        <w:rPr>
          <w:rFonts w:ascii="Arial" w:cs="Arial" w:eastAsia="Arial" w:hAnsi="Arial"/>
          <w:sz w:val="18"/>
          <w:szCs w:val="18"/>
          <w:color w:val="auto"/>
        </w:rPr>
      </w:pPr>
    </w:p>
    <w:p>
      <w:pPr>
        <w:jc w:val="both"/>
        <w:ind w:left="440" w:right="60" w:firstLine="419"/>
        <w:spacing w:after="0" w:line="259" w:lineRule="auto"/>
        <w:tabs>
          <w:tab w:leader="none" w:pos="111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asset of the Company pursuant to Code Sections 732(d), 734(b) or 743(b)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109" w:name="page110"/>
    <w:bookmarkEnd w:id="109"/>
    <w:p>
      <w:pPr>
        <w:ind w:right="100" w:firstLine="44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5.02 Allocations</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5.04</w:t>
      </w:r>
      <w:r>
        <w:rPr>
          <w:rFonts w:ascii="Arial" w:cs="Arial" w:eastAsia="Arial" w:hAnsi="Arial"/>
          <w:sz w:val="18"/>
          <w:szCs w:val="18"/>
          <w:color w:val="auto"/>
        </w:rPr>
        <w:t>, Net Profits and Net Losses for any Fiscal Year or Fiscal Period shall be allocated among the Capital Accounts of the Members pro rata in accordance with their respective Percentage Interests, assuming that any Common Units which are subject to vesting conditions in accordance with any applicable equity plan or individual award agreement are fully vested.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5.03 Regulatory Allocations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301" w:lineRule="auto"/>
        <w:tabs>
          <w:tab w:leader="none" w:pos="68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Losses attributable to partner nonrecourse debt (as defined in Treasury Regulation Section 1.704-2(b)(4)) shall be allocated in the manner required by Treasury Regulation Section 1.704-2(i). If there is a net decrease during a Taxable Year in partner nonrecourse debt minimum gain (as defined in Treasury Regulation Section 1.704-2(i)(3)), Profits for such Taxable Year (and, if necessary, for subsequent Taxable Years) shall be allocated to the Members in the amounts and of such character as determined according to Treasury Regulation Section 1.704-2(i)(4).</w:t>
      </w:r>
    </w:p>
    <w:p>
      <w:pPr>
        <w:spacing w:after="0" w:line="49" w:lineRule="exact"/>
        <w:rPr>
          <w:rFonts w:ascii="Arial" w:cs="Arial" w:eastAsia="Arial" w:hAnsi="Arial"/>
          <w:sz w:val="16"/>
          <w:szCs w:val="16"/>
          <w:color w:val="auto"/>
        </w:rPr>
      </w:pPr>
    </w:p>
    <w:p>
      <w:pPr>
        <w:ind w:firstLine="436"/>
        <w:spacing w:after="0" w:line="255"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Nonrecourse deductions (as determined according to Treasury Regulation Section 1.704-2(b)(1)) for any Taxable Year shall be allocated pro rata among the Members in accordance with their Percentage Interests. Except as otherwise provided in </w:t>
      </w:r>
      <w:r>
        <w:rPr>
          <w:rFonts w:ascii="Arial" w:cs="Arial" w:eastAsia="Arial" w:hAnsi="Arial"/>
          <w:sz w:val="18"/>
          <w:szCs w:val="18"/>
          <w:u w:val="single" w:color="auto"/>
          <w:color w:val="auto"/>
        </w:rPr>
        <w:t>Section 5.03(a)</w:t>
      </w:r>
      <w:r>
        <w:rPr>
          <w:rFonts w:ascii="Arial" w:cs="Arial" w:eastAsia="Arial" w:hAnsi="Arial"/>
          <w:sz w:val="18"/>
          <w:szCs w:val="18"/>
          <w:color w:val="auto"/>
        </w:rPr>
        <w:t xml:space="preserve">, if there is a net decrease in the Minimum Gain during any Taxable Year, each Member shall be allocated Profits for such Taxable Year (and, if necessary, for subsequent Taxable Years) in the amounts and of such character as determined according to Treasury Regulation Section 1.704-2(f). This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is intended to be a minimum gain chargeback provision that complies with the requirements of Treasury Regulation Section 1.704-2(f), and shall be interpreted in a manner consistent therewith.</w:t>
      </w:r>
    </w:p>
    <w:p>
      <w:pPr>
        <w:spacing w:after="0" w:line="84" w:lineRule="exact"/>
        <w:rPr>
          <w:rFonts w:ascii="Arial" w:cs="Arial" w:eastAsia="Arial" w:hAnsi="Arial"/>
          <w:sz w:val="18"/>
          <w:szCs w:val="18"/>
          <w:color w:val="auto"/>
        </w:rPr>
      </w:pPr>
    </w:p>
    <w:p>
      <w:pPr>
        <w:ind w:left="680" w:hanging="244"/>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any Member that unexpectedly receives an adjustment, allocation or Distribution described in Treasury Regulation</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 xml:space="preserve">Section 1.704-1(b)(2)(ii)(d)(4), (5) and (6) has an Adjusted Capital Account Deficit as of the end of any Taxable Year, computed after the application of </w:t>
      </w:r>
      <w:r>
        <w:rPr>
          <w:rFonts w:ascii="Arial" w:cs="Arial" w:eastAsia="Arial" w:hAnsi="Arial"/>
          <w:sz w:val="16"/>
          <w:szCs w:val="16"/>
          <w:u w:val="single" w:color="auto"/>
          <w:color w:val="auto"/>
        </w:rPr>
        <w:t>Sections 5.03(a)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5.03(b)</w:t>
      </w:r>
      <w:r>
        <w:rPr>
          <w:rFonts w:ascii="Arial" w:cs="Arial" w:eastAsia="Arial" w:hAnsi="Arial"/>
          <w:sz w:val="16"/>
          <w:szCs w:val="16"/>
          <w:color w:val="auto"/>
        </w:rPr>
        <w:t xml:space="preserve"> but before the application of any other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then Profits for such Taxable Year shall be allocated to such Member in proportion to, and to the extent of, such Adjusted Capital Account Deficit. This </w:t>
      </w:r>
      <w:r>
        <w:rPr>
          <w:rFonts w:ascii="Arial" w:cs="Arial" w:eastAsia="Arial" w:hAnsi="Arial"/>
          <w:sz w:val="16"/>
          <w:szCs w:val="16"/>
          <w:u w:val="single" w:color="auto"/>
          <w:color w:val="auto"/>
        </w:rPr>
        <w:t>Section 5.03(c)</w:t>
      </w:r>
      <w:r>
        <w:rPr>
          <w:rFonts w:ascii="Arial" w:cs="Arial" w:eastAsia="Arial" w:hAnsi="Arial"/>
          <w:sz w:val="16"/>
          <w:szCs w:val="16"/>
          <w:color w:val="auto"/>
        </w:rPr>
        <w:t xml:space="preserve"> is intended to be a qualified income offset provision as described in Treasury Regulation Section 1.704-1(b)(2)(ii)(d) and shall be interpreted in a manner consistent therewith.</w:t>
      </w:r>
    </w:p>
    <w:p>
      <w:pPr>
        <w:spacing w:after="0" w:line="53" w:lineRule="exact"/>
        <w:rPr>
          <w:sz w:val="20"/>
          <w:szCs w:val="20"/>
          <w:color w:val="auto"/>
        </w:rPr>
      </w:pPr>
    </w:p>
    <w:p>
      <w:pPr>
        <w:jc w:val="both"/>
        <w:ind w:right="180" w:firstLine="436"/>
        <w:spacing w:after="0" w:line="259"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If the allocation of Net Losses to a Member as provided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would create or increase an Adjusted Capital Account Deficit, there shall be allocated to such Member only that amount of Losses as will not create or increase an Adjusted Capital Account Deficit. The Net Losses that would, absent the application of the preceding sentence, otherwise be allocated to such Member shall be allocated to the other Members in accordance with their relative Percentage Interests, subject to this </w:t>
      </w:r>
      <w:r>
        <w:rPr>
          <w:rFonts w:ascii="Arial" w:cs="Arial" w:eastAsia="Arial" w:hAnsi="Arial"/>
          <w:sz w:val="18"/>
          <w:szCs w:val="18"/>
          <w:u w:val="single" w:color="auto"/>
          <w:color w:val="auto"/>
        </w:rPr>
        <w:t>Section 5.03(d)</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60" w:firstLine="436"/>
        <w:spacing w:after="0" w:line="277" w:lineRule="auto"/>
        <w:tabs>
          <w:tab w:leader="none" w:pos="6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Profits and Losses described in </w:t>
      </w:r>
      <w:r>
        <w:rPr>
          <w:rFonts w:ascii="Arial" w:cs="Arial" w:eastAsia="Arial" w:hAnsi="Arial"/>
          <w:sz w:val="18"/>
          <w:szCs w:val="18"/>
          <w:u w:val="single" w:color="auto"/>
          <w:color w:val="auto"/>
        </w:rPr>
        <w:t>Section 5.01(b)(v)</w:t>
      </w:r>
      <w:r>
        <w:rPr>
          <w:rFonts w:ascii="Arial" w:cs="Arial" w:eastAsia="Arial" w:hAnsi="Arial"/>
          <w:sz w:val="18"/>
          <w:szCs w:val="18"/>
          <w:color w:val="auto"/>
        </w:rPr>
        <w:t xml:space="preserve"> shall be allocated in a manner consistent with the manner that the adjustments to the Capital Accounts are required to be made pursuant to Treasury Regulation Section 1.704-1(b)(2)(iv)(j), (k) and (m).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10" w:name="page111"/>
    <w:bookmarkEnd w:id="110"/>
    <w:p>
      <w:pPr>
        <w:ind w:right="20" w:firstLine="436"/>
        <w:spacing w:after="0" w:line="283" w:lineRule="auto"/>
        <w:tabs>
          <w:tab w:leader="none" w:pos="665"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allocations set forth in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through and including </w:t>
      </w:r>
      <w:r>
        <w:rPr>
          <w:rFonts w:ascii="Arial" w:cs="Arial" w:eastAsia="Arial" w:hAnsi="Arial"/>
          <w:sz w:val="16"/>
          <w:szCs w:val="16"/>
          <w:u w:val="single" w:color="auto"/>
          <w:color w:val="auto"/>
        </w:rPr>
        <w:t>Section 5.03(e)</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Regulatory Allocations</w:t>
      </w:r>
      <w:r>
        <w:rPr>
          <w:rFonts w:ascii="Arial" w:cs="Arial" w:eastAsia="Arial" w:hAnsi="Arial"/>
          <w:sz w:val="16"/>
          <w:szCs w:val="16"/>
          <w:color w:val="auto"/>
        </w:rPr>
        <w:t xml:space="preserve">”) are intended to comply with certain requirements of Sections 1.704-1(b) and 1.704-2 of the Treasury Regulations. The Regulatory Allocations may not be consistent with the manner in which the Members intend to allocate Profit and Loss of the Company or make Distributions. Accordingly, notwithstanding the other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but subject to the Regulatory Allocations, income, gain, deduction and loss with respect to the Company shall be reallocated among the Members so as to eliminate the effect of the Regulatory Allocations and thereby cause the respective Capital Accounts of the Members to be in the amounts (or as close thereto as possible) they would have been if Profit and Loss (and such other items of income, gain, deduction and loss) had been allocated without reference to the Regulatory Allocations. In general, the Members anticipate that this will be accomplished by specially allocating other Profit and Loss (and such other items of income, gain, deduction and loss) among the Members so that the net amount of the Regulatory Allocations and such special allocations to each such Member is zero. In addition, if in any Fiscal Year or Fiscal Period there is a decrease in partnership minimum gain, or in partner nonrecourse debt minimum gain, and application of the minimum gain chargeback requirements set forth in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or</w:t>
      </w:r>
    </w:p>
    <w:p>
      <w:pPr>
        <w:spacing w:after="0" w:line="4" w:lineRule="exact"/>
        <w:rPr>
          <w:rFonts w:ascii="Arial" w:cs="Arial" w:eastAsia="Arial" w:hAnsi="Arial"/>
          <w:sz w:val="16"/>
          <w:szCs w:val="16"/>
          <w:color w:val="auto"/>
        </w:rPr>
      </w:pPr>
    </w:p>
    <w:p>
      <w:pPr>
        <w:ind w:right="16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would cause a distortion in the economic arrangement among the Members, the Members may, if they do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5.04 Final Allocations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3" w:lineRule="auto"/>
        <w:tabs>
          <w:tab w:leader="none" w:pos="68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Notwithstanding any contrary provision in this Agreement except </w:t>
      </w:r>
      <w:r>
        <w:rPr>
          <w:rFonts w:ascii="Arial" w:cs="Arial" w:eastAsia="Arial" w:hAnsi="Arial"/>
          <w:sz w:val="17"/>
          <w:szCs w:val="17"/>
          <w:u w:val="single" w:color="auto"/>
          <w:color w:val="auto"/>
        </w:rPr>
        <w:t>Section 5.03</w:t>
      </w:r>
      <w:r>
        <w:rPr>
          <w:rFonts w:ascii="Arial" w:cs="Arial" w:eastAsia="Arial" w:hAnsi="Arial"/>
          <w:sz w:val="17"/>
          <w:szCs w:val="17"/>
          <w:color w:val="auto"/>
        </w:rPr>
        <w:t>, the Manager shall make appropriate adjustments to allocations of Profits and Losses to (or, if necessary, allocate items of gross income, gain, loss or deduction of the Company among) the Members upon the liquidation of the Company (within the meaning of Section 1.704-1(b)(2)(ii)(g) of the Treasury Regulations), the transfer of substantially all the Units (whether by sale or exchange or merger) or sale of all or substantially all the assets of the Company, such that, to the maximum extent possible, the Capital Accounts of the Members are proportionate to their Percentage Interests. In each case, such adjustments or allocations shall occur, to the maximum extent possible, in the Fiscal Year of the event requiring such adjustments or allocations.</w:t>
      </w:r>
    </w:p>
    <w:p>
      <w:pPr>
        <w:spacing w:after="0" w:line="69" w:lineRule="exact"/>
        <w:rPr>
          <w:rFonts w:ascii="Arial" w:cs="Arial" w:eastAsia="Arial" w:hAnsi="Arial"/>
          <w:sz w:val="17"/>
          <w:szCs w:val="17"/>
          <w:color w:val="auto"/>
        </w:rPr>
      </w:pPr>
    </w:p>
    <w:p>
      <w:pPr>
        <w:ind w:right="280" w:firstLine="436"/>
        <w:spacing w:after="0" w:line="279"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any holder of Common Units which are subject to vesting conditions forfeits (or the Company has repurchased at less than fair market value) all or a portion of such holder’s unvested Common Units, the Company shall make forfeiture allocations in respect of such unvested Common Units in the manner and to the extent required by Proposed Treasury Regulations Section 1.704-1(b)(4)(xii) (as such Proposed Treasury Regulations may be amended or modified, including upon the issuance of temporary or final Treasury Regulations).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5.05 Tax Allocations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7" w:lineRule="auto"/>
        <w:tabs>
          <w:tab w:leader="none" w:pos="6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allocation is not permitted by the Code or other applicable Law, the Company’s subsequent income, gains, losses, deductions and credits will be allocated among the Members so as to reflect as nearly as possible the allocation set forth herein in computing their Capital Accounts.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11" w:name="page112"/>
    <w:bookmarkEnd w:id="111"/>
    <w:p>
      <w:pPr>
        <w:ind w:right="60" w:firstLine="436"/>
        <w:spacing w:after="0" w:line="287"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Items of taxable income, gain, loss and deduction of the Company with respect to any property contributed to the capital of the Company shall be allocated among the Members in accordance with Code Section 704(c) so as to take account of any variation between the adjusted basis of such property to the Company for federal income tax purposes and its Book Value using the traditional method set forth in Treasury Regulations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1.704-3(b).</w:t>
      </w:r>
    </w:p>
    <w:p>
      <w:pPr>
        <w:spacing w:after="0" w:line="102" w:lineRule="exact"/>
        <w:rPr>
          <w:rFonts w:ascii="Arial" w:cs="Arial" w:eastAsia="Arial" w:hAnsi="Arial"/>
          <w:sz w:val="16"/>
          <w:szCs w:val="16"/>
          <w:color w:val="auto"/>
        </w:rPr>
      </w:pPr>
    </w:p>
    <w:p>
      <w:pPr>
        <w:ind w:right="40" w:firstLine="436"/>
        <w:spacing w:after="0" w:line="259" w:lineRule="auto"/>
        <w:tabs>
          <w:tab w:leader="none" w:pos="6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If the Book Value of any asset of the Company is adjusted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including adjustments to the Book Value of any asset of the Company in connection with the execution of this Agreement, subsequent allocations of items of taxable income, gain, loss and deduction with respect to such asset shall take account of any variation between the adjusted basis of such asset for federal income tax purposes and its Book Value using the traditional method set forth in Treasury Regulations Section 1.704-3(b).</w:t>
      </w:r>
    </w:p>
    <w:p>
      <w:pPr>
        <w:spacing w:after="0" w:line="78" w:lineRule="exact"/>
        <w:rPr>
          <w:rFonts w:ascii="Arial" w:cs="Arial" w:eastAsia="Arial" w:hAnsi="Arial"/>
          <w:sz w:val="18"/>
          <w:szCs w:val="18"/>
          <w:color w:val="auto"/>
        </w:rPr>
      </w:pPr>
    </w:p>
    <w:p>
      <w:pPr>
        <w:ind w:right="160" w:firstLine="436"/>
        <w:spacing w:after="0" w:line="277"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Allocations of tax credits, tax credit recapture, and any items related thereto shall be allocated to the Members as determined by the Manager taking into account the principles of Treasury Regulation Section 1.704-1(b)(4)(ii).</w:t>
      </w:r>
    </w:p>
    <w:p>
      <w:pPr>
        <w:spacing w:after="0" w:line="62" w:lineRule="exact"/>
        <w:rPr>
          <w:rFonts w:ascii="Arial" w:cs="Arial" w:eastAsia="Arial" w:hAnsi="Arial"/>
          <w:sz w:val="18"/>
          <w:szCs w:val="18"/>
          <w:color w:val="auto"/>
        </w:rPr>
      </w:pPr>
    </w:p>
    <w:p>
      <w:pPr>
        <w:ind w:right="140" w:firstLine="436"/>
        <w:spacing w:after="0" w:line="293" w:lineRule="auto"/>
        <w:tabs>
          <w:tab w:leader="none" w:pos="68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For purposes of determining a Member’s share of the Company’s “excess nonrecourse liabilities” within the meaning of Treasury Regulation Section 1.752-3(a)(3), each Member’s interest in income and gain shall be determined pursuant to any proper method, as reasonably determined by the Manager; </w:t>
      </w:r>
      <w:r>
        <w:rPr>
          <w:rFonts w:ascii="Arial" w:cs="Arial" w:eastAsia="Arial" w:hAnsi="Arial"/>
          <w:sz w:val="16"/>
          <w:szCs w:val="16"/>
          <w:i w:val="1"/>
          <w:iCs w:val="1"/>
          <w:color w:val="auto"/>
        </w:rPr>
        <w:t>provided</w:t>
      </w:r>
      <w:r>
        <w:rPr>
          <w:rFonts w:ascii="Arial" w:cs="Arial" w:eastAsia="Arial" w:hAnsi="Arial"/>
          <w:sz w:val="16"/>
          <w:szCs w:val="16"/>
          <w:color w:val="auto"/>
        </w:rPr>
        <w:t>, that each year the Manager shall use its reasonable best efforts (using in all instances any proper method, including without limitation the “additional method” described in Treasury Regulation Section 1.752-3(a)(3)) to allocate a sufficient amount of the excess nonrecourse liabilities to those Members who would have at the end of the applicable Taxable Year, but for such allocation, taxable income due to the deemed distribution of money to such Member pursuant to Section 752(b) of the Code that is in excess of such Member’s adjusted tax basis in its Units.</w:t>
      </w:r>
    </w:p>
    <w:p>
      <w:pPr>
        <w:spacing w:after="0" w:line="56" w:lineRule="exact"/>
        <w:rPr>
          <w:rFonts w:ascii="Arial" w:cs="Arial" w:eastAsia="Arial" w:hAnsi="Arial"/>
          <w:sz w:val="16"/>
          <w:szCs w:val="16"/>
          <w:color w:val="auto"/>
        </w:rPr>
      </w:pPr>
    </w:p>
    <w:p>
      <w:pPr>
        <w:jc w:val="both"/>
        <w:ind w:firstLine="436"/>
        <w:spacing w:after="0" w:line="263" w:lineRule="auto"/>
        <w:tabs>
          <w:tab w:leader="none" w:pos="66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are solely for purposes of federal, state and local taxes and shall not affect, or in any way be taken into account in computing, any Member’s Capital Account or share of Profits, Losses, Distributions or other items of the Company pursuant to any provision of this Agreement.</w:t>
      </w:r>
    </w:p>
    <w:p>
      <w:pPr>
        <w:spacing w:after="0" w:line="184"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u w:val="single" w:color="auto"/>
          <w:color w:val="auto"/>
        </w:rPr>
        <w:t>Section 5.06 Indemnification and Reimbursement for Payments on Behalf of a Member</w:t>
      </w:r>
      <w:r>
        <w:rPr>
          <w:rFonts w:ascii="Arial" w:cs="Arial" w:eastAsia="Arial" w:hAnsi="Arial"/>
          <w:sz w:val="18"/>
          <w:szCs w:val="18"/>
          <w:color w:val="auto"/>
        </w:rPr>
        <w:t>. If the Company is obligated to pay any amount to a Governmental Entity (or otherwise makes a payment to a Governmental Entity) that is specifically attributable to a Member or a Member’s status as such (including federal income taxes, additions to tax, interest and penalties as a result of obligations of the Company pursuant to the Revised Partnership Audit Provisions, federal withholding taxes, state personal property taxes and state unincorporated business taxes, but excluding payments such as payroll taxes, withholding taxes, benefits or professional association fees and the like required to be made or made voluntarily by the Company on behalf of any Member based upon such Member’s status as an employee of the Company), then such Member shall indemnify the Company in full for the entire amount paid (including interest, penalties and related expenses). The Manager may offset Distributions to which a Member is otherwise entitled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12" w:name="page113"/>
    <w:bookmarkEnd w:id="11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under this Agreement against such Member’s obligation to indemnify the Company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In addition, notwithstanding anything to the contrary, each Member agrees that any Cash Settlement such Member is entitled to receive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may be offset by an amount equal to such Member’s obligation to indemnify the Company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and that such Member shall be treated as receiving the full amount of such Cash Settlement and paying to the Company an amount equal to such obligation. A Member’s obligation to make payments to the Company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shall survive the transfer or termination of any Member’s interest in any Units of the Company, the termination of this Agreement and the dissolution, liquidation, winding up and termination of the Company. In the event that the Company has been terminated prior to the date such payment is due, such Member shall make such payment to the Manager (or its designee), which shall distribute such funds in accordance with this Agreement. The Company may pursue and enforce all rights and remedies it may have against each Member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including instituting a lawsuit to collect such contribution with interest calculated at a rate per annum equal to the sum of the Base Rate plus 300 basis points (but not in excess of the highest rate per annum permitted by Law). Each Member hereby agrees to furnish to the Company such information and forms as required or reasonably requested in order to comply with any Laws and regulations governing withholding of tax or in order to claim any reduced rate of, or exemption from, withholding to which the Member is legally entitled. The Company may withhold any amount that it determines is required to be withheld from any amount otherwise payable to any Member hereunder, and any such withheld amount shall be deemed to have been paid to such Member for purposes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6.01 Authority of Manager; Officer Delegation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4" w:lineRule="auto"/>
        <w:tabs>
          <w:tab w:leader="none" w:pos="6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for situations in which the approval of any Member(s) is specifically required by this Agreement, (i) all management powers over the business and affairs of the Company shall be exclusively vested in the Corporation, as the sole managing member of the Company (the Corporation, in such capacity, the “</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xml:space="preserve">”), (ii) the Manager shall conduct, direct and exercise full control over all activities of the Company and (iii) no other Member shall have any right, authority or power to vote, consent or approve any matter, whether under the Delaware Act, this Agreement or otherwise. The Manager shall be the “manager” of the Company for the purposes of the Delaware Act. Except as otherwise expressly provided for herein and subject to the other provisions of this Agreement, the Members hereby consent to the exercise by the Manager of all such powers and rights conferred on the Members by the Delaware Act with respect to the management and control of the Company. Any vacancies in the position of Manager shall be filled in accordance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right="60" w:firstLine="436"/>
        <w:spacing w:after="0" w:line="257"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Without limiting the authority of the Manager to act on behalf of the Company, the day-to-day business and operations of the Company shall be overseen and implemented by officers of the Company (each, an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subject to the limitations imposed by the Manager. An Officer may, but need not, be a Member. Each Officer shall be appointed by the Manager and shall hold office until his or her successor shall be duly designated and shall qualify or until his or her death or until he or she shall resign or shall have been removed in the manner hereinafter provided. Any one Person may hold more than one office. Subject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13" w:name="page114"/>
    <w:bookmarkEnd w:id="113"/>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other provisions of this Agreement (including in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below), the salaries or other compensation, if any, of the Officers of the Company shall be fixed from time to time by the Manager. The authority and responsibility of the Officers shall be limited to such duties as the Manager may, from time to time, delegate to them. Unless the Manager decides otherwise, if the title is one commonly used for officers of a business corporation formed under the General Corporation Law of the State of Delaware, the assignment of such title shall constitute the delegation to such person of the authorities and duties that are normally associated with that office. All Officers shall be, and shall be deemed to be, officers and employees of the Company. An Officer may also perform one or more roles as an officer of the Manager. Any Officer may be removed at any time, with or without cause, by the Manager.</w:t>
      </w:r>
    </w:p>
    <w:p>
      <w:pPr>
        <w:spacing w:after="0" w:line="87" w:lineRule="exact"/>
        <w:rPr>
          <w:sz w:val="20"/>
          <w:szCs w:val="20"/>
          <w:color w:val="auto"/>
        </w:rPr>
      </w:pPr>
    </w:p>
    <w:p>
      <w:pPr>
        <w:ind w:right="140" w:firstLine="436"/>
        <w:spacing w:after="0" w:line="257" w:lineRule="auto"/>
        <w:tabs>
          <w:tab w:leader="none" w:pos="6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the other provisions of this Agreement, the Manager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conversion, division, reorganization or other combination of the Company with or into another entity, for the avoidance of doubt, without the prior consent of any Member or any other Person being required.</w:t>
      </w:r>
    </w:p>
    <w:p>
      <w:pPr>
        <w:spacing w:after="0" w:line="18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u w:val="single" w:color="auto"/>
          <w:color w:val="auto"/>
        </w:rPr>
        <w:t>Section 6.02 Actions of the Manager</w:t>
      </w:r>
      <w:r>
        <w:rPr>
          <w:rFonts w:ascii="Arial" w:cs="Arial" w:eastAsia="Arial" w:hAnsi="Arial"/>
          <w:sz w:val="18"/>
          <w:szCs w:val="18"/>
          <w:color w:val="auto"/>
        </w:rPr>
        <w:t xml:space="preserve">. The Manager may act through any Officer or through any other Person or Persons to whom authority and duties have been delegated pursuant to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70"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u w:val="single" w:color="auto"/>
          <w:color w:val="auto"/>
        </w:rPr>
        <w:t>Section 6.03 Resignation; No Removal</w:t>
      </w:r>
      <w:r>
        <w:rPr>
          <w:rFonts w:ascii="Arial" w:cs="Arial" w:eastAsia="Arial" w:hAnsi="Arial"/>
          <w:sz w:val="17"/>
          <w:szCs w:val="17"/>
          <w:color w:val="auto"/>
        </w:rPr>
        <w:t>. The Manager may resign at any time by giving written notice to the Members. Unless otherwise specified in the notice, the resignation shall take effect upon receipt thereof by the Members, and the acceptance of the resignation shall not be necessary to make it effective. For the avoidance of doubt, the Members have no right under this Agreement to remove or replace the Manager.</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Section 6.04 Vacancies</w:t>
      </w:r>
      <w:r>
        <w:rPr>
          <w:rFonts w:ascii="Arial" w:cs="Arial" w:eastAsia="Arial" w:hAnsi="Arial"/>
          <w:sz w:val="18"/>
          <w:szCs w:val="18"/>
          <w:color w:val="auto"/>
        </w:rPr>
        <w:t>. Vacancies in the position of Manager occurring for any reason shall be filled by the Corporation (or, if the Corporation has ceased to exist without any successor or assign, then by the holders of a majority in interest of the voting capital stock of the Corporation immediately prior to such cessation). For the avoidance of doubt, the Members (other than the Corporation) have no right under this Agreement to fill any vacancy in the position of Manager.</w:t>
      </w:r>
    </w:p>
    <w:p>
      <w:pPr>
        <w:spacing w:after="0" w:line="18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u w:val="single" w:color="auto"/>
          <w:color w:val="auto"/>
        </w:rPr>
        <w:t>Section 6.05 Transactions Between the Company and the Manager</w:t>
      </w:r>
      <w:r>
        <w:rPr>
          <w:rFonts w:ascii="Arial" w:cs="Arial" w:eastAsia="Arial" w:hAnsi="Arial"/>
          <w:sz w:val="17"/>
          <w:szCs w:val="17"/>
          <w:color w:val="auto"/>
        </w:rPr>
        <w:t xml:space="preserve">. The Manager may cause the Company to contract and deal with the Manager, or any Affiliate of the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contracts and dealings (other than contracts and dealings between the Company and its Subsidiaries) are on terms comparable to and competitive with those available to the Company from others dealing at arm’s length or are approved by the Members and otherwise are permitted by the Credit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in no way limit the Manager’s rights under </w:t>
      </w:r>
      <w:r>
        <w:rPr>
          <w:rFonts w:ascii="Arial" w:cs="Arial" w:eastAsia="Arial" w:hAnsi="Arial"/>
          <w:sz w:val="17"/>
          <w:szCs w:val="17"/>
          <w:u w:val="single" w:color="auto"/>
          <w:color w:val="auto"/>
        </w:rPr>
        <w:t>Sections 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3.10</w:t>
      </w:r>
      <w:r>
        <w:rPr>
          <w:rFonts w:ascii="Arial" w:cs="Arial" w:eastAsia="Arial" w:hAnsi="Arial"/>
          <w:sz w:val="17"/>
          <w:szCs w:val="17"/>
          <w:color w:val="auto"/>
        </w:rPr>
        <w:t>. The Members hereby approve each of the contracts or agreements between or among the Manager, the Company and their respective Affiliates entered into on or prior to the date of this Agreement in accordance with the Initial LLC Agreement or that the board of managers of the Company or the Corporate Board has approved in connection with the Recapitalization or the IPO as of the date of this Agreement, including, but not limited to, the IPO Common Unit Subscription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114" w:name="page115"/>
    <w:bookmarkEnd w:id="114"/>
    <w:p>
      <w:pPr>
        <w:ind w:firstLine="440"/>
        <w:spacing w:after="0" w:line="267"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6.06 Reimbursement for Expenses</w:t>
      </w:r>
      <w:r>
        <w:rPr>
          <w:rFonts w:ascii="Arial" w:cs="Arial" w:eastAsia="Arial" w:hAnsi="Arial"/>
          <w:sz w:val="17"/>
          <w:szCs w:val="17"/>
          <w:color w:val="auto"/>
        </w:rPr>
        <w:t>. The Manager shall not be compensated for its services as Manager of the Company except as expressly provided in this Agreement. The Members acknowledge and agree that, upon consummation of the IPO, the Manager’s Class A Common Stock will be publicly traded and, therefore, the Manager will have access to the public capital markets and that such status and the services performed by the Manager will inure to the benefit of the Company and all Members; therefore, the Manager shall be reimbursed by the Company for any reasonable out-of-pocket expenses incurred on behalf of the Company, including without limitation all fees, expenses and costs associated with the IPO and all fees, expenses and costs of being a public company (including without limitation public reporting obligations, proxy statements, stockholder meetings, Stock Exchange fees, transfer agent fees, legal fees, SEC and FINRA filing fees and offering expenses) and maintaining its corporate existence. In the event that shares of Class A Common Stock are sold to underwriters in the IPO (or in any Secondary Offering) at a price per share that is lower than the price per share for which such shares of Class A Common Stock are sold to the public in the IPO (or in such Secondary Offering, as applicable) after taking into account underwriters’ discounts or commissions and brokers’ fees or commissions (such difference, the “</w:t>
      </w:r>
      <w:r>
        <w:rPr>
          <w:rFonts w:ascii="Arial" w:cs="Arial" w:eastAsia="Arial" w:hAnsi="Arial"/>
          <w:sz w:val="17"/>
          <w:szCs w:val="17"/>
          <w:b w:val="1"/>
          <w:bCs w:val="1"/>
          <w:i w:val="1"/>
          <w:iCs w:val="1"/>
          <w:color w:val="auto"/>
        </w:rPr>
        <w:t>Discount</w:t>
      </w:r>
      <w:r>
        <w:rPr>
          <w:rFonts w:ascii="Arial" w:cs="Arial" w:eastAsia="Arial" w:hAnsi="Arial"/>
          <w:sz w:val="17"/>
          <w:szCs w:val="17"/>
          <w:color w:val="auto"/>
        </w:rPr>
        <w:t xml:space="preserve">”) (i) the Manager shall be deemed to have contributed to the Company in exchange for newly issued Common Units the full amount for which such shares of Class A Common Stock were sold to the public and (ii) the Company shall be deemed to have paid the Discount as an expense. To the extent practicable, expenses incurred by the Manager on behalf of or for the benefit of the Company shall be billed directly to and paid by the Company and, if and to the extent any reimbursements to the Manager or any of its Affiliates by the Company pursuant to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constitute gross income to such Person (as opposed to the repayment of advances made by such Person on behalf of the Company), such amounts shall be treated as “guaranteed payments” within the meaning of Code Section 707(c) and shall not be treated as distributions for purposes of computing the Members’ Capital Accounts. Notwithstanding the foregoing, the Company shall not bear any income tax obligations of the Manager or any payments made pursuant to the Tax Receivable Agreement.</w:t>
      </w:r>
    </w:p>
    <w:p>
      <w:pPr>
        <w:spacing w:after="0" w:line="19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u w:val="single" w:color="auto"/>
          <w:color w:val="auto"/>
        </w:rPr>
        <w:t>Section 6.07 Delegation of Authority</w:t>
      </w:r>
      <w:r>
        <w:rPr>
          <w:rFonts w:ascii="Arial" w:cs="Arial" w:eastAsia="Arial" w:hAnsi="Arial"/>
          <w:sz w:val="18"/>
          <w:szCs w:val="18"/>
          <w:color w:val="auto"/>
        </w:rPr>
        <w:t>. The Manager (a) may, from time to time, delegate to one or more Persons such authority and duties as the Manager may deem advisable, and (b) may assign titles (including, without limitation, chief executive officer, president, chief financial officer, chief operating officer, general counsel, senior vice president, vice president, secretary, assistant secretary, treasurer or assistant treasurer) and delegate certain authority and duties to such Persons which may be amended, restated or otherwise modified from time to time. Any number of titles may be held by the same individual. The salaries or other compensation, if any, of such agents of the Company shall be fixed from time to time by the Manager, subject to the other provisions in this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6.08 Limitation of Liability of Manager</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5" w:lineRule="auto"/>
        <w:tabs>
          <w:tab w:leader="none" w:pos="68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herein or in an agreement entered into by such Person and the Company, neither the Manager nor any of the Manager’s Affiliates or Manager’s officers, employees or other agents shall be liable to the Company, to any Member that is not the Manager or to any other Person bound by this Agreement for any act or omission performed or omitted by the Manager in its capacity as the sole managing member of the Company pursuant to authority granted to the Manager by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otherwise provided herein, such limitation of liability shall not apply to the extent the act or omission was attributable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115" w:name="page116"/>
    <w:bookmarkEnd w:id="11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Manager’s willful misconduct or knowing violation of Law or for any present or future material breaches of any representations, warranties or covenants by the Manager or its Affiliates contained herein or in the Other Agreements with the Company. The Manager may exercise any of the powers granted to it by this Agreement and perform any of the duties imposed upon it hereunder either directly or by or through its agents, and shall not be responsible for any misconduct or negligence on the part of any such agent (so long as such agent was selected in good faith and with reasonable care). The Manager shall be entitled to rely upon the advice of legal counsel, independent public accountants and other experts, including financial advisors, and any act of or failure to act by the Manager in good faith reliance on such advice shall in no event subject the Manager to liability to the Company or any Member that is not the Manager.</w:t>
      </w:r>
    </w:p>
    <w:p>
      <w:pPr>
        <w:spacing w:after="0" w:line="87" w:lineRule="exact"/>
        <w:rPr>
          <w:sz w:val="20"/>
          <w:szCs w:val="20"/>
          <w:color w:val="auto"/>
        </w:rPr>
      </w:pPr>
    </w:p>
    <w:p>
      <w:pPr>
        <w:ind w:right="140" w:firstLine="436"/>
        <w:spacing w:after="0" w:line="273" w:lineRule="auto"/>
        <w:tabs>
          <w:tab w:leader="none" w:pos="6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whenever this Agreement or any other agreement contemplated herein provides that the Manager shall act in a manner which is, or provide terms which are, “fair and reasonable” to the Company or any Member that is not the Manager, the Manager shall determine such appropriate action or provide such terms considering, in each case, the relative interests of each party to such agreement, transaction or situation and the benefits and burdens relating to such interests, any customary or accepted industry practices, and any applicable United States generally accepted accounting practices or principles, notwithstanding any other provision of this Agreement or in any agreement contemplated herein or applicable provisions of Law or equity or otherwise.</w:t>
      </w:r>
    </w:p>
    <w:p>
      <w:pPr>
        <w:spacing w:after="0" w:line="69" w:lineRule="exact"/>
        <w:rPr>
          <w:rFonts w:ascii="Arial" w:cs="Arial" w:eastAsia="Arial" w:hAnsi="Arial"/>
          <w:sz w:val="17"/>
          <w:szCs w:val="17"/>
          <w:color w:val="auto"/>
        </w:rPr>
      </w:pPr>
    </w:p>
    <w:p>
      <w:pPr>
        <w:ind w:firstLine="436"/>
        <w:spacing w:after="0" w:line="296" w:lineRule="auto"/>
        <w:tabs>
          <w:tab w:leader="none" w:pos="6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and notwithstanding any other provision of this Agreement or in any agreement contemplated herein or applicable provisions of Law or equity or otherwise, whenever in this Agreement or any other agreement contemplated herein, the Manager is permitted or required to take any action or to make a decision in its “sole discretion” or “discretion,” with “complete discretion” or under a grant of similar authority or latitude, the Manager shall be entitled to consider such interests and factors as it desires, including its own interests, and shall have no duty or obligation to give any consideration to any interest of or factors affecting the Company, other Members or any other Person.</w:t>
      </w:r>
    </w:p>
    <w:p>
      <w:pPr>
        <w:spacing w:after="0" w:line="53" w:lineRule="exact"/>
        <w:rPr>
          <w:rFonts w:ascii="Arial" w:cs="Arial" w:eastAsia="Arial" w:hAnsi="Arial"/>
          <w:sz w:val="16"/>
          <w:szCs w:val="16"/>
          <w:color w:val="auto"/>
        </w:rPr>
      </w:pPr>
    </w:p>
    <w:p>
      <w:pPr>
        <w:ind w:right="20" w:firstLine="436"/>
        <w:spacing w:after="0" w:line="254"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and notwithstanding any other provision of this Agreement or in any agreement contemplated herein or applicable provisions of law or equity or otherwise, whenever in this Agreement the Manager is permitted or required to take any action or to make a decision in its “good faith” or under another express standard, the Manager shall act under such express standard and shall not be subject to any other or different standards imposed by this Agreement or any other agreement contemplated herein, notwithstanding any provision of this Agreement or duty otherwise, existing at Law or in equity, and, notwithstanding anything contained herein to the contrary, so long as the Manager acts in good faith or in accordance with such other express standard, the resolution, action or terms so made, taken or provided by the Manager shall not constitute a breach of this Agreement or impose liability upon the Manager or any of the Manager’s Affiliates and shall be deemed approved by all Members.</w:t>
      </w:r>
    </w:p>
    <w:p>
      <w:pPr>
        <w:spacing w:after="0" w:line="19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auto"/>
        </w:rPr>
        <w:t>Section 6.09 Investment Company Act</w:t>
      </w:r>
      <w:r>
        <w:rPr>
          <w:rFonts w:ascii="Arial" w:cs="Arial" w:eastAsia="Arial" w:hAnsi="Arial"/>
          <w:sz w:val="18"/>
          <w:szCs w:val="18"/>
          <w:color w:val="auto"/>
        </w:rPr>
        <w:t>. The Manager shall use its best efforts to ensure that the Company shall not be subject to registration as an investment company pursuant to the Investment Company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AND OBLIGATIONS OF MEMBERS AND MANAGER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Section 7.01 Limitation of Liability and Duties of Members</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54" w:lineRule="auto"/>
        <w:tabs>
          <w:tab w:leader="none" w:pos="6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provided in this Agreement or in the Delaware Act, the debts, obligations and liabilities of the Company, whether arising in contract, tort or otherwise, shall be solely the debts, obligations and liabilities of the Company and no Member or Manager shall be obligated personally for any such debts, obligations, contracts or liabilities of the Company solely by reason of being a Member or the Manager (except to the extent and under the circumstances set forth in any non-waivable provision of the Delaware Act). 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86" w:lineRule="exact"/>
        <w:rPr>
          <w:rFonts w:ascii="Arial" w:cs="Arial" w:eastAsia="Arial" w:hAnsi="Arial"/>
          <w:sz w:val="18"/>
          <w:szCs w:val="18"/>
          <w:color w:val="auto"/>
        </w:rPr>
      </w:pPr>
    </w:p>
    <w:p>
      <w:pPr>
        <w:ind w:left="-20" w:right="20" w:firstLine="436"/>
        <w:spacing w:after="0" w:line="271" w:lineRule="auto"/>
        <w:tabs>
          <w:tab w:leader="none" w:pos="67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In accordance with the Delaware Act and the laws of the State of Delaware, a Member may, under certain circumstances, be required to return amounts previously distributed to such Member. It is the intent of the Members that no Distribution to any Member pursuant to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XIV</w:t>
      </w:r>
      <w:r>
        <w:rPr>
          <w:rFonts w:ascii="Arial" w:cs="Arial" w:eastAsia="Arial" w:hAnsi="Arial"/>
          <w:sz w:val="17"/>
          <w:szCs w:val="17"/>
          <w:color w:val="auto"/>
        </w:rPr>
        <w:t xml:space="preserve"> shall be deemed a return of money or other property paid or distributed in violation of the Delaware Act. The payment of any such money or Distribution of any such 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However, if any court of competent jurisdiction holds that, notwithstanding the provisions of this Agreement, any Member is obligated to make any such payment, such obligation shall be the obligation of such Member and not of any other Member.</w:t>
      </w:r>
    </w:p>
    <w:p>
      <w:pPr>
        <w:spacing w:after="0" w:line="70" w:lineRule="exact"/>
        <w:rPr>
          <w:rFonts w:ascii="Arial" w:cs="Arial" w:eastAsia="Arial" w:hAnsi="Arial"/>
          <w:sz w:val="17"/>
          <w:szCs w:val="17"/>
          <w:color w:val="auto"/>
        </w:rPr>
      </w:pPr>
    </w:p>
    <w:p>
      <w:pPr>
        <w:ind w:left="-20" w:firstLine="436"/>
        <w:spacing w:after="0" w:line="287" w:lineRule="auto"/>
        <w:tabs>
          <w:tab w:leader="none" w:pos="66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including Section 18-1101(c) of the Delaware Act, and notwithstanding any other provision of this Agreement (but subject, and without limitation, to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with respect to the Manager) or in any agreement contemplated herein or applicable provisions of Law or equity or otherwise, the parties hereto hereby agree that to the extent that any Member (other than the Manager in its capacity as such) (or any Member’s Affiliate or any manager, managing member, general partner, director, officer, employee, agent, fiduciary or trustee of any Member or of any Affiliate of a Member) has duties (including fiduciary duties) to the Company, to the Manager, to another Member, to any Person who acquires an interest in a Unit or to any other Person bound by this Agreement, all such duties (including fiduciary duties) are hereby eliminated, to the fullest extent permitted by law, and replaced with the duties or standards expressly set forth herein, if any; provided, however, that the foregoing shall not eliminate the implied contractual covenant of good faith and fair dealing. The elimination of duties (including fiduciary duties) to the Company, the Manager, each of the Members, each other Person who acquires an interest in a Unit and each other Person bound by this Agreement and replacement thereof with the duties or standards expressly set forth herein, if any, are approved by the Company, the Manager, each of the Members, each other Person who acquires an interest in a Unit and each other Person bound by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60" w:top="274" w:right="479" w:bottom="1440" w:gutter="0" w:footer="0" w:header="0"/>
        </w:sectPr>
      </w:pPr>
    </w:p>
    <w:bookmarkStart w:id="117" w:name="page118"/>
    <w:bookmarkEnd w:id="117"/>
    <w:p>
      <w:pPr>
        <w:ind w:right="40" w:firstLine="440"/>
        <w:spacing w:after="0" w:line="31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7.02 Lack of Authority</w:t>
      </w:r>
      <w:r>
        <w:rPr>
          <w:rFonts w:ascii="Arial" w:cs="Arial" w:eastAsia="Arial" w:hAnsi="Arial"/>
          <w:sz w:val="16"/>
          <w:szCs w:val="16"/>
          <w:color w:val="auto"/>
        </w:rPr>
        <w:t>. No Member, other than the Manager or a duly appointed Officer, in each case in its capacity as such, has the authority or power to act for or on behalf of the Company, to do any act that would be binding on the Company or to make any expenditure on behalf of the Company. The Members hereby consent to the exercise by the Manager of the powers conferred on them by Law and this Agreement.</w:t>
      </w:r>
    </w:p>
    <w:p>
      <w:pPr>
        <w:spacing w:after="0" w:line="149" w:lineRule="exact"/>
        <w:rPr>
          <w:sz w:val="20"/>
          <w:szCs w:val="20"/>
          <w:color w:val="auto"/>
        </w:rPr>
      </w:pPr>
    </w:p>
    <w:p>
      <w:pPr>
        <w:ind w:right="660" w:firstLine="440"/>
        <w:spacing w:after="0" w:line="308" w:lineRule="auto"/>
        <w:rPr>
          <w:sz w:val="20"/>
          <w:szCs w:val="20"/>
          <w:color w:val="auto"/>
        </w:rPr>
      </w:pPr>
      <w:r>
        <w:rPr>
          <w:rFonts w:ascii="Arial" w:cs="Arial" w:eastAsia="Arial" w:hAnsi="Arial"/>
          <w:sz w:val="17"/>
          <w:szCs w:val="17"/>
          <w:u w:val="single" w:color="auto"/>
          <w:color w:val="auto"/>
        </w:rPr>
        <w:t>Section 7.03 No Right of Partition</w:t>
      </w:r>
      <w:r>
        <w:rPr>
          <w:rFonts w:ascii="Arial" w:cs="Arial" w:eastAsia="Arial" w:hAnsi="Arial"/>
          <w:sz w:val="17"/>
          <w:szCs w:val="17"/>
          <w:color w:val="auto"/>
        </w:rPr>
        <w:t>. No Member, other than the Manager, shall have the right to seek or obtain partition by court decree or operation of Law of any property of the Company, or the right to own or use particular or individual assets of the Company.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7.04 Indemnification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5.06</w:t>
      </w:r>
      <w:r>
        <w:rPr>
          <w:rFonts w:ascii="Arial" w:cs="Arial" w:eastAsia="Arial" w:hAnsi="Arial"/>
          <w:sz w:val="16"/>
          <w:szCs w:val="16"/>
          <w:color w:val="auto"/>
        </w:rPr>
        <w:t>, the Company hereby agrees to indemnify and hold harmless any Person (each an “</w:t>
      </w:r>
      <w:r>
        <w:rPr>
          <w:rFonts w:ascii="Arial" w:cs="Arial" w:eastAsia="Arial" w:hAnsi="Arial"/>
          <w:sz w:val="16"/>
          <w:szCs w:val="16"/>
          <w:b w:val="1"/>
          <w:bCs w:val="1"/>
          <w:i w:val="1"/>
          <w:iCs w:val="1"/>
          <w:color w:val="auto"/>
        </w:rPr>
        <w:t>Indemnified Person</w:t>
      </w:r>
      <w:r>
        <w:rPr>
          <w:rFonts w:ascii="Arial" w:cs="Arial" w:eastAsia="Arial" w:hAnsi="Arial"/>
          <w:sz w:val="16"/>
          <w:szCs w:val="16"/>
          <w:color w:val="auto"/>
        </w:rPr>
        <w:t xml:space="preserve">”) to the fullest extent permitted under applicable Law, as the same now exists or may hereafter be amended, substituted or replaced (but, to the fullest extent permitted by law, in the case of any such amendment, substitution or replacement only to the extent that such amendment, substitution or replacement permits the Company to provide broader indemnification rights than the Company is providing immediately prior to such amendment), against all expenses, liabilities and losses (including attorneys’ fees, judgments, fines, excise taxes or penalties) reasonably incurred or suffered by such Person (or one or more of such Person’s Affiliates) by reason of the fact that such Person is or was a Member or an Affiliate thereof (other than as a result of an ownership interest in the Corporation) or is or was serving as the Manager or a director, officer, employee or other agent of the Manager, or a director, manager, Officer, employee or other agent of the Company or is or was serving at the request of the Company as a manager, officer, director, principal, member, employee or agent of another corporation, partnership, joint venture, limited liability company, trust or other enterprise;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Indemnified Person shall be indemnified for any expenses, liabilities and losses suffered that are attributable to such Indemnified Person’s or its Affiliates’ willful misconduct or knowing violation of Law or for any present or future breaches of any representations, warranties or covenants by such Indemnified Person or its Affiliates contained herein or in Other Agreements with the Company. Reasonable expenses, including out-of-pocket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w:t>
      </w:r>
    </w:p>
    <w:p>
      <w:pPr>
        <w:spacing w:after="0" w:line="59" w:lineRule="exact"/>
        <w:rPr>
          <w:rFonts w:ascii="Arial" w:cs="Arial" w:eastAsia="Arial" w:hAnsi="Arial"/>
          <w:sz w:val="16"/>
          <w:szCs w:val="16"/>
          <w:color w:val="auto"/>
        </w:rPr>
      </w:pPr>
    </w:p>
    <w:p>
      <w:pPr>
        <w:ind w:right="260" w:firstLine="436"/>
        <w:spacing w:after="0" w:line="277"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The right to indemnification and the advancement of expenses conferred in this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shall not be exclusive of any other right which any Person may have or hereafter acquire under any statute, agreement, bylaw, action by the Manager or otherwise.</w:t>
      </w:r>
    </w:p>
    <w:p>
      <w:pPr>
        <w:spacing w:after="0" w:line="62" w:lineRule="exact"/>
        <w:rPr>
          <w:rFonts w:ascii="Arial" w:cs="Arial" w:eastAsia="Arial" w:hAnsi="Arial"/>
          <w:sz w:val="18"/>
          <w:szCs w:val="18"/>
          <w:color w:val="auto"/>
        </w:rPr>
      </w:pPr>
    </w:p>
    <w:p>
      <w:pPr>
        <w:ind w:right="140" w:firstLine="436"/>
        <w:spacing w:after="0" w:line="279" w:lineRule="auto"/>
        <w:tabs>
          <w:tab w:leader="none" w:pos="68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The Company shall maintain directors’ and officers’ liability insurance, or substantially equivalent insurance, at its expense, to protect any Indemnified Person against any expense, liability or loss described in </w:t>
      </w:r>
      <w:r>
        <w:rPr>
          <w:rFonts w:ascii="Arial" w:cs="Arial" w:eastAsia="Arial" w:hAnsi="Arial"/>
          <w:sz w:val="17"/>
          <w:szCs w:val="17"/>
          <w:u w:val="single" w:color="auto"/>
          <w:color w:val="auto"/>
        </w:rPr>
        <w:t>Section 7.04(a)</w:t>
      </w:r>
      <w:r>
        <w:rPr>
          <w:rFonts w:ascii="Arial" w:cs="Arial" w:eastAsia="Arial" w:hAnsi="Arial"/>
          <w:sz w:val="17"/>
          <w:szCs w:val="17"/>
          <w:color w:val="auto"/>
        </w:rPr>
        <w:t xml:space="preserve"> whether or not the Company would have the power to indemnify such Indemnified Person against such expense, liability or loss under the provisions of this </w:t>
      </w:r>
      <w:r>
        <w:rPr>
          <w:rFonts w:ascii="Arial" w:cs="Arial" w:eastAsia="Arial" w:hAnsi="Arial"/>
          <w:sz w:val="17"/>
          <w:szCs w:val="17"/>
          <w:u w:val="single" w:color="auto"/>
          <w:color w:val="auto"/>
        </w:rPr>
        <w:t>Section 7.04</w:t>
      </w:r>
      <w:r>
        <w:rPr>
          <w:rFonts w:ascii="Arial" w:cs="Arial" w:eastAsia="Arial" w:hAnsi="Arial"/>
          <w:sz w:val="17"/>
          <w:szCs w:val="17"/>
          <w:color w:val="auto"/>
        </w:rPr>
        <w:t>. The Company shall use its commercially reasonable efforts to purchase and maintain property, casualty and liability insurance in types and at levels customary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118" w:name="page119"/>
    <w:bookmarkEnd w:id="118"/>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companies of similar size engaged in similar lines of business, as determined in good faith by the Manager, and the Company shall use its commercially reasonable efforts to purchase directors’ and officers’ liability insurance (including employment practices coverage) with a carrier and in an amount determined necessary or desirable as determined in good faith by the Manager.</w:t>
      </w:r>
    </w:p>
    <w:p>
      <w:pPr>
        <w:spacing w:after="0" w:line="76" w:lineRule="exact"/>
        <w:rPr>
          <w:sz w:val="20"/>
          <w:szCs w:val="20"/>
          <w:color w:val="auto"/>
        </w:rPr>
      </w:pPr>
    </w:p>
    <w:p>
      <w:pPr>
        <w:ind w:left="4" w:right="140" w:firstLine="436"/>
        <w:spacing w:after="0" w:line="273" w:lineRule="auto"/>
        <w:tabs>
          <w:tab w:leader="none" w:pos="69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The indemnification and advancement of expenses provided for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be provided out of and to the extent of Company assets only. No Member (unless such Member otherwise agrees in writing or is found in a non-appealable decision by a court of competent jurisdiction to have personal liability on account thereof) shall have personal liability on account thereof or shall be required to make additional Capital Contributions to help satisfy such indemnity of the Company. The Company (i) shall be the primary indemnitor of first resort for such Indemnified Person pursuant to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and (ii) shall be fully responsible for the advancement of all expenses and the payment of all damages or liabilities with respect to such Indemnified Person which are addressed by this </w:t>
      </w:r>
      <w:r>
        <w:rPr>
          <w:rFonts w:ascii="Arial" w:cs="Arial" w:eastAsia="Arial" w:hAnsi="Arial"/>
          <w:sz w:val="17"/>
          <w:szCs w:val="17"/>
          <w:u w:val="single" w:color="auto"/>
          <w:color w:val="auto"/>
        </w:rPr>
        <w:t>Section 7.04</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 w:firstLine="436"/>
        <w:spacing w:after="0" w:line="286" w:lineRule="auto"/>
        <w:tabs>
          <w:tab w:leader="none" w:pos="68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If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any portion hereof shall be invalidated on any ground by any court of competent jurisdiction, then the Company shall nevertheless indemnify and hold harmless each Indemnified Person pursuant to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to the fullest extent permitted by any applicable portion of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that shall not have been invalidated and to the fullest extent permitted by applicable Law.</w:t>
      </w:r>
    </w:p>
    <w:p>
      <w:pPr>
        <w:spacing w:after="0" w:line="16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u w:val="single" w:color="auto"/>
          <w:color w:val="auto"/>
        </w:rPr>
        <w:t>Section 7.05 Inspection Rights</w:t>
      </w:r>
      <w:r>
        <w:rPr>
          <w:rFonts w:ascii="Arial" w:cs="Arial" w:eastAsia="Arial" w:hAnsi="Arial"/>
          <w:sz w:val="18"/>
          <w:szCs w:val="18"/>
          <w:color w:val="auto"/>
        </w:rPr>
        <w:t xml:space="preserve">. The Company shall permit each Member and each of its designated representatives at such Member’s sole cost and expense to examine the books and records of the Company or any of its Subsidiaries at the principal office of the Company or such other location as the Manager shall reasonably approve during normal business hours and upon reasonable notice for any purpose reasonably related to such Member’s </w:t>
      </w:r>
      <w:r>
        <w:rPr>
          <w:rFonts w:ascii="Arial" w:cs="Arial" w:eastAsia="Arial" w:hAnsi="Arial"/>
          <w:sz w:val="18"/>
          <w:szCs w:val="18"/>
          <w:u w:val="single" w:color="auto"/>
          <w:color w:val="auto"/>
        </w:rPr>
        <w:t>Units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BOOKS, RECORDS, ACCOUNTING AND REPORTS, AFFIRMATIVE COVENANTS</w:t>
      </w:r>
    </w:p>
    <w:p>
      <w:pPr>
        <w:spacing w:after="0" w:line="211"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u w:val="single" w:color="auto"/>
          <w:color w:val="auto"/>
        </w:rPr>
        <w:t>Section 8.01 Records and Accounting</w:t>
      </w:r>
      <w:r>
        <w:rPr>
          <w:rFonts w:ascii="Arial" w:cs="Arial" w:eastAsia="Arial" w:hAnsi="Arial"/>
          <w:sz w:val="16"/>
          <w:szCs w:val="16"/>
          <w:color w:val="auto"/>
        </w:rPr>
        <w:t xml:space="preserve">. The Company shall keep, or cause to be kept, appropriate books and records with respect to the Company’s business, including all books and records necessary to provide any information, lists and copies of documents required pursuant to applicable Laws. All matters concerning (a) the determination of the relative amount of allocations and Distributions among the Members pursuant to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w:t>
      </w:r>
    </w:p>
    <w:p>
      <w:pPr>
        <w:spacing w:after="0" w:line="2" w:lineRule="exact"/>
        <w:rPr>
          <w:sz w:val="20"/>
          <w:szCs w:val="20"/>
          <w:color w:val="auto"/>
        </w:rPr>
      </w:pPr>
    </w:p>
    <w:p>
      <w:pPr>
        <w:ind w:left="4" w:hanging="4"/>
        <w:spacing w:after="0" w:line="323" w:lineRule="auto"/>
        <w:tabs>
          <w:tab w:leader="none" w:pos="25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accounting procedures and determinations, and other determinations not specifically and expressly provided for by the terms of this Agreement, shall be determined by the Manager, whose determination shall be final and conclusive as to all of the Members absent manifest clerical error.</w:t>
      </w:r>
    </w:p>
    <w:p>
      <w:pPr>
        <w:spacing w:after="0" w:line="138"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u w:val="single" w:color="auto"/>
          <w:color w:val="auto"/>
        </w:rPr>
        <w:t>Section 8.02 Fiscal Year</w:t>
      </w:r>
      <w:r>
        <w:rPr>
          <w:rFonts w:ascii="Arial" w:cs="Arial" w:eastAsia="Arial" w:hAnsi="Arial"/>
          <w:sz w:val="18"/>
          <w:szCs w:val="18"/>
          <w:color w:val="auto"/>
        </w:rPr>
        <w:t>. The Fiscal Year of the Company shall end on December 31 of each year or such other date as may be established by the Manager.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 MATTERS</w:t>
      </w:r>
    </w:p>
    <w:p>
      <w:pPr>
        <w:spacing w:after="0" w:line="21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u w:val="single" w:color="auto"/>
          <w:color w:val="auto"/>
        </w:rPr>
        <w:t>Section 9.01 Preparation of Tax Returns</w:t>
      </w:r>
      <w:r>
        <w:rPr>
          <w:rFonts w:ascii="Arial" w:cs="Arial" w:eastAsia="Arial" w:hAnsi="Arial"/>
          <w:sz w:val="16"/>
          <w:szCs w:val="16"/>
          <w:color w:val="auto"/>
        </w:rPr>
        <w:t>. The Manager shall arrange for the preparation and timely filing of all tax returns required to be filed by the Company. The Manager shall use reasonable efforts to furnish, within one hundred and eighty (180) days of the close of each Taxable Year, to each Member a completed IRS Schedule K-1 (and any comparable state income tax form) and such other information as is reasonably requested by such Member relating to the Company that is necessary for such Member to comply with its tax reporting obligations. Subject to the terms and conditions of this Agreement and except as otherwise provided in this Agreement, in its capacity as Partnership Representative, the Corporation shall have the authority to prepare the tax returns of the Company using such permissible methods and elections as it determines in its reasonable discretion, including without limitation the use of any permissible method under Section 706 of the Code for purposes of determining the varying Units of its Members.</w:t>
      </w:r>
    </w:p>
    <w:p>
      <w:pPr>
        <w:spacing w:after="0" w:line="16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u w:val="single" w:color="auto"/>
          <w:color w:val="auto"/>
        </w:rPr>
        <w:t>Section 9.02 Tax Elections</w:t>
      </w:r>
      <w:r>
        <w:rPr>
          <w:rFonts w:ascii="Arial" w:cs="Arial" w:eastAsia="Arial" w:hAnsi="Arial"/>
          <w:sz w:val="17"/>
          <w:szCs w:val="17"/>
          <w:color w:val="auto"/>
        </w:rPr>
        <w:t xml:space="preserve">. The Taxable Year shall be the Fiscal Year set forth in </w:t>
      </w:r>
      <w:r>
        <w:rPr>
          <w:rFonts w:ascii="Arial" w:cs="Arial" w:eastAsia="Arial" w:hAnsi="Arial"/>
          <w:sz w:val="17"/>
          <w:szCs w:val="17"/>
          <w:u w:val="single" w:color="auto"/>
          <w:color w:val="auto"/>
        </w:rPr>
        <w:t>Section 8.02</w:t>
      </w:r>
      <w:r>
        <w:rPr>
          <w:rFonts w:ascii="Arial" w:cs="Arial" w:eastAsia="Arial" w:hAnsi="Arial"/>
          <w:sz w:val="17"/>
          <w:szCs w:val="17"/>
          <w:color w:val="auto"/>
        </w:rPr>
        <w:t>, unless otherwise required by Section 706 of the Code. The Manager shall cause the Company and each of its Subsidiaries that is treated as a partnership for U.S. federal income tax purposes to have in effect an election pursuant to Section 754 of the Code (or any similar provisions of applicable state, local or foreign tax Law) for each Taxable Year. The Manager shall take commercially reasonable efforts to cause each Person in which the Company owns a direct or indirect equity interest (other than a Subsidiary) that is so treated as a partnership to have in effect any such election for each Taxable Year. Each Member will upon request supply any information reasonably necessary to give proper effect to any such elections.</w:t>
      </w:r>
    </w:p>
    <w:p>
      <w:pPr>
        <w:spacing w:after="0" w:line="17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u w:val="single" w:color="auto"/>
          <w:color w:val="auto"/>
        </w:rPr>
        <w:t>Section 9.03 Tax Controversies</w:t>
      </w:r>
      <w:r>
        <w:rPr>
          <w:rFonts w:ascii="Arial" w:cs="Arial" w:eastAsia="Arial" w:hAnsi="Arial"/>
          <w:sz w:val="16"/>
          <w:szCs w:val="16"/>
          <w:color w:val="auto"/>
        </w:rPr>
        <w:t>. The Manager shall cause the Company to take all necessary actions required by Law to designate the Corporation as the “tax matters partner” of the Company within the meaning of Section 6231 of the Code (as in effect prior to repeal of such section pursuant to the Revised Partnership Audit Provisions) with respect any Taxable Year beginning on or before December 31, 2017. The Manager shall further cause the Company to take all necessary actions required by Law to designate the Corporation as the “partnership representative” of the Company as provided in Section 6223(a) of the Code with respect to any Taxable Year of the Company beginning after December 31, 2017, and if the “partnership representative” is an entity, the Corporation is hereby authorized to designate an individual to be the sole individual through which such entity “partnership representative” will act (in such capacities, collectively, the “</w:t>
      </w:r>
      <w:r>
        <w:rPr>
          <w:rFonts w:ascii="Arial" w:cs="Arial" w:eastAsia="Arial" w:hAnsi="Arial"/>
          <w:sz w:val="16"/>
          <w:szCs w:val="16"/>
          <w:b w:val="1"/>
          <w:bCs w:val="1"/>
          <w:i w:val="1"/>
          <w:iCs w:val="1"/>
          <w:color w:val="auto"/>
        </w:rPr>
        <w:t>Partnership Representative</w:t>
      </w:r>
      <w:r>
        <w:rPr>
          <w:rFonts w:ascii="Arial" w:cs="Arial" w:eastAsia="Arial" w:hAnsi="Arial"/>
          <w:sz w:val="16"/>
          <w:szCs w:val="16"/>
          <w:color w:val="auto"/>
        </w:rPr>
        <w:t>”). The Company and the Members shall cooperate fully with each other and shall use reasonable best efforts to cause the Corporation (or its designated individual, as applicable) to become the Partnership Representative with respect to any taxable period of the Company with respect to which the statute of limitations has not yet expired (and causing any tax matters partner, partnership representative or designated individual designated prior to the Effective Date to resign, be revoked or replaced, as applicable), including (as applicable) by filing certifications pursuant to Treasury Regulations Section 301.6231(a)(7)-1(d) and completing IRS Form 8970 or any other form or certificate required pursuant to Treasury Regulation Section 301.6223-1(e)(1). The Partnership Representative shall have the right and obligation to take all actions authorized and required, by the Code for the Partnership Representative and is authorized and required to represent the Company (at the Company’s expense) in connection with all examinations of the Company’s affairs by tax authorities, including any resulting administrative and judicial proceedings, and to expend Company funds for professional services reasonably incurred in connection therewith. Each Member agrees to cooperate with the Company and the Partnership Representative and to do or refrain from doing any or all things reasonably requested by the Company or the Partnership Representative with respect to the conduct of such proceedings. Without limiting the generality of the foregoing, with respect to any audit or other proceeding, the Partnership Representative shall be entitled to cause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20" w:name="page121"/>
    <w:bookmarkEnd w:id="120"/>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(and any of its Subsidiaries) to make any available elections pursuant to Section 6226 of the Code (and similar provisions of state, local and other Law), and the Members shall cooperate to the extent reasonably requested by the Company in connection therewith. The Company shall reimburse the Partnership Representative for all reasonable out-of-pocket expenses incurred by the Partnership Representative, including reasonable fees of any professional attorneys, in carrying out its duties as the Partnership Representative. The provisions of this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shall survive the transfer or termination of any Member’s interest in any Units of the Company, the termination of this Agreement and the termination of the Company, and shall remain binding on each Member for the period of time necessary to resolve all tax matters relating to the Company, and shall be subject to the provisions of the Tax Receivable Agreement, as applicable.</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RESTRICTIONS ON TRANSFER OF UNITS; CERTAIN TRANSACTIONS</w:t>
      </w:r>
    </w:p>
    <w:p>
      <w:pPr>
        <w:spacing w:after="0" w:line="211"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u w:val="single" w:color="auto"/>
          <w:color w:val="auto"/>
        </w:rPr>
        <w:t>Section 10.01 Transfers by Members</w:t>
      </w:r>
      <w:r>
        <w:rPr>
          <w:rFonts w:ascii="Arial" w:cs="Arial" w:eastAsia="Arial" w:hAnsi="Arial"/>
          <w:sz w:val="17"/>
          <w:szCs w:val="17"/>
          <w:color w:val="auto"/>
        </w:rPr>
        <w:t xml:space="preserve">. No holder of Units shall Transfer any interest in any Units, except Transfers (a) pursuant to and in accordance with </w:t>
      </w:r>
      <w:r>
        <w:rPr>
          <w:rFonts w:ascii="Arial" w:cs="Arial" w:eastAsia="Arial" w:hAnsi="Arial"/>
          <w:sz w:val="17"/>
          <w:szCs w:val="17"/>
          <w:u w:val="single" w:color="auto"/>
          <w:color w:val="auto"/>
        </w:rPr>
        <w:t>Sections 10.02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10.09</w:t>
      </w:r>
      <w:r>
        <w:rPr>
          <w:rFonts w:ascii="Arial" w:cs="Arial" w:eastAsia="Arial" w:hAnsi="Arial"/>
          <w:sz w:val="17"/>
          <w:szCs w:val="17"/>
          <w:color w:val="auto"/>
        </w:rPr>
        <w:t xml:space="preserve"> or (b) approved in advance and in writing by the Manager, in the case of Transfers by any Member other than the Manager, or (c) in the case of Transfers by the Manager, to any Person who succeeds to the Manager in accordance with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Notwithstanding the foregoing, “Transfer” shall not include (i) an event that terminates the existence of a Member for income tax purposes (including, without limitation, a change in entity classification of a Member under Treasury Regulations Section 301.7701-3, a sale of assets by, or liquidation of, a Member pursuant to an election under Code Sections 336 or 338, or merger, severance, or allocation within a trust or among sub-trusts of a trust that is a Member), but that does not terminate the existence of such Member under applicable state Law (or, in the case of a trust that is a Member, does not terminate the trusteeship of the fiduciaries under such trust with respect to all the </w:t>
      </w:r>
      <w:r>
        <w:rPr>
          <w:rFonts w:ascii="Arial" w:cs="Arial" w:eastAsia="Arial" w:hAnsi="Arial"/>
          <w:sz w:val="17"/>
          <w:szCs w:val="17"/>
          <w:u w:val="single" w:color="auto"/>
          <w:color w:val="auto"/>
        </w:rPr>
        <w:t>Unit</w:t>
      </w:r>
      <w:r>
        <w:rPr>
          <w:rFonts w:ascii="Arial" w:cs="Arial" w:eastAsia="Arial" w:hAnsi="Arial"/>
          <w:sz w:val="17"/>
          <w:szCs w:val="17"/>
          <w:color w:val="auto"/>
        </w:rPr>
        <w:t>s of such trust that is a Member) or (ii) any indirect Transfer of Units held by the Manager by virtue of any Transfer of Equity Securities in the Corporation.</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7"/>
          <w:szCs w:val="17"/>
          <w:u w:val="single" w:color="auto"/>
          <w:color w:val="auto"/>
        </w:rPr>
        <w:t>Section 10.02 Permitted Transfers</w:t>
      </w:r>
      <w:r>
        <w:rPr>
          <w:rFonts w:ascii="Arial" w:cs="Arial" w:eastAsia="Arial" w:hAnsi="Arial"/>
          <w:sz w:val="17"/>
          <w:szCs w:val="17"/>
          <w:color w:val="auto"/>
        </w:rPr>
        <w:t xml:space="preserve">. The restrictions contained in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not apply to any of the following Transfers (each, a</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w:t>
      </w:r>
      <w:r>
        <w:rPr>
          <w:rFonts w:ascii="Arial" w:cs="Arial" w:eastAsia="Arial" w:hAnsi="Arial"/>
          <w:sz w:val="16"/>
          <w:szCs w:val="16"/>
          <w:color w:val="auto"/>
        </w:rPr>
        <w:t>” and each transferee, a “</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(i)(A) a Transfer pursuant to a Redemption or Direct Exchange in accordance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with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hereof or (B) a Transfer by a Member to the Corporation or any of its Subsidiaries, (ii) a Transfer to an Affiliate of such Member;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(x) the restrictions contained in this Agreement will continue to apply to Units after any Permitted Transfer of such Units, and</w:t>
      </w:r>
    </w:p>
    <w:p>
      <w:pPr>
        <w:spacing w:after="0" w:line="32" w:lineRule="exact"/>
        <w:rPr>
          <w:sz w:val="20"/>
          <w:szCs w:val="20"/>
          <w:color w:val="auto"/>
        </w:rPr>
      </w:pPr>
    </w:p>
    <w:p>
      <w:pPr>
        <w:ind w:left="4" w:right="20" w:hanging="4"/>
        <w:spacing w:after="0" w:line="268" w:lineRule="auto"/>
        <w:tabs>
          <w:tab w:leader="none" w:pos="25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the case of the foregoing clause (ii), the Permitted Transferees of the Units so Transferred shall agree in writing to be bound by the provisions of this Agreement, and prior to such Transfer the transferor will deliver a written notice to the Company and the Members, which notice will disclose in reasonable detail the identity of the proposed Permitted Transferee, (iii) in the case of Management Feeder, (A) an indirect Transfer by virtue of a Management Feeder Member Transferring any of its equity interests in Management Feeder to a Family Trust (as defined in the Management Feeder LLC Agreement) pursuant to and in accordance with Section 23 of the Management Feeder LLC Agreement and (B) a distribution of Units to a Management Feeder Member with respect to such Management Feeder Member’s interests in Management Feeder corresponding to such Units, but only if such Management Feeder Member has notified Management Feeder in writing under Section 20 of the Management Feeder LLC Agreement that it desires to have Management Feeder initiate the Redemption or Direct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4"/>
          </w:cols>
          <w:pgMar w:left="436" w:top="274" w:right="439" w:bottom="1440" w:gutter="0" w:footer="0" w:header="0"/>
        </w:sectPr>
      </w:pPr>
    </w:p>
    <w:bookmarkStart w:id="121" w:name="page122"/>
    <w:bookmarkEnd w:id="12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Exchange provisions of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hereof with respect to such Units, and provided that, in the case of this clause (iii), any such distribution shall</w:t>
      </w:r>
    </w:p>
    <w:p>
      <w:pPr>
        <w:spacing w:after="0" w:line="35" w:lineRule="exact"/>
        <w:rPr>
          <w:sz w:val="20"/>
          <w:szCs w:val="20"/>
          <w:color w:val="auto"/>
        </w:rPr>
      </w:pPr>
    </w:p>
    <w:p>
      <w:pPr>
        <w:ind w:left="4" w:hanging="4"/>
        <w:spacing w:after="0" w:line="281" w:lineRule="auto"/>
        <w:tabs>
          <w:tab w:leader="none" w:pos="25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occur on the date of, and immediately prior to, the applicable Redemption or Direct Exchange, (2) be accompanied by a distribution by Management Feeder to the applicable Management Feeder Member of a number of shares of Class B Common Stock equal to the number of Units so distributed and</w:t>
      </w:r>
    </w:p>
    <w:p>
      <w:pPr>
        <w:spacing w:after="0" w:line="1" w:lineRule="exact"/>
        <w:rPr>
          <w:rFonts w:ascii="Arial" w:cs="Arial" w:eastAsia="Arial" w:hAnsi="Arial"/>
          <w:sz w:val="16"/>
          <w:szCs w:val="16"/>
          <w:color w:val="auto"/>
        </w:rPr>
      </w:pPr>
    </w:p>
    <w:p>
      <w:pPr>
        <w:ind w:left="4" w:right="20" w:hanging="4"/>
        <w:spacing w:after="0" w:line="284" w:lineRule="auto"/>
        <w:tabs>
          <w:tab w:leader="none" w:pos="25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be conditioned on the Management Feeder Member’s immediate Transfer of (a) such distributed Units to the Company or the Corporation (whichever is required by the Redemption or Direct Exchange, as applicable) and (b) of such distributed shares of Class B Common Stock to the Corporation, in each case,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if the applicable Management Feeder Member fails to effect any such immediate Transfer of such Units or shares of Class B Common Stock, the distribution of such Units and shares of Class B Common Stock to such Management Feeder Member shall be deemed null and void and shall have no effect), or (iv) in the case of NVX Holdings, a distribution of Units to any stockholder of NVX Holdings provided that, in the case of this clause (iv), any such distribution shall (A) be accompanied by a distribution to any such stockholder of NVX Holdings of a number of shares of Class B Common Stock equal to the number of Units so distributed and (B) be conditioned on any such stockholder of NVX Holdings immediately initiating the Redemption or Direct Exchange provisions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with respect to such Units and immediately thereafter Transferring (1) such distributed Units to the Company or the Corporation (whichever is required by the Redemption or Direct Exchange, as applicable) and (2) such distributed shares of Class B Common Stock to the Corporation, in each case,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if the applicable stockholder of NVX Holdings fails to effect any such immediate Transfer of such Units or shares of Class B Common Stock, the distribution of such Units and shares of Class B Common Stock to any such stockholder of NVX Holdings shall be deemed null and void and shall have no effect). In the case of a Permitted Transfer of any Common Units by any Member that is authorized to hold Class B Common Stock in accordance with the Corporation’s certificate of incorporation to a Permitted Transferee in accordance with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such Member (or any subsequent Permitted Transferee of such Member) shall also transfer a number of shares of Class B Common Stock equal to the number of Common Units that were transferred by such Member (or subsequent Permitted Transferee) in the transaction to such Permitted Transferee. All Permitted Transfers are subject to the additional limitations set forth in </w:t>
      </w:r>
      <w:r>
        <w:rPr>
          <w:rFonts w:ascii="Arial" w:cs="Arial" w:eastAsia="Arial" w:hAnsi="Arial"/>
          <w:sz w:val="16"/>
          <w:szCs w:val="16"/>
          <w:u w:val="single" w:color="auto"/>
          <w:color w:val="auto"/>
        </w:rPr>
        <w:t>Section 10.07(b)</w:t>
      </w:r>
      <w:r>
        <w:rPr>
          <w:rFonts w:ascii="Arial" w:cs="Arial" w:eastAsia="Arial" w:hAnsi="Arial"/>
          <w:sz w:val="16"/>
          <w:szCs w:val="16"/>
          <w:color w:val="auto"/>
        </w:rPr>
        <w:t>.</w:t>
      </w:r>
    </w:p>
    <w:p>
      <w:pPr>
        <w:spacing w:after="0" w:line="172"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u w:val="single" w:color="auto"/>
          <w:color w:val="auto"/>
        </w:rPr>
        <w:t>Section 10.03 Restricted Units Legend</w:t>
      </w:r>
      <w:r>
        <w:rPr>
          <w:rFonts w:ascii="Arial" w:cs="Arial" w:eastAsia="Arial" w:hAnsi="Arial"/>
          <w:sz w:val="18"/>
          <w:szCs w:val="18"/>
          <w:color w:val="auto"/>
        </w:rPr>
        <w:t>. The Units have not been registered under the Securities Act and, therefore, in addition to the other restrictions on Transfer contained in this Agreement, cannot be sold unless subsequently registered under the Securities Act or if an exemption from such registration is then available with respect to such sale. To the extent such Units have been certificated, each certificate evidencing Units and each certificate issued in exchange for or upon the Transfer of any Units shall be stamped or otherwise imprinted with a legend in substantially the following form:</w:t>
      </w:r>
    </w:p>
    <w:p>
      <w:pPr>
        <w:spacing w:after="0" w:line="188"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“THE SECURITIES REPRESENTED BY THIS CERTIFICATE WERE ISSUED ON JULY 15, 2020, AND HAVE NOT BEEN REGISTERED UNDER THE SECURITIES ACT OF 1933, AS AMENDED (THE “ACT”), AND MAY NOT BE SOLD OR TRANSFERRED IN THE ABSENCE OF AN EFFECTIVE REGISTRATION STATEMENT UNDER THE ACT OR AN EXEMPTION FROM REGISTRATION THEREUNDER. THE SECURITIES REPRESENTED BY THIS CERTIFICATE ARE ALSO SUBJECT TO ADDITIONAL RESTRICTIONS ON TRANSFER SPECIFIED IN THE SECOND AMENDED AND RESTATED LIMITED</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4"/>
          </w:cols>
          <w:pgMar w:left="436" w:top="274" w:right="499" w:bottom="1440" w:gutter="0" w:footer="0" w:header="0"/>
        </w:sectPr>
      </w:pPr>
    </w:p>
    <w:bookmarkStart w:id="122" w:name="page123"/>
    <w:bookmarkEnd w:id="122"/>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LIABILITY COMPANY AGREEMENT OF GOHEALTH HOLDINGS, LLC, AS IT MAY BE AMENDED, RESTATED, AMENDED AND RESTATED, OR OTHERWISE MODIFIED FROM TIME TO TIME, AND GOHEALTH HOLDINGS, LLC RESERVES THE RIGHT TO REFUSE THE TRANSFER OF SUCH SECURITIES UNTIL SUCH CONDITIONS HAVE BEEN FULFILLED WITH RESPECT TO ANY TRANSFER. A COPY OF SUCH CONDITIONS SHALL BE FURNISHED BY GOHEALTH HOLDINGS, LLC TO THE HOLDER HEREOF UPON WRITTEN REQUEST AND WITHOUT CHARGE.”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auto"/>
        </w:rPr>
        <w:t>Section 10.04 Transfer</w:t>
      </w:r>
      <w:r>
        <w:rPr>
          <w:rFonts w:ascii="Arial" w:cs="Arial" w:eastAsia="Arial" w:hAnsi="Arial"/>
          <w:sz w:val="18"/>
          <w:szCs w:val="18"/>
          <w:color w:val="auto"/>
        </w:rPr>
        <w:t>. Prior to Transferring any Units, the Transferring holder of Units shall cause the prospective Permitted Transferee to be bound by this Agreement and any other agreements executed by the holders of Units and relating to such Units in the aggregate to which the transferor was a party, including without limitation the Stockholders Agreement (collectively, the “</w:t>
      </w:r>
      <w:r>
        <w:rPr>
          <w:rFonts w:ascii="Arial" w:cs="Arial" w:eastAsia="Arial" w:hAnsi="Arial"/>
          <w:sz w:val="18"/>
          <w:szCs w:val="18"/>
          <w:b w:val="1"/>
          <w:bCs w:val="1"/>
          <w:i w:val="1"/>
          <w:iCs w:val="1"/>
          <w:color w:val="auto"/>
        </w:rPr>
        <w:t>Other Agreements</w:t>
      </w:r>
      <w:r>
        <w:rPr>
          <w:rFonts w:ascii="Arial" w:cs="Arial" w:eastAsia="Arial" w:hAnsi="Arial"/>
          <w:sz w:val="18"/>
          <w:szCs w:val="18"/>
          <w:color w:val="auto"/>
        </w:rPr>
        <w:t>”) by executing and delivering to the Company counterparts of this Agreement and any applicable Other Agreements.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10.05 Assignee’s Rights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75" w:lineRule="auto"/>
        <w:tabs>
          <w:tab w:leader="none" w:pos="68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Transfer of a Unit in accordance with this Agreement shall be effective as of the date of such Transfer (assuming compliance with all of the conditions to such Transfer set forth herein), and such Transfer shall be shown on the books and records of the Company. Profits, Losses and other items of the Company shall be allocated between the transferor and the transferee according to Code Section 706, using any permissible method as determined in the reasonable discretion of the Manager. Distributions made before the effective date of such Transfer shall be paid to the transferor, and Distributions made on or after such date shall be paid to the Assignee.</w:t>
      </w:r>
    </w:p>
    <w:p>
      <w:pPr>
        <w:spacing w:after="0" w:line="68" w:lineRule="exact"/>
        <w:rPr>
          <w:rFonts w:ascii="Arial" w:cs="Arial" w:eastAsia="Arial" w:hAnsi="Arial"/>
          <w:sz w:val="17"/>
          <w:szCs w:val="17"/>
          <w:color w:val="auto"/>
        </w:rPr>
      </w:pPr>
    </w:p>
    <w:p>
      <w:pPr>
        <w:ind w:firstLine="436"/>
        <w:spacing w:after="0" w:line="275" w:lineRule="auto"/>
        <w:tabs>
          <w:tab w:leader="none" w:pos="69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Unless and until an Assignee becomes a Member pursuant to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the Assignee shall not be entitled to any of the rights granted to a Member hereunder or under applicable Law, other than the rights granted specifically to Assignees pursuant to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without relieving the Transferring Member from any such limitations or obligations as more fully described in </w:t>
      </w:r>
      <w:r>
        <w:rPr>
          <w:rFonts w:ascii="Arial" w:cs="Arial" w:eastAsia="Arial" w:hAnsi="Arial"/>
          <w:sz w:val="17"/>
          <w:szCs w:val="17"/>
          <w:u w:val="single" w:color="auto"/>
          <w:color w:val="auto"/>
        </w:rPr>
        <w:t>Section 10.06</w:t>
      </w:r>
      <w:r>
        <w:rPr>
          <w:rFonts w:ascii="Arial" w:cs="Arial" w:eastAsia="Arial" w:hAnsi="Arial"/>
          <w:sz w:val="17"/>
          <w:szCs w:val="17"/>
          <w:color w:val="auto"/>
        </w:rPr>
        <w:t>, such Assignee shall be bound by any limitations and obligations of a Member contained herein by which a Member would be bound on account of the Assignee’s Units (including the obligation to make Capital Contributions on account of such Units).</w:t>
      </w:r>
    </w:p>
    <w:p>
      <w:pPr>
        <w:spacing w:after="0" w:line="176"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u w:val="single" w:color="auto"/>
          <w:color w:val="auto"/>
        </w:rPr>
        <w:t>Section 10.06 Assignor’s Rights and Obligations</w:t>
      </w:r>
      <w:r>
        <w:rPr>
          <w:rFonts w:ascii="Arial" w:cs="Arial" w:eastAsia="Arial" w:hAnsi="Arial"/>
          <w:sz w:val="16"/>
          <w:szCs w:val="16"/>
          <w:color w:val="auto"/>
        </w:rPr>
        <w:t xml:space="preserve">. Any Member who shall Transfer any </w:t>
      </w:r>
      <w:r>
        <w:rPr>
          <w:rFonts w:ascii="Arial" w:cs="Arial" w:eastAsia="Arial" w:hAnsi="Arial"/>
          <w:sz w:val="16"/>
          <w:szCs w:val="16"/>
          <w:u w:val="single" w:color="auto"/>
          <w:color w:val="auto"/>
        </w:rPr>
        <w:t>Unit</w:t>
      </w:r>
      <w:r>
        <w:rPr>
          <w:rFonts w:ascii="Arial" w:cs="Arial" w:eastAsia="Arial" w:hAnsi="Arial"/>
          <w:sz w:val="16"/>
          <w:szCs w:val="16"/>
          <w:color w:val="auto"/>
        </w:rPr>
        <w:t xml:space="preserve"> in a manner in accordance with this Agreement shall cease to be a Member with respect to such Units and shall no longer have any rights or privileges, or, except as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duties, liabilities or obligations, of a Member with respect to such Units or other interest (it being understood, however, that the applicable provisions of </w:t>
      </w:r>
      <w:r>
        <w:rPr>
          <w:rFonts w:ascii="Arial" w:cs="Arial" w:eastAsia="Arial" w:hAnsi="Arial"/>
          <w:sz w:val="16"/>
          <w:szCs w:val="16"/>
          <w:u w:val="single" w:color="auto"/>
          <w:color w:val="auto"/>
        </w:rPr>
        <w:t>Sections 6.08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7.04</w:t>
      </w:r>
      <w:r>
        <w:rPr>
          <w:rFonts w:ascii="Arial" w:cs="Arial" w:eastAsia="Arial" w:hAnsi="Arial"/>
          <w:sz w:val="16"/>
          <w:szCs w:val="16"/>
          <w:color w:val="auto"/>
        </w:rPr>
        <w:t xml:space="preserve"> shall continue to inure to such Person’s benefit), except that unless and until the Assignee (if not already a Member) is admitted as a Substituted Member in accordance with the provisions of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Admission Date</w:t>
      </w:r>
      <w:r>
        <w:rPr>
          <w:rFonts w:ascii="Arial" w:cs="Arial" w:eastAsia="Arial" w:hAnsi="Arial"/>
          <w:sz w:val="16"/>
          <w:szCs w:val="16"/>
          <w:color w:val="auto"/>
        </w:rPr>
        <w:t>”), (i) such Transferring Member shall retain all of the duties, liabilities and obligations of a Member with respect to such Units, and (ii) the Manager may, in its sole discretion,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40" w:top="274" w:right="519" w:bottom="1440" w:gutter="0" w:footer="0" w:header="0"/>
        </w:sectPr>
      </w:pPr>
    </w:p>
    <w:bookmarkStart w:id="123" w:name="page124"/>
    <w:bookmarkEnd w:id="123"/>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reinstate all or any portion of the rights and privileges of such Member with respect to such Units for any period of time prior to the Admission Date. Nothing contained herein shall relieve any Member who Transfers any Units in the Company from any liability of such Member to the Company with respect to such Units that may exist as of the Admission Date or that is otherwise specified in the Delaware Act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10.07 Overriding Provisions</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73" w:lineRule="auto"/>
        <w:tabs>
          <w:tab w:leader="none" w:pos="68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Any Transfer or attempted Transfer of any Units in violation of this Agreement (including any prohibited indirect Transfers) shall be, to the fullest extent permitted by applicable law,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Sections 10.05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10.06</w:t>
      </w:r>
      <w:r>
        <w:rPr>
          <w:rFonts w:ascii="Arial" w:cs="Arial" w:eastAsia="Arial" w:hAnsi="Arial"/>
          <w:sz w:val="17"/>
          <w:szCs w:val="17"/>
          <w:color w:val="auto"/>
        </w:rPr>
        <w:t xml:space="preserve"> shall not apply to any such Transfers. For the avoidance of doubt, any Person to whom a Transfer is made or attempted in violation of this Agreement shall not become a Member and shall not have any other rights in or with respect to any rights of a Member of the Company with respect to the applicable Units. The approval of any Transfer in any one or more instances shall not limit or waive the requirement for such approval in any other or future instance. The Manager shall promptly amend the Schedule of Members to reflect any Permitted Transfer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160" w:firstLine="436"/>
        <w:spacing w:after="0" w:line="277"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herein to the contrary (including, for the avoidance of doubt,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in no event shall any Member Transfer any Units to the extent such Transfer would:</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result in the violation of the Securities Act, or any other applicable federal, state or foreign Laws;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cause an assignment under the Investment Company Act;</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17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in the reasonable determination of the Manager, be a violation of or a default (or an event that, with notice or the lapse of time or both, would constitute a default) under, or result in an acceleration of any obligation under any Credit Agreement to which the Company or the Manager is a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payee or creditor to whom the Company or the Manager owes such obligation is not an Affiliate of the Company or the Manager;</w:t>
      </w:r>
    </w:p>
    <w:p>
      <w:pPr>
        <w:spacing w:after="0" w:line="78" w:lineRule="exact"/>
        <w:rPr>
          <w:rFonts w:ascii="Arial" w:cs="Arial" w:eastAsia="Arial" w:hAnsi="Arial"/>
          <w:sz w:val="18"/>
          <w:szCs w:val="18"/>
          <w:color w:val="auto"/>
        </w:rPr>
      </w:pPr>
    </w:p>
    <w:p>
      <w:pPr>
        <w:ind w:left="440" w:right="680" w:firstLine="419"/>
        <w:spacing w:after="0" w:line="277" w:lineRule="auto"/>
        <w:tabs>
          <w:tab w:leader="none" w:pos="116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be a Transfer to a Person who is not legally competent or who has not achieved his or her majority of age under applicable Law (excluding trusts for the benefit of minors);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cause the Company to be treated as a “publicly traded partnership” or to be taxed as a corporation pursuant to Section 7704 of the Code or any successor provision thereto under the Code; or</w:t>
      </w:r>
    </w:p>
    <w:p>
      <w:pPr>
        <w:spacing w:after="0" w:line="62" w:lineRule="exact"/>
        <w:rPr>
          <w:rFonts w:ascii="Arial" w:cs="Arial" w:eastAsia="Arial" w:hAnsi="Arial"/>
          <w:sz w:val="18"/>
          <w:szCs w:val="18"/>
          <w:color w:val="auto"/>
        </w:rPr>
      </w:pPr>
    </w:p>
    <w:p>
      <w:pPr>
        <w:ind w:left="440" w:firstLine="419"/>
        <w:spacing w:after="0" w:line="277" w:lineRule="auto"/>
        <w:tabs>
          <w:tab w:leader="none" w:pos="116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result in the Company having more than one hundred (100) partners, within the meaning of Treasury Regulations Section 1.7704-1(h)(1) (determined pursuant to the rules of Treasury Regulations Section 1.7704-1(h)(3)).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124" w:name="page125"/>
    <w:bookmarkEnd w:id="124"/>
    <w:p>
      <w:pPr>
        <w:ind w:left="4" w:firstLine="436"/>
        <w:spacing w:after="0" w:line="257" w:lineRule="auto"/>
        <w:tabs>
          <w:tab w:leader="none" w:pos="689"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contained herein to the contrary, in no event shall any Member that is not a “United States person” within the meaning of Section 7701(a)(30) of the Code Transfer any Units, unless such Member and the transferee have delivered to the Company, in respect of the relevant Transfer, written evidence that all required withholding under Section 1446(f) of the Code will have been done and duly remitted to the applicable taxing authority or duly executed certifications (prepared in accordance with the applicable Treasury Regulations or other authorities) of an exemption from such withholding.</w:t>
      </w:r>
    </w:p>
    <w:p>
      <w:pPr>
        <w:spacing w:after="0" w:line="188"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u w:val="single" w:color="auto"/>
          <w:color w:val="auto"/>
        </w:rPr>
        <w:t>Section 10.08 Spousal Consent</w:t>
      </w:r>
      <w:r>
        <w:rPr>
          <w:rFonts w:ascii="Arial" w:cs="Arial" w:eastAsia="Arial" w:hAnsi="Arial"/>
          <w:sz w:val="18"/>
          <w:szCs w:val="18"/>
          <w:color w:val="auto"/>
        </w:rPr>
        <w:t xml:space="preserve">. In connection with the execution and delivery of this Agreement, any Member who is a natural person will deliver to the Company an executed consent from such Member’s spouse (if any)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or a Member’s spouse confirmation of separate property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 If, at any time subsequent to the date of this Agreement such Member becomes legally married (whether in the first instance or to a different spouse), such Member shall cause his or her spouse to execute and deliver to the Company a consent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 Such Member’s non-delivery to the Company of an executed consent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 any time shall constitute such Member’s continuing representation and warranty that such Member is not legally married as of such date.</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10.09 Certain Transactions with respect to the Corporation</w:t>
      </w:r>
      <w:r>
        <w:rPr>
          <w:rFonts w:ascii="Arial" w:cs="Arial" w:eastAsia="Arial" w:hAnsi="Arial"/>
          <w:sz w:val="18"/>
          <w:szCs w:val="18"/>
          <w:color w:val="auto"/>
        </w:rPr>
        <w:t>(a) .</w:t>
      </w:r>
    </w:p>
    <w:p>
      <w:pPr>
        <w:spacing w:after="0" w:line="117" w:lineRule="exact"/>
        <w:rPr>
          <w:sz w:val="20"/>
          <w:szCs w:val="20"/>
          <w:color w:val="auto"/>
        </w:rPr>
      </w:pPr>
    </w:p>
    <w:p>
      <w:pPr>
        <w:ind w:left="4" w:firstLine="436"/>
        <w:spacing w:after="0" w:line="283" w:lineRule="auto"/>
        <w:tabs>
          <w:tab w:leader="none" w:pos="689"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In connection with a Change of Control Transaction, the Manager shall have the right, in its sole discretion, to require each Member to effect a Redemption of all or a portion of such Member’s Units together with an equal number of shares of Class B Common Stock, pursuant to which such Units and such shares of Class B Common Stock will be exchanged for shares of Class A Common Stock (or economically equivalent cash or securities of a successor entity),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accordance with the Redemption provisions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(applied for this purpose as if the Corporation had delivered an Election Notice that specified a Share Settlement with respect to such Redemption) and otherwise in accordance with this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Any such Redemption pursuant to this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shall be effective immediately prior to the consummation of such Change of Control Transaction (and, for the avoidance of doubt, shall be contingent upon the consummation of such Change of Control Transaction and shall not be effective if such Change of Control Transaction is not consummated) (the date of such Redemption pursuant to this </w:t>
      </w:r>
      <w:r>
        <w:rPr>
          <w:rFonts w:ascii="Arial" w:cs="Arial" w:eastAsia="Arial" w:hAnsi="Arial"/>
          <w:sz w:val="16"/>
          <w:szCs w:val="16"/>
          <w:u w:val="single" w:color="auto"/>
          <w:color w:val="auto"/>
        </w:rPr>
        <w:t>Section 10.09(a)</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Change of Control Date</w:t>
      </w:r>
      <w:r>
        <w:rPr>
          <w:rFonts w:ascii="Arial" w:cs="Arial" w:eastAsia="Arial" w:hAnsi="Arial"/>
          <w:sz w:val="16"/>
          <w:szCs w:val="16"/>
          <w:color w:val="auto"/>
        </w:rPr>
        <w:t xml:space="preserve">”). From and after the Change of Control Date, (i) the Units and any shares of Class B Common Stock subject to such Redemption shall be deemed to be transferred to the Corporation on the Change of Control Date and (ii) each such Member shall cease to have any rights with respect to the Units and any shares of Class B Common Stock subject to such Redemption (other than the right to receive shares of Class A Common Stock (or economically equivalent cash or equity securities in a successor entity) pursuant to such Redemption). In the event the Manager desires to initiate the provisions of this </w:t>
      </w:r>
      <w:r>
        <w:rPr>
          <w:rFonts w:ascii="Arial" w:cs="Arial" w:eastAsia="Arial" w:hAnsi="Arial"/>
          <w:sz w:val="16"/>
          <w:szCs w:val="16"/>
          <w:u w:val="single" w:color="auto"/>
          <w:color w:val="auto"/>
        </w:rPr>
        <w:t>Section 10.09</w:t>
      </w:r>
      <w:r>
        <w:rPr>
          <w:rFonts w:ascii="Arial" w:cs="Arial" w:eastAsia="Arial" w:hAnsi="Arial"/>
          <w:sz w:val="16"/>
          <w:szCs w:val="16"/>
          <w:color w:val="auto"/>
        </w:rPr>
        <w:t>, the Manager shall provide written notice of an expected Change of Control Transaction to all Members within the earlier of (x) five</w:t>
      </w:r>
    </w:p>
    <w:p>
      <w:pPr>
        <w:spacing w:after="0" w:line="1" w:lineRule="exact"/>
        <w:rPr>
          <w:rFonts w:ascii="Arial" w:cs="Arial" w:eastAsia="Arial" w:hAnsi="Arial"/>
          <w:sz w:val="16"/>
          <w:szCs w:val="16"/>
          <w:color w:val="auto"/>
        </w:rPr>
      </w:pPr>
    </w:p>
    <w:p>
      <w:pPr>
        <w:ind w:left="4" w:right="220" w:hanging="4"/>
        <w:spacing w:after="0" w:line="273" w:lineRule="auto"/>
        <w:tabs>
          <w:tab w:leader="none" w:pos="25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Business Days following the execution of an agreement with respect to such Change of Control Transaction and (y) ten (10) Business Days before the proposed date upon which the contemplated Change of Control Transaction is to be effected, including in such notice such information as may reasonably describe the Change of Control Transaction, subject to Law, including the date of execution of such agreement or such proposed effective date, as applicable, the amount and types of consideration to be paid for shares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125" w:name="page126"/>
    <w:bookmarkEnd w:id="12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Class A Common Stock in the Change of Control Transaction and any election with respect to types of consideration that a holder of shares of Class A Common Stock, as applicable, shall be entitled to make in connection with a Change of Control Transaction (which election shall be available to each Member on the same terms as holders of shares of Class A Common Stock). Following delivery of such notice and on or prior to the Change of Control Date, the Members shall take all actions reasonably requested by the Corporation to effect such Redemption in accordance with the terms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taking any action and delivering any document required pursuant to this </w:t>
      </w:r>
      <w:r>
        <w:rPr>
          <w:rFonts w:ascii="Arial" w:cs="Arial" w:eastAsia="Arial" w:hAnsi="Arial"/>
          <w:sz w:val="18"/>
          <w:szCs w:val="18"/>
          <w:u w:val="single" w:color="auto"/>
          <w:color w:val="auto"/>
        </w:rPr>
        <w:t>Section 10.09(a)</w:t>
      </w:r>
      <w:r>
        <w:rPr>
          <w:rFonts w:ascii="Arial" w:cs="Arial" w:eastAsia="Arial" w:hAnsi="Arial"/>
          <w:sz w:val="18"/>
          <w:szCs w:val="18"/>
          <w:color w:val="auto"/>
        </w:rPr>
        <w:t xml:space="preserve"> to effect such Redemption. Notwithstanding the foregoing, in the event the Manager requires the Members to exchange less than all of their outstanding Units (and to surrender a corresponding number of shares of Class B Common Stock for cancellation), each Member’s participation in the Change of Control Transaction shall be reduced </w:t>
      </w:r>
      <w:r>
        <w:rPr>
          <w:rFonts w:ascii="Arial" w:cs="Arial" w:eastAsia="Arial" w:hAnsi="Arial"/>
          <w:sz w:val="18"/>
          <w:szCs w:val="18"/>
          <w:i w:val="1"/>
          <w:iCs w:val="1"/>
          <w:color w:val="auto"/>
        </w:rPr>
        <w:t>pro rata.</w:t>
      </w:r>
    </w:p>
    <w:p>
      <w:pPr>
        <w:spacing w:after="0" w:line="84" w:lineRule="exact"/>
        <w:rPr>
          <w:sz w:val="20"/>
          <w:szCs w:val="20"/>
          <w:color w:val="auto"/>
        </w:rPr>
      </w:pPr>
    </w:p>
    <w:p>
      <w:pPr>
        <w:ind w:firstLine="436"/>
        <w:spacing w:after="0" w:line="285"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issuer bid, take-over bid, recapitalization, or similar transaction with respect to Class A Common Stock (a “</w:t>
      </w:r>
      <w:r>
        <w:rPr>
          <w:rFonts w:ascii="Arial" w:cs="Arial" w:eastAsia="Arial" w:hAnsi="Arial"/>
          <w:sz w:val="16"/>
          <w:szCs w:val="16"/>
          <w:b w:val="1"/>
          <w:bCs w:val="1"/>
          <w:i w:val="1"/>
          <w:iCs w:val="1"/>
          <w:color w:val="auto"/>
        </w:rPr>
        <w:t>Pubco Offer</w:t>
      </w:r>
      <w:r>
        <w:rPr>
          <w:rFonts w:ascii="Arial" w:cs="Arial" w:eastAsia="Arial" w:hAnsi="Arial"/>
          <w:sz w:val="16"/>
          <w:szCs w:val="16"/>
          <w:color w:val="auto"/>
        </w:rPr>
        <w:t>”) is proposed by the Corporation or is proposed to the Corporation or its stockholders and approved by the Corporate Board or is otherwise effected or to be effected with the consent or approval of the Corporate Board, the Manager shall provide written notice of the Pubco Offer to all Members within the earlier of (i) five (5) Business Days following the execution of an agreement (if applicable) with respect to, or the commencement of (if applicable), such Pubco Offer and (ii) ten (10) Business Days before the proposed date upon which the Pubco Offer is to be effected, including in such notice such information as may reasonably describe the Pubco Offer, subject to Law, including the date of execution of such agreement (if applicable) or of such commencement (if applicable), the material terms of such Pubco Offer, including the amount and types of consideration to be received by holders of shares of Class A Common Stock in the Pubco Offer, any election with respect to types of consideration that a holder of shares of Class A Common Stock, as applicable, shall be entitled to make in connection with such Pubco Offer, and the number of Units (and the corresponding shares of Class B Common Stock) held by such Member that is applicable to such Pubco Offer. The Members (other than the Manager) shall be permitted to participate in such Pubco Offer by delivering a written notice of participation that is effective immediately prior to the consummation of such Pubco Offer (and that is contingent upon consummation of such offer), and shall include such information necessary for consummation of such offer as requested by the Corporation. In the case of any Pubco Offer that was initially proposed by the Corporation, the Corporation shall use reasonable best efforts to enable and permit the Members (other than the Manager) to participate in such transaction to the same extent or on an economically equivalent basis as the holders of shares of Class A Common Stock, and to enable such Members to participate in such transaction without being required to exchange Units or shares of Class B Common Stock prior to the consummation of such transaction. For the avoidance of doubt, in no event shall Common Unitholders be entitled to receive in such Pubco Offer aggregate consideration for each Common Unit that is greater than the consideration payable in respect of each share of Class A Common Stock in connection with a Pubco Offer (it being understood that payments under or in respect of the Tax Receivable Agreement shall not be considered part of any such consideration).</w:t>
      </w:r>
    </w:p>
    <w:p>
      <w:pPr>
        <w:spacing w:after="0" w:line="60" w:lineRule="exact"/>
        <w:rPr>
          <w:rFonts w:ascii="Arial" w:cs="Arial" w:eastAsia="Arial" w:hAnsi="Arial"/>
          <w:sz w:val="16"/>
          <w:szCs w:val="16"/>
          <w:color w:val="auto"/>
        </w:rPr>
      </w:pPr>
    </w:p>
    <w:p>
      <w:pPr>
        <w:jc w:val="both"/>
        <w:ind w:right="200" w:firstLine="436"/>
        <w:spacing w:after="0" w:line="311" w:lineRule="auto"/>
        <w:tabs>
          <w:tab w:leader="none" w:pos="68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In the event that a transaction or proposed transaction constitutes both a Change of Control Transaction and a Pubco Offer, the provisions of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shall take precedence over the provisions of </w:t>
      </w:r>
      <w:r>
        <w:rPr>
          <w:rFonts w:ascii="Arial" w:cs="Arial" w:eastAsia="Arial" w:hAnsi="Arial"/>
          <w:sz w:val="16"/>
          <w:szCs w:val="16"/>
          <w:u w:val="single" w:color="auto"/>
          <w:color w:val="auto"/>
        </w:rPr>
        <w:t>Section 10.09(b)</w:t>
      </w:r>
      <w:r>
        <w:rPr>
          <w:rFonts w:ascii="Arial" w:cs="Arial" w:eastAsia="Arial" w:hAnsi="Arial"/>
          <w:sz w:val="16"/>
          <w:szCs w:val="16"/>
          <w:color w:val="auto"/>
        </w:rPr>
        <w:t xml:space="preserve"> with respect to such transaction, and the provisions of </w:t>
      </w:r>
      <w:r>
        <w:rPr>
          <w:rFonts w:ascii="Arial" w:cs="Arial" w:eastAsia="Arial" w:hAnsi="Arial"/>
          <w:sz w:val="16"/>
          <w:szCs w:val="16"/>
          <w:u w:val="single" w:color="auto"/>
          <w:color w:val="auto"/>
        </w:rPr>
        <w:t>Section 10.09(b)</w:t>
      </w:r>
      <w:r>
        <w:rPr>
          <w:rFonts w:ascii="Arial" w:cs="Arial" w:eastAsia="Arial" w:hAnsi="Arial"/>
          <w:sz w:val="16"/>
          <w:szCs w:val="16"/>
          <w:color w:val="auto"/>
        </w:rPr>
        <w:t xml:space="preserve"> shall be subordinate to provisions of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and may only be triggered if the Manager elects to waive the provisions of </w:t>
      </w:r>
      <w:r>
        <w:rPr>
          <w:rFonts w:ascii="Arial" w:cs="Arial" w:eastAsia="Arial" w:hAnsi="Arial"/>
          <w:sz w:val="16"/>
          <w:szCs w:val="16"/>
          <w:u w:val="single" w:color="auto"/>
          <w:color w:val="auto"/>
        </w:rPr>
        <w:t>Section 10.09(a)</w:t>
      </w:r>
      <w:r>
        <w:rPr>
          <w:rFonts w:ascii="Arial" w:cs="Arial" w:eastAsia="Arial" w:hAnsi="Arial"/>
          <w:sz w:val="16"/>
          <w:szCs w:val="16"/>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26" w:name="page127"/>
    <w:bookmarkEnd w:id="126"/>
    <w:p>
      <w:pPr>
        <w:ind w:right="100" w:firstLine="44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10.10 Unvested Common Units</w:t>
      </w:r>
      <w:r>
        <w:rPr>
          <w:rFonts w:ascii="Arial" w:cs="Arial" w:eastAsia="Arial" w:hAnsi="Arial"/>
          <w:sz w:val="18"/>
          <w:szCs w:val="18"/>
          <w:color w:val="auto"/>
        </w:rPr>
        <w:t>. With respect to any shares of Class B Common Stock corresponding to Common Units which remain subject to vesting conditions in accordance with any applicable equity plan or individual award agreement, the Member holding such shares of Class B Common Stock shall abstain from voting any such shares of Class B Common Stock with respect to any matter to be voted on or considered by the stockholders of the Corporation at any annual or special meeting of the stockholders of the Corporation or action by written consent of the stockholders of the Corporation unless and until such time as such Common Units have vested in accordance with the applicable equity plan or individual award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AND DIRECT EXCHANGE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11.01 Redemption Right of a Member</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3" w:lineRule="auto"/>
        <w:tabs>
          <w:tab w:leader="none" w:pos="68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Each Member (other than the Corporation and its Subsidiaries) shall be entitled to cause the Company to redeem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xml:space="preserve">”) all or any portion of its Common Units (excluding, for the avoidance of doubt, any Common Units that are subject to vesting conditions or the Transfer of which is prohibited pursuant to </w:t>
      </w:r>
      <w:r>
        <w:rPr>
          <w:rFonts w:ascii="Arial" w:cs="Arial" w:eastAsia="Arial" w:hAnsi="Arial"/>
          <w:sz w:val="16"/>
          <w:szCs w:val="16"/>
          <w:u w:val="single" w:color="auto"/>
          <w:color w:val="auto"/>
        </w:rPr>
        <w:t>Sections 10.07(b)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in whole or in part (the “</w:t>
      </w:r>
      <w:r>
        <w:rPr>
          <w:rFonts w:ascii="Arial" w:cs="Arial" w:eastAsia="Arial" w:hAnsi="Arial"/>
          <w:sz w:val="16"/>
          <w:szCs w:val="16"/>
          <w:b w:val="1"/>
          <w:bCs w:val="1"/>
          <w:i w:val="1"/>
          <w:iCs w:val="1"/>
          <w:color w:val="auto"/>
        </w:rPr>
        <w:t>Redemption Right</w:t>
      </w:r>
      <w:r>
        <w:rPr>
          <w:rFonts w:ascii="Arial" w:cs="Arial" w:eastAsia="Arial" w:hAnsi="Arial"/>
          <w:sz w:val="16"/>
          <w:szCs w:val="16"/>
          <w:color w:val="auto"/>
        </w:rPr>
        <w:t xml:space="preserve">”) at any time and from time to time following the waiver or expiration of any contractual lock-up period relating to the shares of the Corporation that may be applicable to such Member;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Management Feeder shall not be entitled to cause a Redemption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XI</w:t>
      </w:r>
      <w:r>
        <w:rPr>
          <w:rFonts w:ascii="Arial" w:cs="Arial" w:eastAsia="Arial" w:hAnsi="Arial"/>
          <w:sz w:val="16"/>
          <w:szCs w:val="16"/>
          <w:i w:val="1"/>
          <w:iCs w:val="1"/>
          <w:color w:val="auto"/>
        </w:rPr>
        <w:t xml:space="preserve"> </w:t>
      </w:r>
      <w:r>
        <w:rPr>
          <w:rFonts w:ascii="Arial" w:cs="Arial" w:eastAsia="Arial" w:hAnsi="Arial"/>
          <w:sz w:val="16"/>
          <w:szCs w:val="16"/>
          <w:color w:val="auto"/>
        </w:rPr>
        <w:t>unless acting pursuant to a</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Request Notice (as defined in the Management Feeder LLC Agreement). A Member desiring to exercise its Redemption Right (each, a “</w:t>
      </w:r>
      <w:r>
        <w:rPr>
          <w:rFonts w:ascii="Arial" w:cs="Arial" w:eastAsia="Arial" w:hAnsi="Arial"/>
          <w:sz w:val="16"/>
          <w:szCs w:val="16"/>
          <w:b w:val="1"/>
          <w:bCs w:val="1"/>
          <w:i w:val="1"/>
          <w:iCs w:val="1"/>
          <w:color w:val="auto"/>
        </w:rPr>
        <w:t>Redeeming Member</w:t>
      </w:r>
      <w:r>
        <w:rPr>
          <w:rFonts w:ascii="Arial" w:cs="Arial" w:eastAsia="Arial" w:hAnsi="Arial"/>
          <w:sz w:val="16"/>
          <w:szCs w:val="16"/>
          <w:color w:val="auto"/>
        </w:rPr>
        <w:t>”) shall exercise such right by giving written notice (the “</w:t>
      </w:r>
      <w:r>
        <w:rPr>
          <w:rFonts w:ascii="Arial" w:cs="Arial" w:eastAsia="Arial" w:hAnsi="Arial"/>
          <w:sz w:val="16"/>
          <w:szCs w:val="16"/>
          <w:b w:val="1"/>
          <w:bCs w:val="1"/>
          <w:i w:val="1"/>
          <w:iCs w:val="1"/>
          <w:color w:val="auto"/>
        </w:rPr>
        <w:t>Redemption Notice</w:t>
      </w:r>
      <w:r>
        <w:rPr>
          <w:rFonts w:ascii="Arial" w:cs="Arial" w:eastAsia="Arial" w:hAnsi="Arial"/>
          <w:sz w:val="16"/>
          <w:szCs w:val="16"/>
          <w:color w:val="auto"/>
        </w:rPr>
        <w:t>”) to the Company with a copy to the Corporation. The Redemption Notice shall specify the number of Common Units (the “</w:t>
      </w:r>
      <w:r>
        <w:rPr>
          <w:rFonts w:ascii="Arial" w:cs="Arial" w:eastAsia="Arial" w:hAnsi="Arial"/>
          <w:sz w:val="16"/>
          <w:szCs w:val="16"/>
          <w:b w:val="1"/>
          <w:bCs w:val="1"/>
          <w:i w:val="1"/>
          <w:iCs w:val="1"/>
          <w:color w:val="auto"/>
        </w:rPr>
        <w:t>Redeemed Units</w:t>
      </w:r>
      <w:r>
        <w:rPr>
          <w:rFonts w:ascii="Arial" w:cs="Arial" w:eastAsia="Arial" w:hAnsi="Arial"/>
          <w:sz w:val="16"/>
          <w:szCs w:val="16"/>
          <w:color w:val="auto"/>
        </w:rPr>
        <w:t>”) that the Redeeming Member intends to have the Company redeem and a date, not less than three (3) Business Days nor more than ten (10) Business Days after delivery of such Redemption Notice (unless and to the extent that the Manager in its sole discretion agrees in writing to waive such time periods), on which exercise of the Redemption Right shall be completed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the Corporation and the Redeeming Member may change the number of Redeemed Units and/or the Redemption Date specified in such Redemption Notice to another number and/or date by mutual agreement signed in writing by each of them;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event the Corporation elects a Share Settlement, the Redemption may be conditioned (including as to timing) by the Redeeming Member on the closing of an underwritten distribution of the shares of Class A Common Stock that may be issued in connection with such proposed Redemption.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and unless the Redeeming Member timely has delivered a Retraction Notice as provided in</w:t>
      </w:r>
    </w:p>
    <w:p>
      <w:pPr>
        <w:ind w:right="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11.01(c)</w:t>
      </w:r>
      <w:r>
        <w:rPr>
          <w:rFonts w:ascii="Arial" w:cs="Arial" w:eastAsia="Arial" w:hAnsi="Arial"/>
          <w:sz w:val="18"/>
          <w:szCs w:val="18"/>
          <w:color w:val="auto"/>
        </w:rPr>
        <w:t xml:space="preserve"> or has revoked or delayed a Redemption as provided in </w:t>
      </w:r>
      <w:r>
        <w:rPr>
          <w:rFonts w:ascii="Arial" w:cs="Arial" w:eastAsia="Arial" w:hAnsi="Arial"/>
          <w:sz w:val="18"/>
          <w:szCs w:val="18"/>
          <w:u w:val="single" w:color="auto"/>
          <w:color w:val="auto"/>
        </w:rPr>
        <w:t>Section 11.01(d)</w:t>
      </w:r>
      <w:r>
        <w:rPr>
          <w:rFonts w:ascii="Arial" w:cs="Arial" w:eastAsia="Arial" w:hAnsi="Arial"/>
          <w:sz w:val="18"/>
          <w:szCs w:val="18"/>
          <w:color w:val="auto"/>
        </w:rPr>
        <w:t>, on the Redemption Date (to be effective immediately prior to the close of business on the Redemption Date):</w:t>
      </w:r>
    </w:p>
    <w:p>
      <w:pPr>
        <w:spacing w:after="0" w:line="77" w:lineRule="exact"/>
        <w:rPr>
          <w:rFonts w:ascii="Arial" w:cs="Arial" w:eastAsia="Arial" w:hAnsi="Arial"/>
          <w:sz w:val="16"/>
          <w:szCs w:val="16"/>
          <w:color w:val="auto"/>
        </w:rPr>
      </w:pPr>
    </w:p>
    <w:p>
      <w:pPr>
        <w:ind w:left="440" w:right="300" w:firstLine="419"/>
        <w:spacing w:after="0" w:line="311" w:lineRule="auto"/>
        <w:tabs>
          <w:tab w:leader="none" w:pos="107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Redeeming Member shall Transfer and surrender, free and clear of all liens and encumbrances (x) the Redeemed Units to the Company (including any certificates representing the Redeemed Units if they are certificated), and (y) a number of shares of Class B Common Stock (together with any Corresponding Rights) equal to the number of Redeemed Units to the Corporation, to the extent applicable;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27" w:name="page128"/>
    <w:bookmarkEnd w:id="127"/>
    <w:p>
      <w:pPr>
        <w:ind w:left="440" w:right="100" w:firstLine="419"/>
        <w:spacing w:after="0" w:line="259" w:lineRule="auto"/>
        <w:tabs>
          <w:tab w:leader="none" w:pos="11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shall (x) cancel the Redeemed Units, (y) transfer to the Redeeming Member the consideration to which the Redeeming Member is entitled under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and (z) if the Units are certificated, issue to the Redeeming Member a certificate for a number of Common Units equal to the difference (if any) between the number of Common Units evidenced by the certificate surrendered by the Redeeming Member pursuant to clause (i) of this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and the Redeemed Units; and</w:t>
      </w:r>
    </w:p>
    <w:p>
      <w:pPr>
        <w:spacing w:after="0" w:line="78" w:lineRule="exact"/>
        <w:rPr>
          <w:rFonts w:ascii="Arial" w:cs="Arial" w:eastAsia="Arial" w:hAnsi="Arial"/>
          <w:sz w:val="18"/>
          <w:szCs w:val="18"/>
          <w:color w:val="auto"/>
        </w:rPr>
      </w:pPr>
    </w:p>
    <w:p>
      <w:pPr>
        <w:ind w:left="440" w:right="380" w:firstLine="419"/>
        <w:spacing w:after="0" w:line="277" w:lineRule="auto"/>
        <w:tabs>
          <w:tab w:leader="none" w:pos="117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the Corporation shall cancel and retire for no consideration the shares of Class B Common Stock (together with any Corresponding Rights) that were Transferred to the Corporation pursuant to </w:t>
      </w:r>
      <w:r>
        <w:rPr>
          <w:rFonts w:ascii="Arial" w:cs="Arial" w:eastAsia="Arial" w:hAnsi="Arial"/>
          <w:sz w:val="18"/>
          <w:szCs w:val="18"/>
          <w:u w:val="single" w:color="auto"/>
          <w:color w:val="auto"/>
        </w:rPr>
        <w:t>Section 11.01(a)(i)(y)</w:t>
      </w:r>
      <w:r>
        <w:rPr>
          <w:rFonts w:ascii="Arial" w:cs="Arial" w:eastAsia="Arial" w:hAnsi="Arial"/>
          <w:sz w:val="18"/>
          <w:szCs w:val="18"/>
          <w:color w:val="auto"/>
        </w:rPr>
        <w:t xml:space="preserve"> above.</w:t>
      </w:r>
    </w:p>
    <w:p>
      <w:pPr>
        <w:spacing w:after="0" w:line="62" w:lineRule="exact"/>
        <w:rPr>
          <w:rFonts w:ascii="Arial" w:cs="Arial" w:eastAsia="Arial" w:hAnsi="Arial"/>
          <w:sz w:val="18"/>
          <w:szCs w:val="18"/>
          <w:color w:val="auto"/>
        </w:rPr>
      </w:pPr>
    </w:p>
    <w:p>
      <w:pPr>
        <w:ind w:firstLine="436"/>
        <w:spacing w:after="0" w:line="267" w:lineRule="auto"/>
        <w:tabs>
          <w:tab w:leader="none" w:pos="69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Corporation shall have the option (as determined by at least two (2) of its independent directors (within the meaning of the rules of the Stock Exchange) who are disinterested), as provided in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to elect to have the Redeemed Units be redeemed in consideration for either a Share Settlement or a Cash Settlement; </w:t>
      </w:r>
      <w:r>
        <w:rPr>
          <w:rFonts w:ascii="Arial" w:cs="Arial" w:eastAsia="Arial" w:hAnsi="Arial"/>
          <w:sz w:val="17"/>
          <w:szCs w:val="17"/>
          <w:i w:val="1"/>
          <w:iCs w:val="1"/>
          <w:color w:val="auto"/>
        </w:rPr>
        <w:t>provided</w:t>
      </w:r>
      <w:r>
        <w:rPr>
          <w:rFonts w:ascii="Arial" w:cs="Arial" w:eastAsia="Arial" w:hAnsi="Arial"/>
          <w:sz w:val="17"/>
          <w:szCs w:val="17"/>
          <w:color w:val="auto"/>
        </w:rPr>
        <w:t>, for the avoidance of doubt, that the Corporation may elect to have the Redeemed Units be redeemed in consideration for a Cash Settlement only to the extent that the Corporation has cash available in an amount equal to at least the Redeemed Units Equivalent, which cash was received from a Secondary Offering or, in the case of a Redemption occurring in connection the closing of the IPO, the IPO. The Corporation shall give written notice (the “</w:t>
      </w:r>
      <w:r>
        <w:rPr>
          <w:rFonts w:ascii="Arial" w:cs="Arial" w:eastAsia="Arial" w:hAnsi="Arial"/>
          <w:sz w:val="17"/>
          <w:szCs w:val="17"/>
          <w:b w:val="1"/>
          <w:bCs w:val="1"/>
          <w:i w:val="1"/>
          <w:iCs w:val="1"/>
          <w:color w:val="auto"/>
        </w:rPr>
        <w:t>Election Notice</w:t>
      </w:r>
      <w:r>
        <w:rPr>
          <w:rFonts w:ascii="Arial" w:cs="Arial" w:eastAsia="Arial" w:hAnsi="Arial"/>
          <w:sz w:val="17"/>
          <w:szCs w:val="17"/>
          <w:color w:val="auto"/>
        </w:rPr>
        <w:t xml:space="preserve">”) to the Company (with a copy to the applicable Redeeming Member) of such election within two (2) Business Days of receiving the Redemption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Corporation does not timely deliver an Election Notice, the Corporation shall be deemed to have elected the Share Settlement method. If the Corporation elects a Share Settlement (including in connection with a Direct Exchange pursuant to </w:t>
      </w:r>
      <w:r>
        <w:rPr>
          <w:rFonts w:ascii="Arial" w:cs="Arial" w:eastAsia="Arial" w:hAnsi="Arial"/>
          <w:sz w:val="17"/>
          <w:szCs w:val="17"/>
          <w:u w:val="single" w:color="auto"/>
          <w:color w:val="auto"/>
        </w:rPr>
        <w:t>Section 11.03)</w:t>
      </w:r>
      <w:r>
        <w:rPr>
          <w:rFonts w:ascii="Arial" w:cs="Arial" w:eastAsia="Arial" w:hAnsi="Arial"/>
          <w:sz w:val="17"/>
          <w:szCs w:val="17"/>
          <w:color w:val="auto"/>
        </w:rPr>
        <w:t xml:space="preserve">, the Corporation shall deliver or cause to be delivered the number of shares of Class A Common Stock deliverable upon such Share Settlement as promptly as practicable (but not later than three (3) Business Days) after the Redemption Date, at the offices of the then-acting registrar and transfer agent of the shares of Class A Common Stock (or, if there is no then-acting registrar and transfer agent of Class A Common Stock, at the principal executive offices of the Corporation), registered in the name of the relevant Redeeming Member (or in such other name as is requested in writing by the Redeeming Member), in certificated or uncertificated form, as determined by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that to the extent the shares of Class A Common Stock are settled through the facilities of The Depository Trust Company, upon the written instruction of the Redeeming Member set forth in the Redemption Notice, the Corporation shall use its commercially reasonable efforts to deliver the shares of Class A Common Stock deliverable to such Redeeming Member through the facilities of The Depository Trust Company, to the account of the participant of The Depository Trust Company designated by such Redeeming Member by no later than the close of business on the Business Day immediately following the Redemption Date.</w:t>
      </w:r>
    </w:p>
    <w:p>
      <w:pPr>
        <w:spacing w:after="0" w:line="81" w:lineRule="exact"/>
        <w:rPr>
          <w:rFonts w:ascii="Arial" w:cs="Arial" w:eastAsia="Arial" w:hAnsi="Arial"/>
          <w:sz w:val="17"/>
          <w:szCs w:val="17"/>
          <w:color w:val="auto"/>
        </w:rPr>
      </w:pPr>
    </w:p>
    <w:p>
      <w:pPr>
        <w:ind w:right="20" w:firstLine="436"/>
        <w:spacing w:after="0" w:line="259" w:lineRule="auto"/>
        <w:tabs>
          <w:tab w:leader="none" w:pos="6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event the Corporation elects the Cash Settlement in connection with a Redemption, the Redeeming Member may retract its Redemption Notice by giving written notice (the “</w:t>
      </w:r>
      <w:r>
        <w:rPr>
          <w:rFonts w:ascii="Arial" w:cs="Arial" w:eastAsia="Arial" w:hAnsi="Arial"/>
          <w:sz w:val="18"/>
          <w:szCs w:val="18"/>
          <w:b w:val="1"/>
          <w:bCs w:val="1"/>
          <w:i w:val="1"/>
          <w:iCs w:val="1"/>
          <w:color w:val="auto"/>
        </w:rPr>
        <w:t>Retraction Notice</w:t>
      </w:r>
      <w:r>
        <w:rPr>
          <w:rFonts w:ascii="Arial" w:cs="Arial" w:eastAsia="Arial" w:hAnsi="Arial"/>
          <w:sz w:val="18"/>
          <w:szCs w:val="18"/>
          <w:color w:val="auto"/>
        </w:rPr>
        <w:t xml:space="preserve">”) to the Company (with a copy to the Corporation) within three (3) Business Days of delivery of the Election Notice. The timely delivery of a Retraction Notice shall terminate all of the Redeeming Member’s, the Company’s and the Corporation’s rights and obligations under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arising from the Redemption Notice.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128" w:name="page129"/>
    <w:bookmarkEnd w:id="128"/>
    <w:p>
      <w:pPr>
        <w:ind w:right="200" w:firstLine="436"/>
        <w:spacing w:after="0" w:line="277" w:lineRule="auto"/>
        <w:tabs>
          <w:tab w:leader="none" w:pos="6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the Corporation elects a Share Settlement in connection with a Redemption, a Redeeming Member shall be entitled to revoke its Redemption Notice or delay the consummation of a Redemption if any of the following conditions exists:</w:t>
      </w:r>
    </w:p>
    <w:p>
      <w:pPr>
        <w:spacing w:after="0" w:line="62" w:lineRule="exact"/>
        <w:rPr>
          <w:rFonts w:ascii="Arial" w:cs="Arial" w:eastAsia="Arial" w:hAnsi="Arial"/>
          <w:sz w:val="18"/>
          <w:szCs w:val="18"/>
          <w:color w:val="auto"/>
        </w:rPr>
      </w:pPr>
    </w:p>
    <w:p>
      <w:pPr>
        <w:jc w:val="both"/>
        <w:ind w:left="440" w:right="60" w:firstLine="419"/>
        <w:spacing w:after="0" w:line="263" w:lineRule="auto"/>
        <w:tabs>
          <w:tab w:leader="none" w:pos="107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w:t>
      </w:r>
    </w:p>
    <w:p>
      <w:pPr>
        <w:spacing w:after="0" w:line="75" w:lineRule="exact"/>
        <w:rPr>
          <w:rFonts w:ascii="Arial" w:cs="Arial" w:eastAsia="Arial" w:hAnsi="Arial"/>
          <w:sz w:val="18"/>
          <w:szCs w:val="18"/>
          <w:color w:val="auto"/>
        </w:rPr>
      </w:pPr>
    </w:p>
    <w:p>
      <w:pPr>
        <w:ind w:left="440" w:firstLine="419"/>
        <w:spacing w:after="0" w:line="277" w:lineRule="auto"/>
        <w:tabs>
          <w:tab w:leader="none" w:pos="112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Corporation shall have failed to cause any related prospectus to be supplemented by any required prospectus supplement necessary to effect such Redemption;</w:t>
      </w:r>
    </w:p>
    <w:p>
      <w:pPr>
        <w:spacing w:after="0" w:line="62" w:lineRule="exact"/>
        <w:rPr>
          <w:rFonts w:ascii="Arial" w:cs="Arial" w:eastAsia="Arial" w:hAnsi="Arial"/>
          <w:sz w:val="18"/>
          <w:szCs w:val="18"/>
          <w:color w:val="auto"/>
        </w:rPr>
      </w:pPr>
    </w:p>
    <w:p>
      <w:pPr>
        <w:jc w:val="both"/>
        <w:ind w:left="440" w:right="180" w:firstLine="419"/>
        <w:spacing w:after="0" w:line="263" w:lineRule="auto"/>
        <w:tabs>
          <w:tab w:leader="none" w:pos="117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Corporation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w:t>
      </w:r>
    </w:p>
    <w:p>
      <w:pPr>
        <w:spacing w:after="0" w:line="75" w:lineRule="exact"/>
        <w:rPr>
          <w:rFonts w:ascii="Arial" w:cs="Arial" w:eastAsia="Arial" w:hAnsi="Arial"/>
          <w:sz w:val="18"/>
          <w:szCs w:val="18"/>
          <w:color w:val="auto"/>
        </w:rPr>
      </w:pPr>
    </w:p>
    <w:p>
      <w:pPr>
        <w:ind w:left="440" w:right="20" w:firstLine="419"/>
        <w:spacing w:after="0" w:line="286" w:lineRule="auto"/>
        <w:tabs>
          <w:tab w:leader="none" w:pos="116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Redeeming Member is in possession of any material non-public information concerning the Corporation, the receipt of which results in such Redeeming Member being prohibited or restricted from selling Class A Common Stock at or immediately following the Redemption without disclosure of such information (and the Corporation does not permit disclosure of such information);</w:t>
      </w:r>
    </w:p>
    <w:p>
      <w:pPr>
        <w:spacing w:after="0" w:line="57" w:lineRule="exact"/>
        <w:rPr>
          <w:rFonts w:ascii="Arial" w:cs="Arial" w:eastAsia="Arial" w:hAnsi="Arial"/>
          <w:sz w:val="17"/>
          <w:szCs w:val="17"/>
          <w:color w:val="auto"/>
        </w:rPr>
      </w:pPr>
    </w:p>
    <w:p>
      <w:pPr>
        <w:ind w:left="440" w:right="760" w:firstLine="419"/>
        <w:spacing w:after="0" w:line="277" w:lineRule="auto"/>
        <w:tabs>
          <w:tab w:leader="none" w:pos="111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stop order relating to the registration statement pursuant to which the Class A Common Stock was to be registered by such Redeeming Member at or immediately following the Redemption shall have been issued by the SEC;</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16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there shall have occurred a material disruption in the securities markets generally or in the market or markets in which the Class A Common Stock is then traded;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21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there shall be in effect an injunction, a restraining order or a decree of any nature of any Governmental Entity that restrains or prohibits the Redemption;</w:t>
      </w:r>
    </w:p>
    <w:p>
      <w:pPr>
        <w:spacing w:after="0" w:line="62" w:lineRule="exact"/>
        <w:rPr>
          <w:rFonts w:ascii="Arial" w:cs="Arial" w:eastAsia="Arial" w:hAnsi="Arial"/>
          <w:sz w:val="18"/>
          <w:szCs w:val="18"/>
          <w:color w:val="auto"/>
        </w:rPr>
      </w:pPr>
    </w:p>
    <w:p>
      <w:pPr>
        <w:jc w:val="both"/>
        <w:ind w:left="440" w:right="160" w:firstLine="419"/>
        <w:spacing w:after="0" w:line="263" w:lineRule="auto"/>
        <w:tabs>
          <w:tab w:leader="none" w:pos="126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Corporation shall have failed to comply in all material respects with its obligations under the Registration Rights Agreement, and such failure shall have affected the ability of such Redeeming Member to consummate the resale of Class A Common Stock to be received upon such Redemption pursuant to an effective registration statement; or</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Redemption Date would occur three (3) Business Days or less prior to, or during, a Black-Out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129" w:name="page130"/>
    <w:bookmarkEnd w:id="129"/>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 Redeeming Member delays the consummation of a Redemption pursuant to this </w:t>
      </w:r>
      <w:r>
        <w:rPr>
          <w:rFonts w:ascii="Arial" w:cs="Arial" w:eastAsia="Arial" w:hAnsi="Arial"/>
          <w:sz w:val="18"/>
          <w:szCs w:val="18"/>
          <w:u w:val="single" w:color="auto"/>
          <w:color w:val="auto"/>
        </w:rPr>
        <w:t>Section 11.01(d)</w:t>
      </w:r>
      <w:r>
        <w:rPr>
          <w:rFonts w:ascii="Arial" w:cs="Arial" w:eastAsia="Arial" w:hAnsi="Arial"/>
          <w:sz w:val="18"/>
          <w:szCs w:val="18"/>
          <w:color w:val="auto"/>
        </w:rPr>
        <w:t>, the Redemption Date shall occur on the fifth (5</w:t>
      </w:r>
      <w:r>
        <w:rPr>
          <w:rFonts w:ascii="Arial" w:cs="Arial" w:eastAsia="Arial" w:hAnsi="Arial"/>
          <w:sz w:val="15"/>
          <w:szCs w:val="15"/>
          <w:color w:val="auto"/>
        </w:rPr>
        <w:t>th</w:t>
      </w:r>
      <w:r>
        <w:rPr>
          <w:rFonts w:ascii="Arial" w:cs="Arial" w:eastAsia="Arial" w:hAnsi="Arial"/>
          <w:sz w:val="18"/>
          <w:szCs w:val="18"/>
          <w:color w:val="auto"/>
        </w:rPr>
        <w:t>) Business Day following the date on which the condition(s) giving rise to such delay cease to exist (or such earlier day as the Corporation, the Company and such Redeeming Member may agree in writing).</w:t>
      </w:r>
    </w:p>
    <w:p>
      <w:pPr>
        <w:spacing w:after="0" w:line="76" w:lineRule="exact"/>
        <w:rPr>
          <w:sz w:val="20"/>
          <w:szCs w:val="20"/>
          <w:color w:val="auto"/>
        </w:rPr>
      </w:pPr>
    </w:p>
    <w:p>
      <w:pPr>
        <w:ind w:right="40" w:firstLine="436"/>
        <w:spacing w:after="0" w:line="270" w:lineRule="auto"/>
        <w:tabs>
          <w:tab w:leader="none" w:pos="68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number of shares of Class A Common Stock (or Redeemed Units Equivalent, if applicable) (together with any Corresponding Rights) applicable to any Share Settlement or Cash Settlement shall not be adjusted on account of any Distributions previously made with respect to the Redeemed Units or dividends previously paid with respect to Class A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Redeeming Member shall be entitled to receive any and all Tax Distributions that such Redeeming Member otherwise would have received in respect of income allocated to such Member for the portion of any Fiscal Year irrespective of whether such Tax Distribution(s) are declared or made after the Redemption Date.</w:t>
      </w:r>
    </w:p>
    <w:p>
      <w:pPr>
        <w:spacing w:after="0" w:line="72" w:lineRule="exact"/>
        <w:rPr>
          <w:rFonts w:ascii="Arial" w:cs="Arial" w:eastAsia="Arial" w:hAnsi="Arial"/>
          <w:sz w:val="17"/>
          <w:szCs w:val="17"/>
          <w:color w:val="auto"/>
        </w:rPr>
      </w:pPr>
    </w:p>
    <w:p>
      <w:pPr>
        <w:ind w:right="100" w:firstLine="436"/>
        <w:spacing w:after="0" w:line="257" w:lineRule="auto"/>
        <w:tabs>
          <w:tab w:leader="none" w:pos="6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a Share Settlement, in the event a reclassification or other similar transaction occurs following delivery of a Redemption Notice, but prior to the Redemption Date, as a result of which shares of Class A Common Stock are converted into another security, then a Redeeming Member shall be entitled to receive the amount of such other security (and, if applicable, any Corresponding Rights) that the Redeeming Member would have received if such Redemption Right had been exercised and the Redemption Date had occurred immediately prior to the record date of such reclassification or other similar transaction.</w:t>
      </w:r>
    </w:p>
    <w:p>
      <w:pPr>
        <w:spacing w:after="0" w:line="79" w:lineRule="exact"/>
        <w:rPr>
          <w:rFonts w:ascii="Arial" w:cs="Arial" w:eastAsia="Arial" w:hAnsi="Arial"/>
          <w:sz w:val="18"/>
          <w:szCs w:val="18"/>
          <w:color w:val="auto"/>
        </w:rPr>
      </w:pPr>
    </w:p>
    <w:p>
      <w:pPr>
        <w:ind w:right="460" w:firstLine="436"/>
        <w:spacing w:after="0" w:line="286" w:lineRule="auto"/>
        <w:tabs>
          <w:tab w:leader="none" w:pos="69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neither the Company nor the Corporation shall be obligated to effectuate a Redemption if such Redemption could (as determined in the sole discretion of the Manager) cause the Company to be treated as a “publicly traded partnership” or to be taxed as a corporation pursuant to Section 7704 of the Code or successor provisions of the Code.</w:t>
      </w:r>
    </w:p>
    <w:p>
      <w:pPr>
        <w:spacing w:after="0" w:line="165"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u w:val="single" w:color="auto"/>
          <w:color w:val="auto"/>
        </w:rPr>
        <w:t>Section 11.02 Election and Contribution of the Corporation</w:t>
      </w:r>
      <w:r>
        <w:rPr>
          <w:rFonts w:ascii="Arial" w:cs="Arial" w:eastAsia="Arial" w:hAnsi="Arial"/>
          <w:sz w:val="16"/>
          <w:szCs w:val="16"/>
          <w:color w:val="auto"/>
        </w:rPr>
        <w:t xml:space="preserve">. Unless the Redeeming Member has timely delivered a Retraction Notice as provided in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 has revoked or delayed a Redemption as provided in </w:t>
      </w:r>
      <w:r>
        <w:rPr>
          <w:rFonts w:ascii="Arial" w:cs="Arial" w:eastAsia="Arial" w:hAnsi="Arial"/>
          <w:sz w:val="16"/>
          <w:szCs w:val="16"/>
          <w:u w:val="single" w:color="auto"/>
          <w:color w:val="auto"/>
        </w:rPr>
        <w:t>Section 11.01(d)</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on the Redemption Date (to be effective immediately prior to the close of business on the Redemption Date) (i) the Corporation shall make a Capital Contribution to the Company (in the form of the Share Settlement or the Cash Settlement, as determined by the Corporation in accordance with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and (ii) in the event of a Share Settlement, the Company shall issue to the Corporation a number of Common Units equal to the number of Redeemed Units surrendered by the Redeeming Member. Notwithstanding any other provisions of this Agreement to the contrary, but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in the event that the Corporation elects a Cash Settlement, the Corporation shall only be obligated to contribute to the Company an amount in respect of such Cash Settlement equal to the Redeemed Units Equivalent with respect to such Cash Settlement, which in no event shall exceed the amount actually paid by the Company to the Redeeming Member as the Cash Settlement. The timely delivery of a Retraction Notice shall terminate all of the Company’s and the Corporation’s rights and obligations under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arising from the Redemption Notice.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30" w:name="page131"/>
    <w:bookmarkEnd w:id="130"/>
    <w:p>
      <w:pPr>
        <w:ind w:left="4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11.03 Direct Exchange Right of the Corporation</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88" w:lineRule="auto"/>
        <w:tabs>
          <w:tab w:leader="none" w:pos="6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(save for the limitations set forth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regarding the Corporation’s option to select the Share Settlement or the Cash Settlement, and without limitation to the rights of the Members under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including the right to revoke a Redemption Notice), the Corporation may, in its sole and absolute discretion (as determined by at least two (2) of its independent directors (within the meaning of the rules of the Stock Exchange) who are disinterested) (subject to the timing limitations set forth on such discretion in </w:t>
      </w:r>
      <w:r>
        <w:rPr>
          <w:rFonts w:ascii="Arial" w:cs="Arial" w:eastAsia="Arial" w:hAnsi="Arial"/>
          <w:sz w:val="16"/>
          <w:szCs w:val="16"/>
          <w:u w:val="single" w:color="auto"/>
          <w:color w:val="auto"/>
        </w:rPr>
        <w:t>Section 11.01(b)</w:t>
      </w:r>
      <w:r>
        <w:rPr>
          <w:rFonts w:ascii="Arial" w:cs="Arial" w:eastAsia="Arial" w:hAnsi="Arial"/>
          <w:sz w:val="16"/>
          <w:szCs w:val="16"/>
          <w:color w:val="auto"/>
        </w:rPr>
        <w:t>), elect to effect on the Redemption Date the exchange of Redeemed Units for the Share Settlement or the Cash Settlement, as the case may be, through a direct exchange of such Redeemed Units and the Share Settlement or the Cash Settlement, as applicable, between the Redeeming Member and the Corporation (a “</w:t>
      </w:r>
      <w:r>
        <w:rPr>
          <w:rFonts w:ascii="Arial" w:cs="Arial" w:eastAsia="Arial" w:hAnsi="Arial"/>
          <w:sz w:val="16"/>
          <w:szCs w:val="16"/>
          <w:b w:val="1"/>
          <w:bCs w:val="1"/>
          <w:i w:val="1"/>
          <w:iCs w:val="1"/>
          <w:color w:val="auto"/>
        </w:rPr>
        <w:t>Direct Exchange</w:t>
      </w:r>
      <w:r>
        <w:rPr>
          <w:rFonts w:ascii="Arial" w:cs="Arial" w:eastAsia="Arial" w:hAnsi="Arial"/>
          <w:sz w:val="16"/>
          <w:szCs w:val="16"/>
          <w:color w:val="auto"/>
        </w:rPr>
        <w:t xml:space="preserve">”) (rather than contributing the Share Settlement or the Cash Settlement, as the case may be, to the Company in accordance with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for purposes of the Company redeeming the Redeemed Units from the Redeeming Member in consideration of the Share Settlement or the Cash Settlement, as applicable). Upon such Direct Exchange pursuant to this </w:t>
      </w:r>
      <w:r>
        <w:rPr>
          <w:rFonts w:ascii="Arial" w:cs="Arial" w:eastAsia="Arial" w:hAnsi="Arial"/>
          <w:sz w:val="16"/>
          <w:szCs w:val="16"/>
          <w:u w:val="single" w:color="auto"/>
          <w:color w:val="auto"/>
        </w:rPr>
        <w:t>Section 11.03</w:t>
      </w:r>
      <w:r>
        <w:rPr>
          <w:rFonts w:ascii="Arial" w:cs="Arial" w:eastAsia="Arial" w:hAnsi="Arial"/>
          <w:sz w:val="16"/>
          <w:szCs w:val="16"/>
          <w:color w:val="auto"/>
        </w:rPr>
        <w:t>, the Corporation shall acquire the Redeemed Units and shall be treated for all purposes of this Agreement as the owner of such Units.</w:t>
      </w:r>
    </w:p>
    <w:p>
      <w:pPr>
        <w:spacing w:after="0" w:line="60" w:lineRule="exact"/>
        <w:rPr>
          <w:rFonts w:ascii="Arial" w:cs="Arial" w:eastAsia="Arial" w:hAnsi="Arial"/>
          <w:sz w:val="16"/>
          <w:szCs w:val="16"/>
          <w:color w:val="auto"/>
        </w:rPr>
      </w:pPr>
    </w:p>
    <w:p>
      <w:pPr>
        <w:ind w:left="-20" w:right="200" w:firstLine="436"/>
        <w:spacing w:after="0" w:line="272" w:lineRule="auto"/>
        <w:tabs>
          <w:tab w:leader="none" w:pos="67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The Corporation may, at any time prior to a Redemption Date (including after delivery of an Election Notice pursuant to </w:t>
      </w:r>
      <w:r>
        <w:rPr>
          <w:rFonts w:ascii="Arial" w:cs="Arial" w:eastAsia="Arial" w:hAnsi="Arial"/>
          <w:sz w:val="17"/>
          <w:szCs w:val="17"/>
          <w:u w:val="single" w:color="auto"/>
          <w:color w:val="auto"/>
        </w:rPr>
        <w:t>Section 11.01(b)</w:t>
      </w:r>
      <w:r>
        <w:rPr>
          <w:rFonts w:ascii="Arial" w:cs="Arial" w:eastAsia="Arial" w:hAnsi="Arial"/>
          <w:sz w:val="17"/>
          <w:szCs w:val="17"/>
          <w:color w:val="auto"/>
        </w:rPr>
        <w:t>), deliver written notice (an “</w:t>
      </w:r>
      <w:r>
        <w:rPr>
          <w:rFonts w:ascii="Arial" w:cs="Arial" w:eastAsia="Arial" w:hAnsi="Arial"/>
          <w:sz w:val="17"/>
          <w:szCs w:val="17"/>
          <w:b w:val="1"/>
          <w:bCs w:val="1"/>
          <w:i w:val="1"/>
          <w:iCs w:val="1"/>
          <w:color w:val="auto"/>
        </w:rPr>
        <w:t>Exchange Election Notice</w:t>
      </w:r>
      <w:r>
        <w:rPr>
          <w:rFonts w:ascii="Arial" w:cs="Arial" w:eastAsia="Arial" w:hAnsi="Arial"/>
          <w:sz w:val="17"/>
          <w:szCs w:val="17"/>
          <w:color w:val="auto"/>
        </w:rPr>
        <w:t xml:space="preserve">”) to the Company and the Redeeming Member setting forth its election to exercise its right to consummate a Direct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election is subject to the limitations set forth in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and does not unreasonably prejudice the ability of the parties to consummate a Redemption or Direct Exchange on the Redemption Date. An Exchange Election Notice may be revoked by the Corporation at any time; </w:t>
      </w:r>
      <w:r>
        <w:rPr>
          <w:rFonts w:ascii="Arial" w:cs="Arial" w:eastAsia="Arial" w:hAnsi="Arial"/>
          <w:sz w:val="17"/>
          <w:szCs w:val="17"/>
          <w:i w:val="1"/>
          <w:iCs w:val="1"/>
          <w:color w:val="auto"/>
        </w:rPr>
        <w:t>provided</w:t>
      </w:r>
      <w:r>
        <w:rPr>
          <w:rFonts w:ascii="Arial" w:cs="Arial" w:eastAsia="Arial" w:hAnsi="Arial"/>
          <w:sz w:val="17"/>
          <w:szCs w:val="17"/>
          <w:color w:val="auto"/>
        </w:rPr>
        <w:t>, that any such revocation does not unreasonably prejudice the ability of the parties to consummate a Redemption or Direct Exchange on the Redemption Date. The right to consummate a Direct Exchange in all events shall be exercisable for all of the Redeemed Units that would have otherwise been subject to a Redemption.</w:t>
      </w:r>
    </w:p>
    <w:p>
      <w:pPr>
        <w:spacing w:after="0" w:line="69" w:lineRule="exact"/>
        <w:rPr>
          <w:rFonts w:ascii="Arial" w:cs="Arial" w:eastAsia="Arial" w:hAnsi="Arial"/>
          <w:sz w:val="17"/>
          <w:szCs w:val="17"/>
          <w:color w:val="auto"/>
        </w:rPr>
      </w:pPr>
    </w:p>
    <w:p>
      <w:pPr>
        <w:ind w:left="-20" w:right="160" w:firstLine="436"/>
        <w:spacing w:after="0" w:line="308" w:lineRule="auto"/>
        <w:tabs>
          <w:tab w:leader="none" w:pos="66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Except as otherwise provided by this </w:t>
      </w:r>
      <w:r>
        <w:rPr>
          <w:rFonts w:ascii="Arial" w:cs="Arial" w:eastAsia="Arial" w:hAnsi="Arial"/>
          <w:sz w:val="17"/>
          <w:szCs w:val="17"/>
          <w:u w:val="single" w:color="auto"/>
          <w:color w:val="auto"/>
        </w:rPr>
        <w:t>Section 11.03</w:t>
      </w:r>
      <w:r>
        <w:rPr>
          <w:rFonts w:ascii="Arial" w:cs="Arial" w:eastAsia="Arial" w:hAnsi="Arial"/>
          <w:sz w:val="17"/>
          <w:szCs w:val="17"/>
          <w:color w:val="auto"/>
        </w:rPr>
        <w:t>, a Direct Exchange shall be consummated pursuant to the same timeframe as the relevant Redemption would have been consummated if the Corporation had not delivered an Exchange Election Notice and as follows:</w:t>
      </w:r>
    </w:p>
    <w:p>
      <w:pPr>
        <w:spacing w:after="0" w:line="38" w:lineRule="exact"/>
        <w:rPr>
          <w:rFonts w:ascii="Arial" w:cs="Arial" w:eastAsia="Arial" w:hAnsi="Arial"/>
          <w:sz w:val="17"/>
          <w:szCs w:val="17"/>
          <w:color w:val="auto"/>
        </w:rPr>
      </w:pPr>
    </w:p>
    <w:p>
      <w:pPr>
        <w:ind w:left="420" w:right="400" w:firstLine="419"/>
        <w:spacing w:after="0" w:line="263" w:lineRule="auto"/>
        <w:tabs>
          <w:tab w:leader="none" w:pos="105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Redeeming Member shall transfer and surrender, free and clear of all liens and encumbrances (x) the Redeemed Units and (y) a number of shares of Class B Common Stock (together with any Corresponding Rights) equal to the number of Redeemed Units, to the extent applicable, in each case, to the Corporation;</w:t>
      </w:r>
    </w:p>
    <w:p>
      <w:pPr>
        <w:spacing w:after="0" w:line="75" w:lineRule="exact"/>
        <w:rPr>
          <w:rFonts w:ascii="Arial" w:cs="Arial" w:eastAsia="Arial" w:hAnsi="Arial"/>
          <w:sz w:val="18"/>
          <w:szCs w:val="18"/>
          <w:color w:val="auto"/>
        </w:rPr>
      </w:pPr>
    </w:p>
    <w:p>
      <w:pPr>
        <w:ind w:left="420" w:right="160" w:firstLine="419"/>
        <w:spacing w:after="0" w:line="263" w:lineRule="auto"/>
        <w:tabs>
          <w:tab w:leader="none" w:pos="110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the Corporation shall (x) pay to the Redeeming Member the Share Settlement or the Cash Settlement, as applicable, and (y) cancel and retire for no consideration the shares of Class B Common Stock (together with any Corresponding Rights) that were Transferred to the Corporation pursuant to </w:t>
      </w:r>
      <w:r>
        <w:rPr>
          <w:rFonts w:ascii="Arial" w:cs="Arial" w:eastAsia="Arial" w:hAnsi="Arial"/>
          <w:sz w:val="18"/>
          <w:szCs w:val="18"/>
          <w:u w:val="single" w:color="auto"/>
          <w:color w:val="auto"/>
        </w:rPr>
        <w:t>Section 11.03(c)(i)(y)</w:t>
      </w:r>
      <w:r>
        <w:rPr>
          <w:rFonts w:ascii="Arial" w:cs="Arial" w:eastAsia="Arial" w:hAnsi="Arial"/>
          <w:sz w:val="18"/>
          <w:szCs w:val="18"/>
          <w:color w:val="auto"/>
        </w:rPr>
        <w:t xml:space="preserve"> above;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60" w:top="274" w:right="479" w:bottom="1440" w:gutter="0" w:footer="0" w:header="0"/>
        </w:sectPr>
      </w:pPr>
    </w:p>
    <w:bookmarkStart w:id="131" w:name="page132"/>
    <w:bookmarkEnd w:id="131"/>
    <w:p>
      <w:pPr>
        <w:ind w:left="420" w:firstLine="419"/>
        <w:spacing w:after="0" w:line="259" w:lineRule="auto"/>
        <w:tabs>
          <w:tab w:leader="none" w:pos="11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shall (x) register the Corporation as the owner of the Redeemed Units and (y) if the Units are certificated, issue to the Redeeming Member a certificate for a number of Common Units equal to the difference (if any) between the number of Common Units evidenced by the certificate surrendered by the Redeeming Member pursuant to </w:t>
      </w:r>
      <w:r>
        <w:rPr>
          <w:rFonts w:ascii="Arial" w:cs="Arial" w:eastAsia="Arial" w:hAnsi="Arial"/>
          <w:sz w:val="18"/>
          <w:szCs w:val="18"/>
          <w:u w:val="single" w:color="auto"/>
          <w:color w:val="auto"/>
        </w:rPr>
        <w:t>Section 11.03(c)(i)(x)</w:t>
      </w:r>
      <w:r>
        <w:rPr>
          <w:rFonts w:ascii="Arial" w:cs="Arial" w:eastAsia="Arial" w:hAnsi="Arial"/>
          <w:sz w:val="18"/>
          <w:szCs w:val="18"/>
          <w:color w:val="auto"/>
        </w:rPr>
        <w:t xml:space="preserve"> and the Redeemed Units, and issue to the Corporation a certificate for the number of Redeemed Units.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Section 11.04 Reservation of shares of Class A Common Stock; Listing; Certificate of the Corporation</w:t>
      </w:r>
      <w:r>
        <w:rPr>
          <w:rFonts w:ascii="Arial" w:cs="Arial" w:eastAsia="Arial" w:hAnsi="Arial"/>
          <w:sz w:val="18"/>
          <w:szCs w:val="18"/>
          <w:color w:val="auto"/>
        </w:rPr>
        <w:t>.</w:t>
      </w:r>
    </w:p>
    <w:p>
      <w:pPr>
        <w:spacing w:after="0" w:line="117" w:lineRule="exact"/>
        <w:rPr>
          <w:sz w:val="20"/>
          <w:szCs w:val="20"/>
          <w:color w:val="auto"/>
        </w:rPr>
      </w:pPr>
    </w:p>
    <w:p>
      <w:pPr>
        <w:ind w:left="-20" w:firstLine="436"/>
        <w:spacing w:after="0" w:line="286" w:lineRule="auto"/>
        <w:tabs>
          <w:tab w:leader="none" w:pos="66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At all times the Corporation shall reserve and keep available out of its authorized but unissued Class A Common Stock, solely for the purpose of issuance upon a Share Settlement in connection with a Redemption or Direct Exchange, such number of shares of Class A Common Stock as shall be issuable upon any such Share Settlement pursuant to a Redemption or Direct Exchange;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herein shall be construed to preclude the Corporation from satisfying its obligations in respect of any such Share Settlement pursuant to a Redemption or Direct Exchange by delivery of purchased Class A Common Stock (which may or may not be held in the treasury of the Corporation) or by way of Cash Settlement. The Corporation shall deliver Class A Common Stock that has been registered under the Securities Act with respect to any Share Settlement pursuant to a Redemption or Direct Exchange to the extent a registration statement is effective and available with respect to such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all such unregistered shares of Class A Common Stock (if any) shall be entitled to the registration rights set forth in the Registration Rights Agreement if the holders thereof are party to the Registration Rights Agreement and have such rights thereunder. The Corporation shall use its commercially reasonable efforts to list the Class A Common Stock required to be delivered upon any such Share Settlement pursuant to a Redemption or Direct Exchange prior to such delivery upon each national securities exchange upon which the outstanding shares of Class A Common Stock are listed at the time of such Share Settlement pursuant to a Redemption or Direct Exchange (it being understood that any such shares may be subject to transfer restrictions under applicable securities Laws). The Corporation covenants that all shares of Class A Common Stock issued in connection with a Share Settlement pursuant to a Redemption or Direct Exchange will, upon issuance, be validly issued, fully paid and non-assessable.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shall be interpreted and applied in a manner consistent with any corresponding provisions of the Corporation’s certificate of incorporation (if any).</w:t>
      </w:r>
    </w:p>
    <w:p>
      <w:pPr>
        <w:spacing w:after="0" w:line="59" w:lineRule="exact"/>
        <w:rPr>
          <w:rFonts w:ascii="Arial" w:cs="Arial" w:eastAsia="Arial" w:hAnsi="Arial"/>
          <w:sz w:val="16"/>
          <w:szCs w:val="16"/>
          <w:color w:val="auto"/>
        </w:rPr>
      </w:pPr>
    </w:p>
    <w:p>
      <w:pPr>
        <w:ind w:left="-20" w:right="80" w:firstLine="436"/>
        <w:spacing w:after="0" w:line="293" w:lineRule="auto"/>
        <w:tabs>
          <w:tab w:leader="none" w:pos="67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Prior to any Redemption or Direct Exchange effected pursuant to this Agreement, the Corporation shall take all such steps as may be required to cause to qualify for exemption under Rule 16b-3(d) or (e), as applicable, under the Exchange Act, and to be exempt for purposes of Section 16(b) under the Exchange Act, any acquisitions from, or dispositions to, the Corporation of equity securities of Corporation (including derivative securities with respect thereto) and any securities that may be deemed to be equity securities or derivative securities of the Corporation for such purposes that result from the transactions contemplated by this Agreement, by each officer or director of the Corporation, including any director by deputization. The authorizing resolutions shall be approved by either the Corporate Board or a committee thereof composed solely of two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60" w:top="274" w:right="479" w:bottom="1440" w:gutter="0" w:footer="0" w:header="0"/>
        </w:sectPr>
      </w:pPr>
    </w:p>
    <w:bookmarkStart w:id="132" w:name="page133"/>
    <w:bookmarkEnd w:id="132"/>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more Non-Employee Directors (as defined in Rule 16b-3) of the Corporation (with the authorizing resolutions specifying the name of each such director whose acquisition or disposition of securities is to be exempted and the number of securities that may be acquired and disposed of by each such Person pursuant to this Agreement).</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u w:val="single" w:color="auto"/>
          <w:color w:val="auto"/>
        </w:rPr>
        <w:t>Section 11.05 Effect of Exercise of Redemption or Direct Exchange</w:t>
      </w:r>
      <w:r>
        <w:rPr>
          <w:rFonts w:ascii="Arial" w:cs="Arial" w:eastAsia="Arial" w:hAnsi="Arial"/>
          <w:sz w:val="18"/>
          <w:szCs w:val="18"/>
          <w:color w:val="auto"/>
        </w:rPr>
        <w:t xml:space="preserve">. This Agreement shall continue notwithstanding the consummation of a Redemption or Direct Exchange by a Member and all rights set forth herein shall continue in effect with respect to the remaining Members and, to the extent the Redeeming Member has a remaining </w:t>
      </w:r>
      <w:r>
        <w:rPr>
          <w:rFonts w:ascii="Arial" w:cs="Arial" w:eastAsia="Arial" w:hAnsi="Arial"/>
          <w:sz w:val="18"/>
          <w:szCs w:val="18"/>
          <w:u w:val="single" w:color="auto"/>
          <w:color w:val="auto"/>
        </w:rPr>
        <w:t>Unit</w:t>
      </w:r>
      <w:r>
        <w:rPr>
          <w:rFonts w:ascii="Arial" w:cs="Arial" w:eastAsia="Arial" w:hAnsi="Arial"/>
          <w:sz w:val="18"/>
          <w:szCs w:val="18"/>
          <w:color w:val="auto"/>
        </w:rPr>
        <w:t xml:space="preserve"> following such Redemption or Direct Exchange, the Redeeming Member. No Redemption or Direct Exchange shall relieve a Redeeming Member, the Company or the Corporation of any prior breach of this Agreement by such Redeeming Member, the Company or the Corporation.</w:t>
      </w:r>
    </w:p>
    <w:p>
      <w:pPr>
        <w:spacing w:after="0" w:line="188"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u w:val="single" w:color="auto"/>
          <w:color w:val="auto"/>
        </w:rPr>
        <w:t>Section 11.06 Tax Treatment</w:t>
      </w:r>
      <w:r>
        <w:rPr>
          <w:rFonts w:ascii="Arial" w:cs="Arial" w:eastAsia="Arial" w:hAnsi="Arial"/>
          <w:sz w:val="18"/>
          <w:szCs w:val="18"/>
          <w:color w:val="auto"/>
        </w:rPr>
        <w:t>. Unless otherwise required by applicable Law, the parties hereto acknowledge and agree that a Redemption or a Direct Exchange, as the case may be, shall be treated as a direct exchange between the Corporation and the Redeeming Member for U.S. federal and applicable state and local income tax purposes.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ADMISSION OF MEMBERS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Section 12.01 Substituted Members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in connection with the Permitted Transfer of a </w:t>
      </w:r>
      <w:r>
        <w:rPr>
          <w:rFonts w:ascii="Arial" w:cs="Arial" w:eastAsia="Arial" w:hAnsi="Arial"/>
          <w:sz w:val="18"/>
          <w:szCs w:val="18"/>
          <w:u w:val="single" w:color="auto"/>
          <w:color w:val="auto"/>
        </w:rPr>
        <w:t>Unit</w:t>
      </w:r>
      <w:r>
        <w:rPr>
          <w:rFonts w:ascii="Arial" w:cs="Arial" w:eastAsia="Arial" w:hAnsi="Arial"/>
          <w:sz w:val="18"/>
          <w:szCs w:val="18"/>
          <w:color w:val="auto"/>
        </w:rPr>
        <w:t xml:space="preserve"> hereunder, the Permitted Transferee shall become a Substituted Member on the effective date of such Transfer, which effective date shall not be earlier than the date of compliance with the conditions to such Transfer, and such admission shall be shown on the books and records of the Company, including the Schedule of Members.</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u w:val="single" w:color="auto"/>
          <w:color w:val="auto"/>
        </w:rPr>
        <w:t>Section 12.02 Additional Members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 any Person that is not a Member as of the Effective Date may be admitted to the Company as an additional Member (any such Person, an “</w:t>
      </w:r>
      <w:r>
        <w:rPr>
          <w:rFonts w:ascii="Arial" w:cs="Arial" w:eastAsia="Arial" w:hAnsi="Arial"/>
          <w:sz w:val="16"/>
          <w:szCs w:val="16"/>
          <w:b w:val="1"/>
          <w:bCs w:val="1"/>
          <w:i w:val="1"/>
          <w:iCs w:val="1"/>
          <w:color w:val="auto"/>
        </w:rPr>
        <w:t>Additional Member</w:t>
      </w:r>
      <w:r>
        <w:rPr>
          <w:rFonts w:ascii="Arial" w:cs="Arial" w:eastAsia="Arial" w:hAnsi="Arial"/>
          <w:sz w:val="16"/>
          <w:szCs w:val="16"/>
          <w:color w:val="auto"/>
        </w:rPr>
        <w:t>”) only upon furnishing to the Manager (a) duly executed Joinder and counterparts to any applicable Other Agreements and (b) such other documents or instruments as may be reasonably necessary or appropriate to effect such Person’s admission as a Member (including entering into such documents as may reasonably be requested by the Manager). Such admission shall become effective on the date on which the Manager determines in its sole discretion that such conditions have been satisfied and when any such admission is shown on the books and records of the Company, including the Schedule of Members.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WITHDRAWAL AND RESIGNATION; TERMINATION OF RIGHTS</w:t>
      </w:r>
    </w:p>
    <w:p>
      <w:pPr>
        <w:spacing w:after="0" w:line="21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u w:val="single" w:color="auto"/>
          <w:color w:val="auto"/>
        </w:rPr>
        <w:t>Section 13.01 Withdrawal and Resignation of Members</w:t>
      </w:r>
      <w:r>
        <w:rPr>
          <w:rFonts w:ascii="Arial" w:cs="Arial" w:eastAsia="Arial" w:hAnsi="Arial"/>
          <w:sz w:val="17"/>
          <w:szCs w:val="17"/>
          <w:color w:val="auto"/>
        </w:rPr>
        <w:t xml:space="preserve">. Except in the event of Transfers pursuant to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and the Manager’s right to resign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no Member shall have the power or right to withdraw or otherwise resign as a Member from the Company prior to the dissolution and winding up of the Company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Any Member, however, that attempts to withdraw or otherwise resign as a Member from the Company without the prior written consent of the Manager upon or following the dissolution and winding up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33" w:name="page134"/>
    <w:bookmarkEnd w:id="133"/>
    <w:p>
      <w:pPr>
        <w:ind w:right="3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but prior to such Member receiving the full amount of Distributions from the Company to which such Member is entitled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shall be liable to the Company for all damages (including all lost profits and special, indirect and consequential damages) directly or indirectly caused by the withdrawal or resignation of such Member. Upon a Transfer of all of a Member’s Units in a Transfer permitted by this Agreement, subject to the provisions of </w:t>
      </w:r>
      <w:r>
        <w:rPr>
          <w:rFonts w:ascii="Arial" w:cs="Arial" w:eastAsia="Arial" w:hAnsi="Arial"/>
          <w:sz w:val="17"/>
          <w:szCs w:val="17"/>
          <w:u w:val="single" w:color="auto"/>
          <w:color w:val="auto"/>
        </w:rPr>
        <w:t>Section 10.06</w:t>
      </w:r>
      <w:r>
        <w:rPr>
          <w:rFonts w:ascii="Arial" w:cs="Arial" w:eastAsia="Arial" w:hAnsi="Arial"/>
          <w:sz w:val="17"/>
          <w:szCs w:val="17"/>
          <w:color w:val="auto"/>
        </w:rPr>
        <w:t>, such Member shall cease to be a Member.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DISSOLUTION AND LIQUIDATION</w:t>
      </w:r>
    </w:p>
    <w:p>
      <w:pPr>
        <w:spacing w:after="0" w:line="21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u w:val="single" w:color="auto"/>
          <w:color w:val="auto"/>
        </w:rPr>
        <w:t>Section 14.01 Dissolution</w:t>
      </w:r>
      <w:r>
        <w:rPr>
          <w:rFonts w:ascii="Arial" w:cs="Arial" w:eastAsia="Arial" w:hAnsi="Arial"/>
          <w:sz w:val="16"/>
          <w:szCs w:val="16"/>
          <w:color w:val="auto"/>
        </w:rPr>
        <w:t>. The Company shall not be dissolved by the admission of Additional Members or Substituted Members or the attempted withdrawal, removal, dissolution, bankruptcy or resignation of a Member. The Company shall dissolve, and its affairs shall be wound up, upon:</w:t>
      </w:r>
    </w:p>
    <w:p>
      <w:pPr>
        <w:spacing w:after="0" w:line="16" w:lineRule="exact"/>
        <w:rPr>
          <w:sz w:val="20"/>
          <w:szCs w:val="20"/>
          <w:color w:val="auto"/>
        </w:rPr>
      </w:pPr>
    </w:p>
    <w:p>
      <w:pPr>
        <w:ind w:right="580" w:firstLine="436"/>
        <w:spacing w:after="0" w:line="342" w:lineRule="auto"/>
        <w:tabs>
          <w:tab w:leader="none" w:pos="68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decision of the Manager together with the written approval of the Common Unitholders holding a majority of the Common Units to dissolve the Company (excluding for purposes of such calculation the Corporation and all Common Units held directly or indirectly by it);</w:t>
      </w:r>
    </w:p>
    <w:p>
      <w:pPr>
        <w:spacing w:after="0" w:line="15" w:lineRule="exact"/>
        <w:rPr>
          <w:rFonts w:ascii="Arial" w:cs="Arial" w:eastAsia="Arial" w:hAnsi="Arial"/>
          <w:sz w:val="16"/>
          <w:szCs w:val="16"/>
          <w:color w:val="auto"/>
        </w:rPr>
      </w:pPr>
    </w:p>
    <w:p>
      <w:pPr>
        <w:ind w:right="320" w:firstLine="436"/>
        <w:spacing w:after="0" w:line="277"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dissolution of the Company under Section 18-801(4) of the Delaware Act, unless the Company is continued without dissolution pursuant thereto; or</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Delaware Act.</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the Company is intended to have perpetual existence. An Event of Withdrawal shall not in and of itself cause a dissolution of the Company and the Company shall continue in existence subject to the terms and conditions of this Agreement.</w:t>
      </w:r>
    </w:p>
    <w:p>
      <w:pPr>
        <w:spacing w:after="0" w:line="146"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u w:val="single" w:color="auto"/>
          <w:color w:val="auto"/>
        </w:rPr>
        <w:t>Section 14.02 Winding up</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14.05</w:t>
      </w:r>
      <w:r>
        <w:rPr>
          <w:rFonts w:ascii="Arial" w:cs="Arial" w:eastAsia="Arial" w:hAnsi="Arial"/>
          <w:sz w:val="17"/>
          <w:szCs w:val="17"/>
          <w:color w:val="auto"/>
        </w:rPr>
        <w:t>, on dissolution of the Company, the Manager shall act as liquidating trustee or may appoint one or more Persons as liquidating trustee (each such Person, a “</w:t>
      </w:r>
      <w:r>
        <w:rPr>
          <w:rFonts w:ascii="Arial" w:cs="Arial" w:eastAsia="Arial" w:hAnsi="Arial"/>
          <w:sz w:val="17"/>
          <w:szCs w:val="17"/>
          <w:b w:val="1"/>
          <w:bCs w:val="1"/>
          <w:i w:val="1"/>
          <w:iCs w:val="1"/>
          <w:color w:val="auto"/>
        </w:rPr>
        <w:t>Liquidator</w:t>
      </w:r>
      <w:r>
        <w:rPr>
          <w:rFonts w:ascii="Arial" w:cs="Arial" w:eastAsia="Arial" w:hAnsi="Arial"/>
          <w:sz w:val="17"/>
          <w:szCs w:val="17"/>
          <w:color w:val="auto"/>
        </w:rPr>
        <w:t>”). The Liquidators shall proceed diligently to wind up the affairs of the Company and make final distributions as provided herein and in the Delaware Act. The costs of liquidation shall be borne as an expense of the Company. Until final distribution, the Liquidators shall, to the fullest extent permitted by applicable Law, continue to operate the properties of the Company with all of the power and authority of the Manager. The steps to be accomplished by the Liquidators are as follows:</w:t>
      </w:r>
    </w:p>
    <w:p>
      <w:pPr>
        <w:spacing w:after="0" w:line="68" w:lineRule="exact"/>
        <w:rPr>
          <w:sz w:val="20"/>
          <w:szCs w:val="20"/>
          <w:color w:val="auto"/>
        </w:rPr>
      </w:pPr>
    </w:p>
    <w:p>
      <w:pPr>
        <w:ind w:right="220" w:firstLine="436"/>
        <w:spacing w:after="0" w:line="263"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75"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Liquidators shall pay, satisfy or discharge from the Company’s funds, or otherwise make adequate provision for payment and discharge thereof (including, without limitation, the establishment of a cash fund for contingent, conditional and unmatured liabilities in such amount and for such term as the liquidators may reasonably determine) the following: first,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34" w:name="page135"/>
    <w:bookmarkEnd w:id="134"/>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of the debts, liabilities and obligations of the Company owed to creditors other than the Members in satisfaction of the liabilities of the Company (whether by payment or the making of reasonable provision for payment thereof), including all expenses incurred in connection with the liquidations; and second, all of the debts, liabilities and obligations of the Company owed to the Members (other than any payments or distributions owed to such Members in their capacity as Members pursuant to this Agreement); and</w:t>
      </w:r>
    </w:p>
    <w:p>
      <w:pPr>
        <w:spacing w:after="0" w:line="79" w:lineRule="exact"/>
        <w:rPr>
          <w:sz w:val="20"/>
          <w:szCs w:val="20"/>
          <w:color w:val="auto"/>
        </w:rPr>
      </w:pPr>
    </w:p>
    <w:p>
      <w:pPr>
        <w:ind w:firstLine="436"/>
        <w:spacing w:after="0" w:line="263" w:lineRule="auto"/>
        <w:tabs>
          <w:tab w:leader="none" w:pos="6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following any payments pursuant to the foregoing </w:t>
      </w:r>
      <w:r>
        <w:rPr>
          <w:rFonts w:ascii="Arial" w:cs="Arial" w:eastAsia="Arial" w:hAnsi="Arial"/>
          <w:sz w:val="18"/>
          <w:szCs w:val="18"/>
          <w:u w:val="single" w:color="auto"/>
          <w:color w:val="auto"/>
        </w:rPr>
        <w:t>Section 14.02(b)</w:t>
      </w:r>
      <w:r>
        <w:rPr>
          <w:rFonts w:ascii="Arial" w:cs="Arial" w:eastAsia="Arial" w:hAnsi="Arial"/>
          <w:sz w:val="18"/>
          <w:szCs w:val="18"/>
          <w:color w:val="auto"/>
        </w:rPr>
        <w:t xml:space="preserve">, all remaining assets of the Company shall be distributed to the Members in accordance with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by the end of the Taxable Year during which the liquidation of the Company occurs (or, if later, by ninety (90) days after the date of the liquidation).</w:t>
      </w:r>
    </w:p>
    <w:p>
      <w:pPr>
        <w:spacing w:after="0" w:line="18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The distribution of cash and/or property to the Members in accordance with the provisions of this </w:t>
      </w:r>
      <w:r>
        <w:rPr>
          <w:rFonts w:ascii="Arial" w:cs="Arial" w:eastAsia="Arial" w:hAnsi="Arial"/>
          <w:sz w:val="17"/>
          <w:szCs w:val="17"/>
          <w:u w:val="single" w:color="auto"/>
          <w:color w:val="auto"/>
        </w:rPr>
        <w:t>Section 14.02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14.03</w:t>
      </w:r>
      <w:r>
        <w:rPr>
          <w:rFonts w:ascii="Arial" w:cs="Arial" w:eastAsia="Arial" w:hAnsi="Arial"/>
          <w:sz w:val="17"/>
          <w:szCs w:val="17"/>
          <w:color w:val="auto"/>
        </w:rPr>
        <w:t xml:space="preserve"> below shall constitute a complete return to the Members of their Capital Contributions, a complete distribution to the Members of their interest in the Company and all of the Company’s property and shall constitute a compromise to which all Members have consented within the meaning of the Delaware Act. To the extent that a Member returns funds to the Company, it has no claim against any other Member for those funds.</w:t>
      </w:r>
    </w:p>
    <w:p>
      <w:pPr>
        <w:spacing w:after="0" w:line="17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u w:val="single" w:color="auto"/>
          <w:color w:val="auto"/>
        </w:rPr>
        <w:t>Section 14.03 Deferment; Distribution in Kind</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but subject to the order of priorities set forth therein, if upon dissolution of the Company the Liquidators determine that an immediate sale of part or all of the Company’s assets would be impractical or would cause undue loss (or would otherwise not be beneficial) to the Members, the Liquidators may, in their sole discretion and the fullest extent permitted by applicable Law, defer for a reasonable time the liquidation of any assets except those necessary to satisfy the Company’s liabilities (other than loans to the Company by any Member(s)) and reserves. Subject to the order of priorities set forth in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the Liquidators may, in their sole discretion, distribute to the Members, in lieu of cash, either (a) all or any portion of such remaining assets in-kind of the Company in accordance with the provisions of </w:t>
      </w:r>
      <w:r>
        <w:rPr>
          <w:rFonts w:ascii="Arial" w:cs="Arial" w:eastAsia="Arial" w:hAnsi="Arial"/>
          <w:sz w:val="16"/>
          <w:szCs w:val="16"/>
          <w:u w:val="single" w:color="auto"/>
          <w:color w:val="auto"/>
        </w:rPr>
        <w:t>Section 14.02(c)</w:t>
      </w:r>
      <w:r>
        <w:rPr>
          <w:rFonts w:ascii="Arial" w:cs="Arial" w:eastAsia="Arial" w:hAnsi="Arial"/>
          <w:sz w:val="16"/>
          <w:szCs w:val="16"/>
          <w:color w:val="auto"/>
        </w:rPr>
        <w:t xml:space="preserve">, (b) as tenants in common and in accordance with the provisions of </w:t>
      </w:r>
      <w:r>
        <w:rPr>
          <w:rFonts w:ascii="Arial" w:cs="Arial" w:eastAsia="Arial" w:hAnsi="Arial"/>
          <w:sz w:val="16"/>
          <w:szCs w:val="16"/>
          <w:u w:val="single" w:color="auto"/>
          <w:color w:val="auto"/>
        </w:rPr>
        <w:t>Section 14.02(c)</w:t>
      </w:r>
      <w:r>
        <w:rPr>
          <w:rFonts w:ascii="Arial" w:cs="Arial" w:eastAsia="Arial" w:hAnsi="Arial"/>
          <w:sz w:val="16"/>
          <w:szCs w:val="16"/>
          <w:color w:val="auto"/>
        </w:rPr>
        <w:t xml:space="preserve">, undivided interests in all or any portion of such assets of the Company or (c) a combination of the foregoing. Any such Distributions in-kind shall be subject to (y) such conditions relating to the disposition and management of such assets as the Liquidators deem reasonable and equitable and (z) the terms and conditions of any agreements governing such assets (or the operation thereof or the holders thereof) at such time. Any assets of the Company distributed in kind will first be written up or down to their Fair Market Value, thus creating Profit or Loss (if any), which shall be allocated in accordance with </w:t>
      </w:r>
      <w:r>
        <w:rPr>
          <w:rFonts w:ascii="Arial" w:cs="Arial" w:eastAsia="Arial" w:hAnsi="Arial"/>
          <w:sz w:val="16"/>
          <w:szCs w:val="16"/>
          <w:u w:val="single" w:color="auto"/>
          <w:color w:val="auto"/>
        </w:rPr>
        <w:t>Article V</w:t>
      </w:r>
      <w:r>
        <w:rPr>
          <w:rFonts w:ascii="Arial" w:cs="Arial" w:eastAsia="Arial" w:hAnsi="Arial"/>
          <w:sz w:val="16"/>
          <w:szCs w:val="16"/>
          <w:color w:val="auto"/>
        </w:rPr>
        <w:t>. The Liquidators shall determine the Fair Market Value of any property distributed.</w:t>
      </w:r>
    </w:p>
    <w:p>
      <w:pPr>
        <w:spacing w:after="0" w:line="168"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u w:val="single" w:color="auto"/>
          <w:color w:val="auto"/>
        </w:rPr>
        <w:t>Section 14.04 Cancellation of Certificate</w:t>
      </w:r>
      <w:r>
        <w:rPr>
          <w:rFonts w:ascii="Arial" w:cs="Arial" w:eastAsia="Arial" w:hAnsi="Arial"/>
          <w:sz w:val="18"/>
          <w:szCs w:val="18"/>
          <w:color w:val="auto"/>
        </w:rPr>
        <w:t xml:space="preserve">. On completion of the winding up of the Company as provided herein, the Manager (or such other Person or Persons as the Delaware Act may require or permit) shall file a certificate of cancellation of the Certificate with the Secretary of State of Delaware, cancel any other filings made pursuant to this Agreement that should be canceled and take such other actions as may be necessary to terminate the existence of the Company. The Company shall continue in existence for all purposes of this Agreement until it is terminated pursuant to this </w:t>
      </w:r>
      <w:r>
        <w:rPr>
          <w:rFonts w:ascii="Arial" w:cs="Arial" w:eastAsia="Arial" w:hAnsi="Arial"/>
          <w:sz w:val="18"/>
          <w:szCs w:val="18"/>
          <w:u w:val="single" w:color="auto"/>
          <w:color w:val="auto"/>
        </w:rPr>
        <w:t>Section 14.04</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35" w:name="page136"/>
    <w:bookmarkEnd w:id="135"/>
    <w:p>
      <w:pPr>
        <w:jc w:val="both"/>
        <w:ind w:left="4" w:right="14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14.05 Reasonable Time for Winding Up</w:t>
      </w:r>
      <w:r>
        <w:rPr>
          <w:rFonts w:ascii="Arial" w:cs="Arial" w:eastAsia="Arial" w:hAnsi="Arial"/>
          <w:sz w:val="18"/>
          <w:szCs w:val="18"/>
          <w:color w:val="auto"/>
        </w:rPr>
        <w:t xml:space="preserve">. A reasonable time shall be allowed for the orderly winding up of the business and affairs of the Company and the liquidation of its assets pursuant to </w:t>
      </w:r>
      <w:r>
        <w:rPr>
          <w:rFonts w:ascii="Arial" w:cs="Arial" w:eastAsia="Arial" w:hAnsi="Arial"/>
          <w:sz w:val="18"/>
          <w:szCs w:val="18"/>
          <w:u w:val="single" w:color="auto"/>
          <w:color w:val="auto"/>
        </w:rPr>
        <w:t>Sections 14.02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14.03</w:t>
      </w:r>
      <w:r>
        <w:rPr>
          <w:rFonts w:ascii="Arial" w:cs="Arial" w:eastAsia="Arial" w:hAnsi="Arial"/>
          <w:sz w:val="18"/>
          <w:szCs w:val="18"/>
          <w:color w:val="auto"/>
        </w:rPr>
        <w:t xml:space="preserve"> in order to minimize any losses otherwise attendant upon such winding up.</w:t>
      </w:r>
    </w:p>
    <w:p>
      <w:pPr>
        <w:spacing w:after="0" w:line="184"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u w:val="single" w:color="auto"/>
          <w:color w:val="auto"/>
        </w:rPr>
        <w:t>Section 14.06 Return of Capital</w:t>
      </w:r>
      <w:r>
        <w:rPr>
          <w:rFonts w:ascii="Arial" w:cs="Arial" w:eastAsia="Arial" w:hAnsi="Arial"/>
          <w:sz w:val="18"/>
          <w:szCs w:val="18"/>
          <w:color w:val="auto"/>
        </w:rPr>
        <w:t>. The Liquidators shall not be personally liable for the return of Capital Contributions or any portion thereof to the Members (it being understood that any such return shall be made solely from assets of the Company).</w:t>
      </w:r>
    </w:p>
    <w:p>
      <w:pPr>
        <w:spacing w:after="0" w:line="38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XV.</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15.01 Power of Attorney</w:t>
      </w:r>
      <w:r>
        <w:rPr>
          <w:rFonts w:ascii="Arial" w:cs="Arial" w:eastAsia="Arial" w:hAnsi="Arial"/>
          <w:sz w:val="18"/>
          <w:szCs w:val="18"/>
          <w:color w:val="auto"/>
        </w:rPr>
        <w:t>.</w:t>
      </w:r>
    </w:p>
    <w:p>
      <w:pPr>
        <w:spacing w:after="0" w:line="117" w:lineRule="exact"/>
        <w:rPr>
          <w:sz w:val="20"/>
          <w:szCs w:val="20"/>
          <w:color w:val="auto"/>
        </w:rPr>
      </w:pPr>
    </w:p>
    <w:p>
      <w:pPr>
        <w:ind w:left="4" w:right="140" w:firstLine="436"/>
        <w:spacing w:after="0" w:line="277" w:lineRule="auto"/>
        <w:tabs>
          <w:tab w:leader="none" w:pos="68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Member hereby constitutes and appoints the Manager (or the Liquidator, if applicable) with full power of substitution, as his or her true and lawful agent and attorney-in-fact, with full power and authority in his, her or its name, place and stead, to:</w:t>
      </w:r>
    </w:p>
    <w:p>
      <w:pPr>
        <w:spacing w:after="0" w:line="62" w:lineRule="exact"/>
        <w:rPr>
          <w:sz w:val="20"/>
          <w:szCs w:val="20"/>
          <w:color w:val="auto"/>
        </w:rPr>
      </w:pPr>
    </w:p>
    <w:p>
      <w:pPr>
        <w:ind w:left="4" w:right="40" w:firstLine="436"/>
        <w:spacing w:after="0" w:line="284" w:lineRule="auto"/>
        <w:tabs>
          <w:tab w:leader="none" w:pos="65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execute, swear to, acknowledge, deliver, file and record in the appropriate public offices (A) this Agreement, all certificates and other instruments and all amendments thereof which the Manager deems appropriate or necessary to form, qualify, or continue the qualification of, the Company as a limited liability company in the State of Delaware and in all other jurisdictions in which the Company may conduct business or own property; (B) all instruments which the Manager deems appropriate or necessary to reflect any amendment, change, modification or restatement of this Agreement in accordance with its terms; (C) all conveyances and other instruments or documents which the Manager deems appropriate or necessary to reflect the dissolution, winding up and termination of the Company pursuant to the terms of this Agreement, including a certificate of cancellation; and</w:t>
      </w:r>
    </w:p>
    <w:p>
      <w:pPr>
        <w:spacing w:after="0" w:line="4" w:lineRule="exact"/>
        <w:rPr>
          <w:rFonts w:ascii="Arial" w:cs="Arial" w:eastAsia="Arial" w:hAnsi="Arial"/>
          <w:sz w:val="16"/>
          <w:szCs w:val="16"/>
          <w:color w:val="auto"/>
        </w:rPr>
      </w:pPr>
    </w:p>
    <w:p>
      <w:pPr>
        <w:ind w:left="304" w:hanging="304"/>
        <w:spacing w:after="0"/>
        <w:tabs>
          <w:tab w:leader="none" w:pos="3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all instruments relating to the admission, substitution or resignation of any Member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XIII</w:t>
      </w:r>
      <w:r>
        <w:rPr>
          <w:rFonts w:ascii="Arial" w:cs="Arial" w:eastAsia="Arial" w:hAnsi="Arial"/>
          <w:sz w:val="18"/>
          <w:szCs w:val="18"/>
          <w:color w:val="auto"/>
        </w:rPr>
        <w:t>; and</w:t>
      </w:r>
    </w:p>
    <w:p>
      <w:pPr>
        <w:spacing w:after="0" w:line="102" w:lineRule="exact"/>
        <w:rPr>
          <w:rFonts w:ascii="Arial" w:cs="Arial" w:eastAsia="Arial" w:hAnsi="Arial"/>
          <w:sz w:val="18"/>
          <w:szCs w:val="18"/>
          <w:color w:val="auto"/>
        </w:rPr>
      </w:pPr>
    </w:p>
    <w:p>
      <w:pPr>
        <w:ind w:left="4" w:right="20" w:firstLine="436"/>
        <w:spacing w:after="0" w:line="259" w:lineRule="auto"/>
        <w:tabs>
          <w:tab w:leader="none" w:pos="709" w:val="left"/>
        </w:tabs>
        <w:numPr>
          <w:ilvl w:val="1"/>
          <w:numId w:val="137"/>
        </w:numPr>
        <w:rPr>
          <w:rFonts w:ascii="Arial" w:cs="Arial" w:eastAsia="Arial" w:hAnsi="Arial"/>
          <w:sz w:val="18"/>
          <w:szCs w:val="18"/>
          <w:color w:val="auto"/>
        </w:rPr>
      </w:pPr>
      <w:r>
        <w:rPr>
          <w:rFonts w:ascii="Arial" w:cs="Arial" w:eastAsia="Arial" w:hAnsi="Arial"/>
          <w:sz w:val="18"/>
          <w:szCs w:val="18"/>
          <w:color w:val="auto"/>
        </w:rPr>
        <w:t>sign, execute, swear to and acknowledge all ballots, consents, approvals, waivers, certificates and other instruments appropriate or necessary, in the reasonable judgment of the Manager, to evidence, confirm or ratify any vote, consent, approval, agreement or other action which is made or given by the Members hereunder or is consistent with the terms of this Agreement, in the reasonable judgment of the Manager, to effectuate the terms of this Agreement.</w:t>
      </w:r>
    </w:p>
    <w:p>
      <w:pPr>
        <w:spacing w:after="0" w:line="79" w:lineRule="exact"/>
        <w:rPr>
          <w:sz w:val="20"/>
          <w:szCs w:val="20"/>
          <w:color w:val="auto"/>
        </w:rPr>
      </w:pPr>
    </w:p>
    <w:p>
      <w:pPr>
        <w:ind w:left="4" w:right="280" w:firstLine="436"/>
        <w:spacing w:after="0" w:line="263" w:lineRule="auto"/>
        <w:tabs>
          <w:tab w:leader="none" w:pos="69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foregoing power of attorney is irrevocable and coupled with an interest, and shall survive the death, disability, incapacity, dissolution, bankruptcy, insolvency or termination of any Member and the transfer of all or any portion of his, her or its Units and shall extend to such Member’s heirs, successors, assigns and personal representatives.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Section 15.02 Confidentiality</w:t>
      </w:r>
      <w:r>
        <w:rPr>
          <w:rFonts w:ascii="Arial" w:cs="Arial" w:eastAsia="Arial" w:hAnsi="Arial"/>
          <w:sz w:val="18"/>
          <w:szCs w:val="18"/>
          <w:color w:val="auto"/>
        </w:rPr>
        <w:t>.</w:t>
      </w:r>
    </w:p>
    <w:p>
      <w:pPr>
        <w:spacing w:after="0" w:line="117" w:lineRule="exact"/>
        <w:rPr>
          <w:sz w:val="20"/>
          <w:szCs w:val="20"/>
          <w:color w:val="auto"/>
        </w:rPr>
      </w:pPr>
    </w:p>
    <w:p>
      <w:pPr>
        <w:ind w:left="4" w:firstLine="436"/>
        <w:spacing w:after="0" w:line="259" w:lineRule="auto"/>
        <w:tabs>
          <w:tab w:leader="none" w:pos="68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Members (other than the Corporation) agrees to hold the Company’s Confidential Information in confidence and may not disclose or use such information except as otherwise authorized separately in writing by the Manager.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as used herein includes all non-public information concerning the Company or its Subsidiaries including, but not limited to, ideas, financial product structuring, business strategies, innovations and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4"/>
          </w:cols>
          <w:pgMar w:left="436" w:top="274" w:right="479" w:bottom="1440" w:gutter="0" w:footer="0" w:header="0"/>
        </w:sectPr>
      </w:pPr>
    </w:p>
    <w:bookmarkStart w:id="136" w:name="page137"/>
    <w:bookmarkEnd w:id="13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materials, all aspects of the Company’s business plan, proposed operation and products, corporate structure, financial and organizational information, analyses, proposed partners, software code and system and product designs, employees and their identities, equity ownership, the methods and means by which the Company plans to conduct its business, all trade secrets, trademarks, tradenames and all intellectual property associated with the Company’s business. With respect to each Member, Confidential Information does not include information or material that: (a) is rightfully in the possession of such Member at the time of disclosure by the Company; (b) before or after it has been disclosed to such Member by the Company, becomes part of public knowledge, not as a result of any action or inaction of such Member in violation of this Agreement; (c) is approved for release by written authorization of the Chief Executive Officer, Chief Financial Officer or General Counsel of the Company or of the Corporation, or any other officer designated by the Manager; (d) is disclosed to such Member or their representatives by a third party not, to the knowledge of such Member, in violation of any obligation of confidentiality owed to the Company with respect to such information; or (e) is or becomes independently developed by such Member or their respective representatives without use of or reference to the Confidential Information.</w:t>
      </w:r>
    </w:p>
    <w:p>
      <w:pPr>
        <w:spacing w:after="0" w:line="77" w:lineRule="exact"/>
        <w:rPr>
          <w:sz w:val="20"/>
          <w:szCs w:val="20"/>
          <w:color w:val="auto"/>
        </w:rPr>
      </w:pPr>
    </w:p>
    <w:p>
      <w:pPr>
        <w:ind w:right="80" w:firstLine="436"/>
        <w:spacing w:after="0" w:line="273" w:lineRule="auto"/>
        <w:tabs>
          <w:tab w:leader="none" w:pos="69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Solely to the extent it is reasonably necessary or appropriate to fulfill its obligations or to exercise its rights under this Agreement, each of the Members may disclose Confidential Information to its Subsidiaries, Affiliates, partners, directors, officers, employees, counsel, advisers, consultants, outside contractors and other agents, on the condition that such Persons keep the Confidential Information confidential to the same extent as such Member is required to keep the Confidential Information confidential;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Member shall remain liable with respect to any breach of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by any such Subsidiaries, Affiliates, partners, directors, officers, employees, counsel, advisers, consultants, outside contractors and other agents (as if such Persons were party to this Agreement for purposes of this </w:t>
      </w:r>
      <w:r>
        <w:rPr>
          <w:rFonts w:ascii="Arial" w:cs="Arial" w:eastAsia="Arial" w:hAnsi="Arial"/>
          <w:sz w:val="17"/>
          <w:szCs w:val="17"/>
          <w:u w:val="single" w:color="auto"/>
          <w:color w:val="auto"/>
        </w:rPr>
        <w:t>Section 15.02</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firstLine="436"/>
        <w:spacing w:after="0" w:line="269" w:lineRule="auto"/>
        <w:tabs>
          <w:tab w:leader="none" w:pos="68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15.02(a)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15.02(b)</w:t>
      </w:r>
      <w:r>
        <w:rPr>
          <w:rFonts w:ascii="Arial" w:cs="Arial" w:eastAsia="Arial" w:hAnsi="Arial"/>
          <w:sz w:val="17"/>
          <w:szCs w:val="17"/>
          <w:color w:val="auto"/>
        </w:rPr>
        <w:t xml:space="preserve">, each of the Members may disclose Confidential Information (i) to the extent that such Member is required by Law (by oral questions, interrogatories, request for information or documents, subpoena, civil investigative demand or similar process) to disclose any of the Confidential Information, (ii) for purposes of reporting to its stockholders and direct and indirect equity holders (each of whom are bound by customary confidentiality obligations) the performance of the Company and its Subsidiaries and for purposes of including applicable information in its financial statements to the extent required by applicable Law or applicable accounting standards; or (iii) to any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prospective purchaser of the equity or assets of a Member, or the Common Units held by such Member (</w:t>
      </w:r>
      <w:r>
        <w:rPr>
          <w:rFonts w:ascii="Arial" w:cs="Arial" w:eastAsia="Arial" w:hAnsi="Arial"/>
          <w:sz w:val="17"/>
          <w:szCs w:val="17"/>
          <w:i w:val="1"/>
          <w:iCs w:val="1"/>
          <w:color w:val="auto"/>
        </w:rPr>
        <w:t>provided</w:t>
      </w:r>
      <w:r>
        <w:rPr>
          <w:rFonts w:ascii="Arial" w:cs="Arial" w:eastAsia="Arial" w:hAnsi="Arial"/>
          <w:sz w:val="17"/>
          <w:szCs w:val="17"/>
          <w:color w:val="auto"/>
        </w:rPr>
        <w:t>, in each case, that such Member determines in good faith that such prospective purchaser would be a Permitted Transferee), or a prospective merger partner of such Member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Persons will be informed by such Member of the confidential nature of such information and shall agree in writing to keep such information confidential in accordance with the contents of this Agreement and (ii) each Member will be liable for any breaches of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by any such Persons (as if such Persons were party to this Agreement for purposes of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Notwithstanding any of the foregoing, nothing in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will restrict in any manner the ability of the Corporation to comply with its disclosure obligations under Law, and the extent to which any Confidential Information is necessary or desirable to disclose.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37" w:name="page138"/>
    <w:bookmarkEnd w:id="137"/>
    <w:p>
      <w:pPr>
        <w:ind w:left="4" w:right="80" w:firstLine="440"/>
        <w:spacing w:after="0" w:line="28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15.03 Amendments</w:t>
      </w:r>
      <w:r>
        <w:rPr>
          <w:rFonts w:ascii="Arial" w:cs="Arial" w:eastAsia="Arial" w:hAnsi="Arial"/>
          <w:sz w:val="17"/>
          <w:szCs w:val="17"/>
          <w:color w:val="auto"/>
        </w:rPr>
        <w:t>. Except as otherwise contemplated by this Agreement, this Agreement may be amended or modified upon the written consent of the Manager, together with the written consent of the holders of a majority of the Common Units then outstanding (excluding all Common Units held directly or indirectly by the Corporation). Notwithstanding the foregoing, no amendment or modification:</w:t>
      </w:r>
    </w:p>
    <w:p>
      <w:pPr>
        <w:spacing w:after="0" w:line="57" w:lineRule="exact"/>
        <w:rPr>
          <w:sz w:val="20"/>
          <w:szCs w:val="20"/>
          <w:color w:val="auto"/>
        </w:rPr>
      </w:pPr>
    </w:p>
    <w:p>
      <w:pPr>
        <w:ind w:left="684" w:hanging="244"/>
        <w:spacing w:after="0"/>
        <w:tabs>
          <w:tab w:leader="none" w:pos="68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to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may be made without the prior written consent of the Manager and each of the Members;</w:t>
      </w:r>
    </w:p>
    <w:p>
      <w:pPr>
        <w:spacing w:after="0" w:line="117"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to any of the terms and conditions of this Agreement which terms and conditions expressly require the approval or action of certain Persons may be made without obtaining the consent of the requisite number or specified percentage of such Persons who are entitled to approve or take action on such matter; and</w:t>
      </w:r>
    </w:p>
    <w:p>
      <w:pPr>
        <w:spacing w:after="0" w:line="75" w:lineRule="exact"/>
        <w:rPr>
          <w:rFonts w:ascii="Arial" w:cs="Arial" w:eastAsia="Arial" w:hAnsi="Arial"/>
          <w:sz w:val="18"/>
          <w:szCs w:val="18"/>
          <w:color w:val="auto"/>
        </w:rPr>
      </w:pPr>
    </w:p>
    <w:p>
      <w:pPr>
        <w:ind w:left="4" w:right="60" w:firstLine="436"/>
        <w:spacing w:after="0" w:line="286" w:lineRule="auto"/>
        <w:tabs>
          <w:tab w:leader="none" w:pos="689"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to any of the terms and conditions of this Agreement which would (A) reduce the amounts distributable to a Member pursuant to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in a manner that is not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 respect to all Members, (B) increase the liabilities of such Member hereunder, (C) otherwise materially and adversely affect a holder of Units (with respect to such Units) in a manner materially disproportionate to any other holder of Units of the same class or series (with respect to such Units) (other than amendments, modifications and waivers necessary to implement the provisions of </w:t>
      </w:r>
      <w:r>
        <w:rPr>
          <w:rFonts w:ascii="Arial" w:cs="Arial" w:eastAsia="Arial" w:hAnsi="Arial"/>
          <w:sz w:val="16"/>
          <w:szCs w:val="16"/>
          <w:u w:val="single" w:color="auto"/>
          <w:color w:val="auto"/>
        </w:rPr>
        <w:t>Article XII</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ind w:left="4" w:right="80" w:hanging="4"/>
        <w:spacing w:after="0" w:line="255" w:lineRule="auto"/>
        <w:tabs>
          <w:tab w:leader="none" w:pos="29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materially and adversely affect the rights of any Member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w:t>
      </w:r>
      <w:r>
        <w:rPr>
          <w:rFonts w:ascii="Arial" w:cs="Arial" w:eastAsia="Arial" w:hAnsi="Arial"/>
          <w:sz w:val="18"/>
          <w:szCs w:val="18"/>
          <w:color w:val="auto"/>
        </w:rPr>
        <w:t>, shall be effective against such affected Member or holder of Units, as the case may be, without the prior written consent of such Member or holder of Units, as the case may be.</w:t>
      </w:r>
    </w:p>
    <w:p>
      <w:pPr>
        <w:spacing w:after="0" w:line="190"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 xml:space="preserve">Notwithstanding any of the foregoing, the Manager may make any amendment (i) of an administrative nature that is necessary in order to implement the substantive provisions hereof, without the consent of any other Member; </w:t>
      </w:r>
      <w:r>
        <w:rPr>
          <w:rFonts w:ascii="Arial" w:cs="Arial" w:eastAsia="Arial" w:hAnsi="Arial"/>
          <w:sz w:val="18"/>
          <w:szCs w:val="18"/>
          <w:i w:val="1"/>
          <w:iCs w:val="1"/>
          <w:color w:val="auto"/>
        </w:rPr>
        <w:t>provided</w:t>
      </w:r>
      <w:r>
        <w:rPr>
          <w:rFonts w:ascii="Arial" w:cs="Arial" w:eastAsia="Arial" w:hAnsi="Arial"/>
          <w:sz w:val="18"/>
          <w:szCs w:val="18"/>
          <w:color w:val="auto"/>
        </w:rPr>
        <w:t>, that any such amendment does not adversely change the rights of the Members hereunder in any respect, or (ii) to reflect any changes to the Class A Common Stock or Class B Common Stock or the issuance of any other capital stock of the Corporation.</w:t>
      </w:r>
    </w:p>
    <w:p>
      <w:pPr>
        <w:spacing w:after="0" w:line="187"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u w:val="single" w:color="auto"/>
          <w:color w:val="auto"/>
        </w:rPr>
        <w:t>Section 15.04 Title to Company Assets</w:t>
      </w:r>
      <w:r>
        <w:rPr>
          <w:rFonts w:ascii="Arial" w:cs="Arial" w:eastAsia="Arial" w:hAnsi="Arial"/>
          <w:sz w:val="16"/>
          <w:szCs w:val="16"/>
          <w:color w:val="auto"/>
        </w:rPr>
        <w:t>. Company assets shall be owned by the Company as an entity, and no Member, individually or collectively, shall have any ownership interest in such assets of the Company or any portion thereof. The Company shall hold title to all of its property in the name of the Company and not in the name of any Member. All assets of the Company shall be recorded as the property of the Company on its books and records, irrespective of the name in which legal title to such assets is held. The Company’s credit and assets shall be used solely for the benefit of the Company, and no asset of the Company shall be transferred or encumbered for, or in payment of, any individual obligation of any Member.</w:t>
      </w:r>
    </w:p>
    <w:p>
      <w:pPr>
        <w:spacing w:after="0" w:line="16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u w:val="single" w:color="auto"/>
          <w:color w:val="auto"/>
        </w:rPr>
        <w:t>Section 15.05 Addresses and Notices</w:t>
      </w:r>
      <w:r>
        <w:rPr>
          <w:rFonts w:ascii="Arial" w:cs="Arial" w:eastAsia="Arial" w:hAnsi="Arial"/>
          <w:sz w:val="18"/>
          <w:szCs w:val="18"/>
          <w:color w:val="auto"/>
        </w:rPr>
        <w:t>. All notices and other communications to be given to any party hereunder shall be sufficiently given for all purposes hereunder if in writing and delivered by hand, courier or overnight delivery service, or when received in the form of an electronic transmission (receipt confirmation requested), and shall be directed to the address set forth, or at such address or to the attention of such other person as the recipient party has specified by prior written notice to the Company or the sending party.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GoHealth Holdings,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GoHealth,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Brian Farley; Brad Burd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####@gohealth.com; ####@gohealth.com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copy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Ian D. Schuman, Stelios Saffos, Jonathan Solomon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####@lw.com; ####@lw.com; ####@lw.com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Corporation: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Brian Farley; Brad Burd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####@gohealth.com; ####@gohealth.com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copy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Ian D. Schuman, Stelios Saffos, Jonathan Solomon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####@lw.com; ####@lw.com; ####@lw.com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Members,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u w:val="single" w:color="auto"/>
          <w:color w:val="auto"/>
        </w:rPr>
        <w:t>Section 15.06 Binding Effect; Intended Beneficiaries</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u w:val="single" w:color="auto"/>
          <w:color w:val="auto"/>
        </w:rPr>
        <w:t>Section 15.07 Creditors</w:t>
      </w:r>
      <w:r>
        <w:rPr>
          <w:rFonts w:ascii="Arial" w:cs="Arial" w:eastAsia="Arial" w:hAnsi="Arial"/>
          <w:sz w:val="17"/>
          <w:szCs w:val="17"/>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Profits, Losses, Distributions, capital or property of the Company other than as a secured creditor.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139" w:name="page140"/>
    <w:bookmarkEnd w:id="139"/>
    <w:p>
      <w:pPr>
        <w:ind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15.08 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u w:val="single" w:color="auto"/>
          <w:color w:val="auto"/>
        </w:rPr>
        <w:t>Section 15.09 Counterparts</w:t>
      </w:r>
      <w:r>
        <w:rPr>
          <w:rFonts w:ascii="Arial" w:cs="Arial" w:eastAsia="Arial" w:hAnsi="Arial"/>
          <w:sz w:val="18"/>
          <w:szCs w:val="18"/>
          <w:color w:val="auto"/>
        </w:rPr>
        <w:t>. This Agreement may be executed in separate counterparts, each of which will be an original and all of which together shall constitute one and the same agreement binding on all the parties hereto.</w:t>
      </w:r>
    </w:p>
    <w:p>
      <w:pPr>
        <w:spacing w:after="0" w:line="170"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u w:val="single" w:color="auto"/>
          <w:color w:val="auto"/>
        </w:rPr>
        <w:t>Section 15.10 Applicable Law</w:t>
      </w:r>
      <w:r>
        <w:rPr>
          <w:rFonts w:ascii="Arial" w:cs="Arial" w:eastAsia="Arial" w:hAnsi="Arial"/>
          <w:sz w:val="17"/>
          <w:szCs w:val="17"/>
          <w:color w:val="auto"/>
        </w:rPr>
        <w:t xml:space="preserve">.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suit, dispute, action or proceeding seeking to enforce any provision of, or based on any matter arising out of or in connection with, this Agreement shall be heard in the state or federal courts of the State of Delaware, and the parties hereby consent to the exclusive jurisdiction of such court (and of the appropriate appellate courts) in any such suit, action or proceeding and waives any objection to venue laid therein. TO THE FULLEST EXTENT PERMITTED BY APPLICABLE LAW, PROCESS IN ANY SUCH SUIT, ACTION OR PROCEEDING MAY BE SERVED ON ANY PARTY ANYWHERE IN THE WORLD, WHETHER WITHIN OR WITHOUT THE JURISDICTION OF ANY SUCH COURT (INCLUDING BY PREPAID CERTIFIED MAIL WITH A VALIDATED PROOF OF MAILING RECEIPT) AND SHALL HAVE THE SAME LEGAL FORCE AND EFFECT AS IF SERVED UPON SUCH PARTY PERSONALLY WITHIN THE STATE OF DELAWARE. WITHOUT LIMITING THE FOREGOING, TO THE FULLEST EXTENT PERMITTED BY LAW, THE PARTIES AGREE THAT SERVICE OF PROCESS UPON SUCH PARTY AT THE ADDRESS REFERRED TO IN </w:t>
      </w:r>
      <w:r>
        <w:rPr>
          <w:rFonts w:ascii="Arial" w:cs="Arial" w:eastAsia="Arial" w:hAnsi="Arial"/>
          <w:sz w:val="17"/>
          <w:szCs w:val="17"/>
          <w:u w:val="single" w:color="auto"/>
          <w:color w:val="auto"/>
        </w:rPr>
        <w:t>SECTION 15.05</w:t>
      </w:r>
      <w:r>
        <w:rPr>
          <w:rFonts w:ascii="Arial" w:cs="Arial" w:eastAsia="Arial" w:hAnsi="Arial"/>
          <w:sz w:val="17"/>
          <w:szCs w:val="17"/>
          <w:color w:val="auto"/>
        </w:rPr>
        <w:t xml:space="preserve"> (INCLUDING BY PREPAID CERTIFIED MAIL WITH A VALIDATED PROOF OF MAILING RECEIPT), TOGETHER WITH WRITTEN NOTICE OF SUCH SERVICE TO SUCH PARTY, SHALL BE DEEMED EFFECTIVE SERVICE OF PROCESS UPON SUCH PARTY.</w:t>
      </w:r>
    </w:p>
    <w:p>
      <w:pPr>
        <w:spacing w:after="0" w:line="18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u w:val="single" w:color="auto"/>
          <w:color w:val="auto"/>
        </w:rPr>
        <w:t>Section 15.11 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u w:val="single" w:color="auto"/>
          <w:color w:val="auto"/>
        </w:rPr>
        <w:t>Section 15.12 Further Action</w:t>
      </w:r>
      <w:r>
        <w:rPr>
          <w:rFonts w:ascii="Arial" w:cs="Arial" w:eastAsia="Arial" w:hAnsi="Arial"/>
          <w:sz w:val="18"/>
          <w:szCs w:val="18"/>
          <w:color w:val="auto"/>
        </w:rPr>
        <w:t>. The parties shall execute and deliver all documents, provide all information and take or refrain from taking such actions as may be necessary or appropriate to achieve the purposes of this Agreement.</w:t>
      </w:r>
    </w:p>
    <w:p>
      <w:pPr>
        <w:spacing w:after="0" w:line="170"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u w:val="single" w:color="auto"/>
          <w:color w:val="auto"/>
        </w:rPr>
        <w:t>Section 15.13 Execution and Delivery by Electronic Signature and Electronic Transmission</w:t>
      </w:r>
      <w:r>
        <w:rPr>
          <w:rFonts w:ascii="Arial" w:cs="Arial" w:eastAsia="Arial" w:hAnsi="Arial"/>
          <w:sz w:val="18"/>
          <w:szCs w:val="18"/>
          <w:color w:val="auto"/>
        </w:rPr>
        <w:t>. This Agreement and any signed agreement or instrument entered into in connection with this Agreement or contemplated hereby or entered into by the Company in accordance herewith, and any amendments hereto or thereto, to the extent signed and delivered by means of an electronic signature and/or electronic transmission, including by a facsimile machine or via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140" w:name="page141"/>
    <w:bookmarkEnd w:id="140"/>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signature or electronic transmission to execute and/or deliver a document or the fact that any signature or agreement or instrument was transmitted or communicated through such electronic transmission as a defense to the formation of a contract and each such party forever waives any such defense.</w:t>
      </w:r>
    </w:p>
    <w:p>
      <w:pPr>
        <w:spacing w:after="0" w:line="192" w:lineRule="exact"/>
        <w:rPr>
          <w:sz w:val="20"/>
          <w:szCs w:val="20"/>
          <w:color w:val="auto"/>
        </w:rPr>
      </w:pPr>
    </w:p>
    <w:p>
      <w:pPr>
        <w:jc w:val="both"/>
        <w:ind w:right="220" w:firstLine="440"/>
        <w:spacing w:after="0" w:line="311" w:lineRule="auto"/>
        <w:rPr>
          <w:sz w:val="20"/>
          <w:szCs w:val="20"/>
          <w:color w:val="auto"/>
        </w:rPr>
      </w:pPr>
      <w:r>
        <w:rPr>
          <w:rFonts w:ascii="Arial" w:cs="Arial" w:eastAsia="Arial" w:hAnsi="Arial"/>
          <w:sz w:val="16"/>
          <w:szCs w:val="16"/>
          <w:u w:val="single" w:color="auto"/>
          <w:color w:val="auto"/>
        </w:rPr>
        <w:t>Section 15.14 Right of Offset</w:t>
      </w:r>
      <w:r>
        <w:rPr>
          <w:rFonts w:ascii="Arial" w:cs="Arial" w:eastAsia="Arial" w:hAnsi="Arial"/>
          <w:sz w:val="16"/>
          <w:szCs w:val="16"/>
          <w:color w:val="auto"/>
        </w:rPr>
        <w:t xml:space="preserve">. Whenever the Company or the Corporation is to pay any sum (other than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to any Member, any amounts that such Member owes to the Company or the Corporation which are not the subject of a good faith dispute may be deducted from that sum before payment. For the avoidance of doubt, the distribution of Units to the Corporation shall not be subject to this </w:t>
      </w:r>
      <w:r>
        <w:rPr>
          <w:rFonts w:ascii="Arial" w:cs="Arial" w:eastAsia="Arial" w:hAnsi="Arial"/>
          <w:sz w:val="16"/>
          <w:szCs w:val="16"/>
          <w:u w:val="single" w:color="auto"/>
          <w:color w:val="auto"/>
        </w:rPr>
        <w:t>Section 15.14</w:t>
      </w:r>
      <w:r>
        <w:rPr>
          <w:rFonts w:ascii="Arial" w:cs="Arial" w:eastAsia="Arial" w:hAnsi="Arial"/>
          <w:sz w:val="16"/>
          <w:szCs w:val="16"/>
          <w:color w:val="auto"/>
        </w:rPr>
        <w:t>.</w:t>
      </w:r>
    </w:p>
    <w:p>
      <w:pPr>
        <w:spacing w:after="0" w:line="14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u w:val="single" w:color="auto"/>
          <w:color w:val="auto"/>
        </w:rPr>
        <w:t>Section 15.15 Entire Agreement</w:t>
      </w:r>
      <w:r>
        <w:rPr>
          <w:rFonts w:ascii="Arial" w:cs="Arial" w:eastAsia="Arial" w:hAnsi="Arial"/>
          <w:sz w:val="17"/>
          <w:szCs w:val="17"/>
          <w:color w:val="auto"/>
        </w:rPr>
        <w:t>. This Agreement, those documents expressly referred to herein (including the Stockholders Agreement, the Registration Rights Agreement and the Tax Receivable Agreement), any indemnity agreements entered into in connection with the Initial LLC Agreement with any member of the board of directors at that time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For the avoidance of doubt, the Initial LLC Agreement is superseded by this Agreement as of the Effective Date and shall be of no further force and effect thereafter.</w:t>
      </w:r>
    </w:p>
    <w:p>
      <w:pPr>
        <w:spacing w:after="0" w:line="17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u w:val="single" w:color="auto"/>
          <w:color w:val="auto"/>
        </w:rPr>
        <w:t>Section 15.16 Remedies</w:t>
      </w:r>
      <w:r>
        <w:rPr>
          <w:rFonts w:ascii="Arial" w:cs="Arial" w:eastAsia="Arial" w:hAnsi="Arial"/>
          <w:sz w:val="18"/>
          <w:szCs w:val="18"/>
          <w:color w:val="auto"/>
        </w:rPr>
        <w:t>. Each Member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8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u w:val="single" w:color="auto"/>
          <w:color w:val="auto"/>
        </w:rPr>
        <w:t>Section 15.17 Descriptive Headings; Interpretation</w:t>
      </w:r>
      <w:r>
        <w:rPr>
          <w:rFonts w:ascii="Arial" w:cs="Arial" w:eastAsia="Arial" w:hAnsi="Arial"/>
          <w:sz w:val="17"/>
          <w:szCs w:val="17"/>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use of the words “or,” “either”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141" w:name="page142"/>
    <w:bookmarkEnd w:id="141"/>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80"/>
          </w:cols>
          <w:pgMar w:left="440" w:top="274" w:right="579" w:bottom="1440" w:gutter="0" w:footer="0" w:header="0"/>
        </w:sectPr>
      </w:pPr>
    </w:p>
    <w:bookmarkStart w:id="142" w:name="page143"/>
    <w:bookmarkEnd w:id="142"/>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have executed or caused to be executed on their behalf this Second Amended and Restated Limited Liability Company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GOHEALTH HOLDINGS, LLC</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Blizzard Aggregator, LLC,</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Managing Member</w:t>
      </w:r>
    </w:p>
    <w:p>
      <w:pPr>
        <w:spacing w:after="0" w:line="1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Manager</w:t>
      </w:r>
    </w:p>
    <w:p>
      <w:pPr>
        <w:spacing w:after="0" w:line="224" w:lineRule="exact"/>
        <w:rPr>
          <w:sz w:val="20"/>
          <w:szCs w:val="20"/>
          <w:color w:val="auto"/>
        </w:rPr>
      </w:pPr>
    </w:p>
    <w:tbl>
      <w:tblPr>
        <w:tblLayout w:type="fixed"/>
        <w:tblInd w:w="72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Jeremy W. Gelber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18"/>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GOHEALTH, INC.</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Clinton P. Jones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MEMBERS:</w:t>
      </w:r>
    </w:p>
    <w:p>
      <w:pPr>
        <w:spacing w:after="0" w:line="117"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NVX HOLDINGS, INC.</w:t>
      </w:r>
    </w:p>
    <w:p>
      <w:pPr>
        <w:spacing w:after="0" w:line="27" w:lineRule="exact"/>
        <w:rPr>
          <w:sz w:val="20"/>
          <w:szCs w:val="20"/>
          <w:color w:val="auto"/>
        </w:rPr>
      </w:pPr>
    </w:p>
    <w:tbl>
      <w:tblPr>
        <w:tblLayout w:type="fixed"/>
        <w:tblInd w:w="720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Brandon M. Cruz</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r>
              <w:rPr>
                <w:rFonts w:ascii="Arial" w:cs="Arial" w:eastAsia="Arial" w:hAnsi="Arial"/>
                <w:sz w:val="18"/>
                <w:szCs w:val="18"/>
                <w:color w:val="auto"/>
              </w:rPr>
              <w:t>President</w:t>
            </w:r>
          </w:p>
        </w:tc>
      </w:tr>
      <w:tr>
        <w:trPr>
          <w:trHeight w:val="3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BCCJ, LLC</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Brandon M. Cruz</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90"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BLIZZARD AGGREGATOR, LLC</w:t>
      </w:r>
    </w:p>
    <w:p>
      <w:pPr>
        <w:spacing w:after="0" w:line="1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Manager</w:t>
      </w:r>
    </w:p>
    <w:p>
      <w:pPr>
        <w:spacing w:after="0" w:line="116"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14605</wp:posOffset>
            </wp:positionV>
            <wp:extent cx="19799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Name:</w:t>
        <w:tab/>
        <w:t>Jeremy W. Gelber</w:t>
      </w:r>
    </w:p>
    <w:p>
      <w:pPr>
        <w:spacing w:after="0" w:line="23"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99"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BLIZZARD MANAGEMENT FEEDER, LLC</w:t>
      </w:r>
    </w:p>
    <w:p>
      <w:pPr>
        <w:spacing w:after="0" w:line="13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Manager</w:t>
      </w:r>
    </w:p>
    <w:p>
      <w:pPr>
        <w:spacing w:after="0" w:line="9"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14605</wp:posOffset>
            </wp:positionV>
            <wp:extent cx="19799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5"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Name:</w:t>
        <w:tab/>
        <w:t>Jeremy W. Gelber</w:t>
      </w:r>
    </w:p>
    <w:p>
      <w:pPr>
        <w:spacing w:after="0" w:line="23"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9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GREINER INVESTMENTS, LLC</w:t>
      </w:r>
    </w:p>
    <w:p>
      <w:pPr>
        <w:spacing w:after="0" w:line="27"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14605</wp:posOffset>
            </wp:positionV>
            <wp:extent cx="19799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5"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Name:</w:t>
        <w:tab/>
        <w:t>Jeffrey Greiner</w:t>
      </w:r>
    </w:p>
    <w:p>
      <w:pPr>
        <w:spacing w:after="0" w:line="23"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126"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MEMBER:</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Alexander E.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2425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Name:</w:t>
        <w:tab/>
        <w:t>Alexander E. Timm</w:t>
      </w:r>
    </w:p>
    <w:p>
      <w:pPr>
        <w:spacing w:after="0" w:line="11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MEMBER:</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Joseph G.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5715</wp:posOffset>
            </wp:positionV>
            <wp:extent cx="2425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Name:</w:t>
        <w:tab/>
        <w:t>Joseph G. Flanagan</w:t>
      </w:r>
    </w:p>
    <w:p>
      <w:pPr>
        <w:spacing w:after="0" w:line="11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MEMBER:</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Rahm Emanuel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5" w:lineRule="exact"/>
        <w:rPr>
          <w:sz w:val="20"/>
          <w:szCs w:val="20"/>
          <w:color w:val="auto"/>
        </w:rPr>
      </w:pPr>
    </w:p>
    <w:p>
      <w:pPr>
        <w:ind w:left="7200"/>
        <w:spacing w:after="0"/>
        <w:tabs>
          <w:tab w:leader="none" w:pos="7880" w:val="left"/>
        </w:tabs>
        <w:rPr>
          <w:sz w:val="20"/>
          <w:szCs w:val="20"/>
          <w:color w:val="auto"/>
        </w:rPr>
      </w:pPr>
      <w:r>
        <w:rPr>
          <w:rFonts w:ascii="Arial" w:cs="Arial" w:eastAsia="Arial" w:hAnsi="Arial"/>
          <w:sz w:val="18"/>
          <w:szCs w:val="18"/>
          <w:color w:val="auto"/>
        </w:rPr>
        <w:t>Name:</w:t>
        <w:tab/>
        <w:t>Rahm Emanuel</w:t>
      </w:r>
    </w:p>
    <w:p>
      <w:pPr>
        <w:spacing w:after="0" w:line="11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NORWEST EQUITY PARTNERS IX, LP</w:t>
      </w:r>
    </w:p>
    <w:p>
      <w:pPr>
        <w:spacing w:after="0" w:line="1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ITASCA PARTNERS IX, LLC</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Norwest Venture Capital Management, Inc.</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Managing Member</w:t>
      </w:r>
    </w:p>
    <w:p>
      <w:pPr>
        <w:spacing w:after="0" w:line="10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Timothy C. DeVries</w:t>
      </w:r>
    </w:p>
    <w:p>
      <w:pPr>
        <w:spacing w:after="0" w:line="23" w:lineRule="exact"/>
        <w:rPr>
          <w:sz w:val="20"/>
          <w:szCs w:val="20"/>
          <w:color w:val="auto"/>
        </w:rPr>
      </w:pPr>
    </w:p>
    <w:tbl>
      <w:tblPr>
        <w:tblLayout w:type="fixed"/>
        <w:tblInd w:w="7200" w:type="dxa"/>
        <w:tblCellMar>
          <w:top w:w="0" w:type="dxa"/>
          <w:left w:w="0" w:type="dxa"/>
          <w:bottom w:w="0" w:type="dxa"/>
          <w:right w:w="0" w:type="dxa"/>
        </w:tblCellMar>
      </w:tblPr>
      <w:tr>
        <w:trPr>
          <w:trHeight w:val="209"/>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Timothy C. DeVries</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2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OWL ROCK GH I LLC</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Maged</w:t>
            </w:r>
          </w:p>
        </w:tc>
      </w:tr>
    </w:tbl>
    <w:p>
      <w:pPr>
        <w:sectPr>
          <w:pgSz w:w="11900" w:h="16838" w:orient="portrait"/>
          <w:cols w:equalWidth="0" w:num="1">
            <w:col w:w="11020"/>
          </w:cols>
          <w:pgMar w:left="440" w:top="274" w:right="439" w:bottom="0" w:gutter="0" w:footer="0" w:header="0"/>
        </w:sectPr>
      </w:pPr>
    </w:p>
    <w:bookmarkStart w:id="143" w:name="page144"/>
    <w:bookmarkEnd w:id="143"/>
    <w:p>
      <w:pPr>
        <w:spacing w:after="0" w:line="1"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Alexis Maged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32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OWL ROCK GH II LLC</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Maged</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120" w:type="dxa"/>
            <w:vAlign w:val="bottom"/>
          </w:tcPr>
          <w:p>
            <w:pPr>
              <w:spacing w:after="0"/>
              <w:rPr>
                <w:sz w:val="20"/>
                <w:szCs w:val="20"/>
                <w:color w:val="auto"/>
              </w:rPr>
            </w:pPr>
            <w:r>
              <w:rPr>
                <w:rFonts w:ascii="Arial" w:cs="Arial" w:eastAsia="Arial" w:hAnsi="Arial"/>
                <w:sz w:val="18"/>
                <w:szCs w:val="18"/>
                <w:color w:val="auto"/>
              </w:rPr>
              <w:t>Alexis Maged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[Signature Page to Second Amended and Restated Limited Liability Company Agreement]</w:t>
      </w:r>
    </w:p>
    <w:p>
      <w:pPr>
        <w:sectPr>
          <w:pgSz w:w="11900" w:h="16838" w:orient="portrait"/>
          <w:cols w:equalWidth="0" w:num="1">
            <w:col w:w="10020"/>
          </w:cols>
          <w:pgMar w:left="1440" w:top="125" w:right="43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OF PRE-IPO MEMBERS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Senior</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Preferred</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Arial" w:cs="Arial" w:eastAsia="Arial" w:hAnsi="Arial"/>
                <w:sz w:val="14"/>
                <w:szCs w:val="14"/>
                <w:color w:val="auto"/>
                <w:w w:val="93"/>
              </w:rPr>
              <w:t>Member</w:t>
            </w:r>
          </w:p>
        </w:tc>
        <w:tc>
          <w:tcPr>
            <w:tcW w:w="4560" w:type="dxa"/>
            <w:vAlign w:val="bottom"/>
            <w:vMerge w:val="restart"/>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Earnout</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Class A Common</w:t>
            </w: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Class B</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0" w:type="dxa"/>
            <w:vAlign w:val="bottom"/>
            <w:tcBorders>
              <w:bottom w:val="single" w:sz="8" w:color="auto"/>
            </w:tcBorders>
            <w:vMerge w:val="continue"/>
          </w:tcPr>
          <w:p>
            <w:pPr>
              <w:spacing w:after="0"/>
              <w:rPr>
                <w:sz w:val="15"/>
                <w:szCs w:val="15"/>
                <w:color w:val="auto"/>
              </w:rPr>
            </w:pPr>
          </w:p>
        </w:tc>
        <w:tc>
          <w:tcPr>
            <w:tcW w:w="4560" w:type="dxa"/>
            <w:vAlign w:val="bottom"/>
            <w:vMerge w:val="continue"/>
          </w:tcPr>
          <w:p>
            <w:pPr>
              <w:spacing w:after="0"/>
              <w:rPr>
                <w:sz w:val="15"/>
                <w:szCs w:val="15"/>
                <w:color w:val="auto"/>
              </w:rPr>
            </w:pPr>
          </w:p>
        </w:tc>
        <w:tc>
          <w:tcPr>
            <w:tcW w:w="70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3"/>
              </w:rPr>
              <w:t>Units</w:t>
            </w:r>
          </w:p>
        </w:tc>
        <w:tc>
          <w:tcPr>
            <w:tcW w:w="1360" w:type="dxa"/>
            <w:vAlign w:val="bottom"/>
            <w:gridSpan w:val="2"/>
          </w:tcPr>
          <w:p>
            <w:pPr>
              <w:ind w:left="160"/>
              <w:spacing w:after="0" w:line="154" w:lineRule="exact"/>
              <w:rPr>
                <w:sz w:val="20"/>
                <w:szCs w:val="20"/>
                <w:color w:val="auto"/>
              </w:rPr>
            </w:pPr>
            <w:r>
              <w:rPr>
                <w:rFonts w:ascii="Arial" w:cs="Arial" w:eastAsia="Arial" w:hAnsi="Arial"/>
                <w:sz w:val="14"/>
                <w:szCs w:val="14"/>
                <w:color w:val="auto"/>
              </w:rPr>
              <w:t>Preferred Units</w:t>
            </w:r>
          </w:p>
        </w:tc>
        <w:tc>
          <w:tcPr>
            <w:tcW w:w="1360" w:type="dxa"/>
            <w:vAlign w:val="bottom"/>
            <w:gridSpan w:val="2"/>
          </w:tcPr>
          <w:p>
            <w:pPr>
              <w:jc w:val="right"/>
              <w:ind w:right="600"/>
              <w:spacing w:after="0" w:line="154" w:lineRule="exact"/>
              <w:rPr>
                <w:sz w:val="20"/>
                <w:szCs w:val="20"/>
                <w:color w:val="auto"/>
              </w:rPr>
            </w:pPr>
            <w:r>
              <w:rPr>
                <w:rFonts w:ascii="Arial" w:cs="Arial" w:eastAsia="Arial" w:hAnsi="Arial"/>
                <w:sz w:val="14"/>
                <w:szCs w:val="14"/>
                <w:color w:val="auto"/>
              </w:rPr>
              <w:t>Units</w:t>
            </w:r>
          </w:p>
        </w:tc>
        <w:tc>
          <w:tcPr>
            <w:tcW w:w="136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5"/>
              </w:rPr>
              <w:t>Common Units</w:t>
            </w:r>
          </w:p>
        </w:tc>
        <w:tc>
          <w:tcPr>
            <w:tcW w:w="118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Profits Units</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GoHealth, Inc.</w:t>
            </w:r>
          </w:p>
        </w:tc>
        <w:tc>
          <w:tcPr>
            <w:tcW w:w="54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94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Blizzard Aggregator, LLC</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541,263,042.16</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NVX Holdings, Inc.</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351,179,650.48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Norwest Equity Partners IX, LP</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110,746,709.56</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BCCJ, LLC</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166,031.97</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Greiner Investments, LLC</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2,117,202.09</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Blizzard Management Feeder, LLC</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37,842,155.91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84,395,025.00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OR GH I LLC</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5,454,545.47</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 GH II LLC</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1,212,121.20</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Rahm Emanuel</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729,490.00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E. Timm</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486,653.00</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Joseph G. Flanagan</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486,653.00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MEMBERS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9019"/>
          </w:cols>
          <w:pgMar w:left="1440" w:top="270"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960" w:type="dxa"/>
            <w:vAlign w:val="bottom"/>
            <w:vMerge w:val="restart"/>
          </w:tcPr>
          <w:p>
            <w:pPr>
              <w:jc w:val="center"/>
              <w:ind w:left="3968"/>
              <w:spacing w:after="0"/>
              <w:rPr>
                <w:sz w:val="20"/>
                <w:szCs w:val="20"/>
                <w:color w:val="auto"/>
              </w:rPr>
            </w:pPr>
            <w:r>
              <w:rPr>
                <w:rFonts w:ascii="Arial" w:cs="Arial" w:eastAsia="Arial" w:hAnsi="Arial"/>
                <w:sz w:val="14"/>
                <w:szCs w:val="14"/>
                <w:b w:val="1"/>
                <w:bCs w:val="1"/>
                <w:color w:val="auto"/>
                <w:w w:val="92"/>
              </w:rPr>
              <w:t>Common</w:t>
            </w:r>
          </w:p>
        </w:tc>
        <w:tc>
          <w:tcPr>
            <w:tcW w:w="124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Cash Received in</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Member</w:t>
            </w:r>
          </w:p>
        </w:tc>
        <w:tc>
          <w:tcPr>
            <w:tcW w:w="4960" w:type="dxa"/>
            <w:vAlign w:val="bottom"/>
            <w:vMerge w:val="continue"/>
          </w:tcPr>
          <w:p>
            <w:pPr>
              <w:spacing w:after="0"/>
              <w:rPr>
                <w:sz w:val="12"/>
                <w:szCs w:val="12"/>
                <w:color w:val="auto"/>
              </w:rPr>
            </w:pPr>
          </w:p>
        </w:tc>
        <w:tc>
          <w:tcPr>
            <w:tcW w:w="12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63"/>
        </w:trPr>
        <w:tc>
          <w:tcPr>
            <w:tcW w:w="540" w:type="dxa"/>
            <w:vAlign w:val="bottom"/>
            <w:tcBorders>
              <w:bottom w:val="single" w:sz="8" w:color="auto"/>
            </w:tcBorders>
            <w:vMerge w:val="continue"/>
          </w:tcPr>
          <w:p>
            <w:pPr>
              <w:spacing w:after="0"/>
              <w:rPr>
                <w:sz w:val="13"/>
                <w:szCs w:val="13"/>
                <w:color w:val="auto"/>
              </w:rPr>
            </w:pPr>
          </w:p>
        </w:tc>
        <w:tc>
          <w:tcPr>
            <w:tcW w:w="4960" w:type="dxa"/>
            <w:vAlign w:val="bottom"/>
          </w:tcPr>
          <w:p>
            <w:pPr>
              <w:jc w:val="center"/>
              <w:ind w:left="3968"/>
              <w:spacing w:after="0" w:line="158" w:lineRule="exact"/>
              <w:rPr>
                <w:sz w:val="20"/>
                <w:szCs w:val="20"/>
                <w:color w:val="auto"/>
              </w:rPr>
            </w:pPr>
            <w:r>
              <w:rPr>
                <w:rFonts w:ascii="Arial" w:cs="Arial" w:eastAsia="Arial" w:hAnsi="Arial"/>
                <w:sz w:val="14"/>
                <w:szCs w:val="14"/>
                <w:b w:val="1"/>
                <w:bCs w:val="1"/>
                <w:color w:val="auto"/>
                <w:w w:val="91"/>
              </w:rPr>
              <w:t>Units</w:t>
            </w:r>
          </w:p>
        </w:tc>
        <w:tc>
          <w:tcPr>
            <w:tcW w:w="124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auto"/>
                <w:w w:val="93"/>
              </w:rPr>
              <w:t>Recapitalization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5657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GoHealth, Inc.</w:t>
      </w:r>
    </w:p>
    <w:p>
      <w:pPr>
        <w:spacing w:after="0" w:line="200" w:lineRule="exact"/>
        <w:rPr>
          <w:sz w:val="20"/>
          <w:szCs w:val="20"/>
          <w:color w:val="auto"/>
        </w:rPr>
      </w:pPr>
    </w:p>
    <w:p>
      <w:pPr>
        <w:spacing w:after="0" w:line="254" w:lineRule="exact"/>
        <w:rPr>
          <w:sz w:val="20"/>
          <w:szCs w:val="20"/>
          <w:color w:val="auto"/>
        </w:rPr>
      </w:pPr>
    </w:p>
    <w:p>
      <w:pPr>
        <w:jc w:val="both"/>
        <w:ind w:left="4660"/>
        <w:spacing w:after="0"/>
        <w:tabs>
          <w:tab w:leader="none" w:pos="6480" w:val="left"/>
        </w:tabs>
        <w:rPr>
          <w:sz w:val="20"/>
          <w:szCs w:val="20"/>
          <w:color w:val="auto"/>
        </w:rPr>
      </w:pPr>
      <w:r>
        <w:rPr>
          <w:rFonts w:ascii="Arial" w:cs="Arial" w:eastAsia="Arial" w:hAnsi="Arial"/>
          <w:sz w:val="18"/>
          <w:szCs w:val="18"/>
          <w:color w:val="auto"/>
        </w:rPr>
        <w:t>84,182,961</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Blizzard Aggregator, LLC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4660"/>
        <w:spacing w:after="0"/>
        <w:tabs>
          <w:tab w:leader="none" w:pos="6480" w:val="left"/>
        </w:tabs>
        <w:rPr>
          <w:sz w:val="20"/>
          <w:szCs w:val="20"/>
          <w:color w:val="auto"/>
        </w:rPr>
      </w:pPr>
      <w:r>
        <w:rPr>
          <w:rFonts w:ascii="Arial" w:cs="Arial" w:eastAsia="Arial" w:hAnsi="Arial"/>
          <w:sz w:val="18"/>
          <w:szCs w:val="18"/>
          <w:color w:val="auto"/>
        </w:rPr>
        <w:t>80,792,677</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557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NVX Holdings, Inc.</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Contact Information for Notice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214 West Huron 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Legal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#####@gohealth.com</w:t>
      </w:r>
    </w:p>
    <w:p>
      <w:pPr>
        <w:spacing w:after="0" w:line="9" w:lineRule="exact"/>
        <w:rPr>
          <w:sz w:val="20"/>
          <w:szCs w:val="20"/>
          <w:color w:val="auto"/>
        </w:rPr>
      </w:pPr>
    </w:p>
    <w:p>
      <w:pPr>
        <w:ind w:right="1860"/>
        <w:spacing w:after="0" w:line="286" w:lineRule="auto"/>
        <w:rPr>
          <w:sz w:val="20"/>
          <w:szCs w:val="20"/>
          <w:color w:val="auto"/>
        </w:rPr>
      </w:pPr>
      <w:r>
        <w:rPr>
          <w:rFonts w:ascii="Arial" w:cs="Arial" w:eastAsia="Arial" w:hAnsi="Arial"/>
          <w:sz w:val="16"/>
          <w:szCs w:val="16"/>
          <w:color w:val="auto"/>
        </w:rPr>
        <w:t>c/o Centerbridge Partners, L.P. 375 Park Avenue, 11th Floor New York, New York 10152 Attn: Susanne V. Clark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#####@centerbridge.com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West Huron 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Brandon M. Cruz</w:t>
      </w:r>
    </w:p>
    <w:p>
      <w:pPr>
        <w:spacing w:after="0" w:line="9" w:lineRule="exact"/>
        <w:rPr>
          <w:sz w:val="20"/>
          <w:szCs w:val="20"/>
          <w:color w:val="auto"/>
        </w:rPr>
      </w:pPr>
    </w:p>
    <w:p>
      <w:pPr>
        <w:sectPr>
          <w:pgSz w:w="11900" w:h="16838" w:orient="portrait"/>
          <w:cols w:equalWidth="0" w:num="2">
            <w:col w:w="6740" w:space="200"/>
            <w:col w:w="4080"/>
          </w:cols>
          <w:pgMar w:left="440" w:top="253" w:right="439" w:bottom="1440" w:gutter="0" w:footer="0" w:header="0"/>
        </w:sectPr>
      </w:pPr>
    </w:p>
    <w:tbl>
      <w:tblPr>
        <w:tblLayout w:type="fixed"/>
        <w:tblInd w:w="0" w:type="dxa"/>
        <w:tblCellMar>
          <w:top w:w="0" w:type="dxa"/>
          <w:left w:w="0" w:type="dxa"/>
          <w:bottom w:w="0" w:type="dxa"/>
          <w:right w:w="0" w:type="dxa"/>
        </w:tblCellMar>
      </w:tblPr>
      <w:tr>
        <w:trPr>
          <w:trHeight w:val="215"/>
        </w:trPr>
        <w:tc>
          <w:tcPr>
            <w:tcW w:w="5560" w:type="dxa"/>
            <w:vAlign w:val="bottom"/>
          </w:tcPr>
          <w:p>
            <w:pPr>
              <w:jc w:val="right"/>
              <w:spacing w:after="0"/>
              <w:rPr>
                <w:sz w:val="20"/>
                <w:szCs w:val="20"/>
                <w:color w:val="auto"/>
              </w:rPr>
            </w:pPr>
            <w:r>
              <w:rPr>
                <w:rFonts w:ascii="Arial" w:cs="Arial" w:eastAsia="Arial" w:hAnsi="Arial"/>
                <w:sz w:val="18"/>
                <w:szCs w:val="18"/>
                <w:color w:val="auto"/>
              </w:rPr>
              <w:t>92,677,981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w w:val="88"/>
              </w:rPr>
              <w:t>69,948,894.80</w:t>
            </w:r>
          </w:p>
        </w:tc>
        <w:tc>
          <w:tcPr>
            <w:tcW w:w="4160" w:type="dxa"/>
            <w:vAlign w:val="bottom"/>
          </w:tcPr>
          <w:p>
            <w:pPr>
              <w:ind w:left="80"/>
              <w:spacing w:after="0"/>
              <w:rPr>
                <w:sz w:val="20"/>
                <w:szCs w:val="20"/>
                <w:color w:val="auto"/>
              </w:rPr>
            </w:pPr>
            <w:r>
              <w:rPr>
                <w:rFonts w:ascii="Arial" w:cs="Arial" w:eastAsia="Arial" w:hAnsi="Arial"/>
                <w:sz w:val="18"/>
                <w:szCs w:val="18"/>
                <w:color w:val="auto"/>
              </w:rPr>
              <w:t>Email: #####@gohealth.com</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4. Norwest Equity Partners IX, LP</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c/o Norwest Equity Partners</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3600 IDS Center</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80 South 8th Street</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Minneapolis, Minnesota 55402</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Attn: Charles P. Moorse</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Email: #####@nep.com</w:t>
            </w:r>
          </w:p>
        </w:tc>
      </w:tr>
      <w:tr>
        <w:trPr>
          <w:trHeight w:val="244"/>
        </w:trPr>
        <w:tc>
          <w:tcPr>
            <w:tcW w:w="5560" w:type="dxa"/>
            <w:vAlign w:val="bottom"/>
          </w:tcPr>
          <w:p>
            <w:pPr>
              <w:jc w:val="right"/>
              <w:spacing w:after="0"/>
              <w:rPr>
                <w:sz w:val="20"/>
                <w:szCs w:val="20"/>
                <w:color w:val="auto"/>
              </w:rPr>
            </w:pPr>
            <w:r>
              <w:rPr>
                <w:rFonts w:ascii="Arial" w:cs="Arial" w:eastAsia="Arial" w:hAnsi="Arial"/>
                <w:sz w:val="18"/>
                <w:szCs w:val="18"/>
                <w:color w:val="auto"/>
              </w:rPr>
              <w:t>29,226,585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w w:val="88"/>
              </w:rPr>
              <w:t>22,058,823.53</w:t>
            </w:r>
          </w:p>
        </w:tc>
        <w:tc>
          <w:tcPr>
            <w:tcW w:w="4160" w:type="dxa"/>
            <w:vAlign w:val="bottom"/>
          </w:tcPr>
          <w:p>
            <w:pPr>
              <w:ind w:left="80"/>
              <w:spacing w:after="0"/>
              <w:rPr>
                <w:sz w:val="20"/>
                <w:szCs w:val="20"/>
                <w:color w:val="auto"/>
              </w:rPr>
            </w:pPr>
            <w:r>
              <w:rPr>
                <w:rFonts w:ascii="Arial" w:cs="Arial" w:eastAsia="Arial" w:hAnsi="Arial"/>
                <w:sz w:val="18"/>
                <w:szCs w:val="18"/>
                <w:color w:val="auto"/>
              </w:rPr>
              <w:t>Phone: (612) 215-1644</w:t>
            </w: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 BCCJ, LLC</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1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214 West Huron St.</w:t>
            </w:r>
          </w:p>
        </w:tc>
      </w:tr>
      <w:tr>
        <w:trPr>
          <w:trHeight w:val="216"/>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Chicago, Illinois 60654</w:t>
            </w:r>
          </w:p>
        </w:tc>
      </w:tr>
      <w:tr>
        <w:trPr>
          <w:trHeight w:val="216"/>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Attn: Brandon M. Cruz</w:t>
            </w:r>
          </w:p>
        </w:tc>
      </w:tr>
      <w:tr>
        <w:trPr>
          <w:trHeight w:val="244"/>
        </w:trPr>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33,070.69</w:t>
            </w: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Email: #####@bcjcapital.com</w:t>
            </w: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rPr>
              <w:t>6. Greiner Investments, LLC</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ind w:left="80"/>
              <w:spacing w:after="0" w:line="201" w:lineRule="exact"/>
              <w:rPr>
                <w:sz w:val="20"/>
                <w:szCs w:val="20"/>
                <w:color w:val="auto"/>
              </w:rPr>
            </w:pPr>
            <w:r>
              <w:rPr>
                <w:rFonts w:ascii="Arial" w:cs="Arial" w:eastAsia="Arial" w:hAnsi="Arial"/>
                <w:sz w:val="18"/>
                <w:szCs w:val="18"/>
                <w:color w:val="auto"/>
              </w:rPr>
              <w:t>4760 Lodge Lane</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Greenwood, Minnesota 55331</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Attn: Jeffrey Greiner</w:t>
            </w:r>
          </w:p>
        </w:tc>
      </w:tr>
      <w:tr>
        <w:trPr>
          <w:trHeight w:val="244"/>
        </w:trPr>
        <w:tc>
          <w:tcPr>
            <w:tcW w:w="5560" w:type="dxa"/>
            <w:vAlign w:val="bottom"/>
          </w:tcPr>
          <w:p>
            <w:pPr>
              <w:jc w:val="right"/>
              <w:spacing w:after="0"/>
              <w:rPr>
                <w:sz w:val="20"/>
                <w:szCs w:val="20"/>
                <w:color w:val="auto"/>
              </w:rPr>
            </w:pPr>
            <w:r>
              <w:rPr>
                <w:rFonts w:ascii="Arial" w:cs="Arial" w:eastAsia="Arial" w:hAnsi="Arial"/>
                <w:sz w:val="18"/>
                <w:szCs w:val="18"/>
                <w:color w:val="auto"/>
              </w:rPr>
              <w:t>558,739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421,709.93</w:t>
            </w:r>
          </w:p>
        </w:tc>
        <w:tc>
          <w:tcPr>
            <w:tcW w:w="4160" w:type="dxa"/>
            <w:vAlign w:val="bottom"/>
          </w:tcPr>
          <w:p>
            <w:pPr>
              <w:ind w:left="80"/>
              <w:spacing w:after="0"/>
              <w:rPr>
                <w:sz w:val="20"/>
                <w:szCs w:val="20"/>
                <w:color w:val="auto"/>
              </w:rPr>
            </w:pPr>
            <w:r>
              <w:rPr>
                <w:rFonts w:ascii="Arial" w:cs="Arial" w:eastAsia="Arial" w:hAnsi="Arial"/>
                <w:sz w:val="18"/>
                <w:szCs w:val="18"/>
                <w:color w:val="auto"/>
              </w:rPr>
              <w:t>Email: #####@northernpacificgroup.com</w:t>
            </w: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 Blizzard Management Feeder, LLC</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1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 NVX Holdings, Inc.</w:t>
            </w:r>
          </w:p>
        </w:tc>
      </w:tr>
      <w:tr>
        <w:trPr>
          <w:trHeight w:val="216"/>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214 West Huron St.</w:t>
            </w:r>
          </w:p>
        </w:tc>
      </w:tr>
      <w:tr>
        <w:trPr>
          <w:trHeight w:val="216"/>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Chicago, Illinois 60654</w:t>
            </w:r>
          </w:p>
        </w:tc>
      </w:tr>
      <w:tr>
        <w:trPr>
          <w:trHeight w:val="216"/>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Attn: Brandon M. Cruz</w:t>
            </w:r>
          </w:p>
        </w:tc>
      </w:tr>
      <w:tr>
        <w:trPr>
          <w:trHeight w:val="244"/>
        </w:trPr>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31,516,863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7,537,501.05</w:t>
            </w:r>
          </w:p>
        </w:tc>
        <w:tc>
          <w:tcPr>
            <w:tcW w:w="4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Email: #####@gohealth.com</w:t>
            </w: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rPr>
              <w:t>8. OR GH I LLC</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160" w:type="dxa"/>
            <w:vAlign w:val="bottom"/>
          </w:tcPr>
          <w:p>
            <w:pPr>
              <w:ind w:left="80"/>
              <w:spacing w:after="0" w:line="201" w:lineRule="exact"/>
              <w:rPr>
                <w:sz w:val="20"/>
                <w:szCs w:val="20"/>
                <w:color w:val="auto"/>
              </w:rPr>
            </w:pPr>
            <w:r>
              <w:rPr>
                <w:rFonts w:ascii="Arial" w:cs="Arial" w:eastAsia="Arial" w:hAnsi="Arial"/>
                <w:sz w:val="18"/>
                <w:szCs w:val="18"/>
                <w:color w:val="auto"/>
              </w:rPr>
              <w:t>c/o Owl Rock Capital Partners</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399 Park Ave., 38th Floor</w:t>
            </w: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8"/>
                <w:szCs w:val="18"/>
                <w:color w:val="auto"/>
              </w:rPr>
              <w:t>New York, NY 10022</w:t>
            </w:r>
          </w:p>
        </w:tc>
      </w:tr>
      <w:tr>
        <w:trPr>
          <w:trHeight w:val="244"/>
        </w:trPr>
        <w:tc>
          <w:tcPr>
            <w:tcW w:w="5560" w:type="dxa"/>
            <w:vAlign w:val="bottom"/>
          </w:tcPr>
          <w:p>
            <w:pPr>
              <w:jc w:val="right"/>
              <w:spacing w:after="0"/>
              <w:rPr>
                <w:sz w:val="20"/>
                <w:szCs w:val="20"/>
                <w:color w:val="auto"/>
              </w:rPr>
            </w:pPr>
            <w:r>
              <w:rPr>
                <w:rFonts w:ascii="Arial" w:cs="Arial" w:eastAsia="Arial" w:hAnsi="Arial"/>
                <w:sz w:val="18"/>
                <w:szCs w:val="18"/>
                <w:color w:val="auto"/>
              </w:rPr>
              <w:t>1,439,481</w:t>
            </w:r>
          </w:p>
        </w:tc>
        <w:tc>
          <w:tcPr>
            <w:tcW w:w="1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60" w:type="dxa"/>
            <w:vAlign w:val="bottom"/>
          </w:tcPr>
          <w:p>
            <w:pPr>
              <w:ind w:left="80"/>
              <w:spacing w:after="0"/>
              <w:rPr>
                <w:sz w:val="20"/>
                <w:szCs w:val="20"/>
                <w:color w:val="auto"/>
              </w:rPr>
            </w:pPr>
            <w:r>
              <w:rPr>
                <w:rFonts w:ascii="Arial" w:cs="Arial" w:eastAsia="Arial" w:hAnsi="Arial"/>
                <w:sz w:val="18"/>
                <w:szCs w:val="18"/>
                <w:color w:val="auto"/>
              </w:rPr>
              <w:t>Attn: Alexis Maged</w:t>
            </w:r>
          </w:p>
        </w:tc>
      </w:tr>
    </w:tbl>
    <w:p>
      <w:pPr>
        <w:sectPr>
          <w:pgSz w:w="11900" w:h="16838" w:orient="portrait"/>
          <w:cols w:equalWidth="0" w:num="1">
            <w:col w:w="11020"/>
          </w:cols>
          <w:pgMar w:left="440" w:top="253" w:right="439" w:bottom="1440" w:gutter="0" w:footer="0" w:header="0"/>
          <w:type w:val="continuous"/>
        </w:sectPr>
      </w:pPr>
    </w:p>
    <w:bookmarkStart w:id="147" w:name="page148"/>
    <w:bookmarkEnd w:id="1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9. OR GH II LLC</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4500" w:type="dxa"/>
            <w:vAlign w:val="bottom"/>
            <w:vMerge w:val="restart"/>
          </w:tcPr>
          <w:p>
            <w:pPr>
              <w:spacing w:after="0"/>
              <w:rPr>
                <w:sz w:val="20"/>
                <w:szCs w:val="20"/>
                <w:color w:val="auto"/>
              </w:rPr>
            </w:pPr>
            <w:r>
              <w:rPr>
                <w:rFonts w:ascii="Arial" w:cs="Arial" w:eastAsia="Arial" w:hAnsi="Arial"/>
                <w:sz w:val="18"/>
                <w:szCs w:val="18"/>
                <w:color w:val="auto"/>
              </w:rPr>
              <w:t>10. Rahm Emanuel</w:t>
            </w:r>
          </w:p>
        </w:tc>
        <w:tc>
          <w:tcPr>
            <w:tcW w:w="980" w:type="dxa"/>
            <w:vAlign w:val="bottom"/>
          </w:tcPr>
          <w:p>
            <w:pPr>
              <w:jc w:val="right"/>
              <w:spacing w:after="0"/>
              <w:rPr>
                <w:sz w:val="20"/>
                <w:szCs w:val="20"/>
                <w:color w:val="auto"/>
              </w:rPr>
            </w:pPr>
            <w:r>
              <w:rPr>
                <w:rFonts w:ascii="Arial" w:cs="Arial" w:eastAsia="Arial" w:hAnsi="Arial"/>
                <w:sz w:val="18"/>
                <w:szCs w:val="18"/>
                <w:color w:val="auto"/>
              </w:rPr>
              <w:t>319,885</w:t>
            </w:r>
          </w:p>
        </w:tc>
        <w:tc>
          <w:tcPr>
            <w:tcW w:w="160" w:type="dxa"/>
            <w:vAlign w:val="bottom"/>
          </w:tcPr>
          <w:p>
            <w:pPr>
              <w:spacing w:after="0"/>
              <w:rPr>
                <w:sz w:val="24"/>
                <w:szCs w:val="24"/>
                <w:color w:val="auto"/>
              </w:rPr>
            </w:pP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500" w:type="dxa"/>
            <w:vAlign w:val="bottom"/>
            <w:vMerge w:val="restart"/>
          </w:tcPr>
          <w:p>
            <w:pPr>
              <w:spacing w:after="0"/>
              <w:rPr>
                <w:sz w:val="20"/>
                <w:szCs w:val="20"/>
                <w:color w:val="auto"/>
              </w:rPr>
            </w:pPr>
            <w:r>
              <w:rPr>
                <w:rFonts w:ascii="Arial" w:cs="Arial" w:eastAsia="Arial" w:hAnsi="Arial"/>
                <w:sz w:val="18"/>
                <w:szCs w:val="18"/>
                <w:color w:val="auto"/>
              </w:rPr>
              <w:t>11. Alexander E. Timm</w:t>
            </w:r>
          </w:p>
        </w:tc>
        <w:tc>
          <w:tcPr>
            <w:tcW w:w="980" w:type="dxa"/>
            <w:vAlign w:val="bottom"/>
          </w:tcPr>
          <w:p>
            <w:pPr>
              <w:jc w:val="right"/>
              <w:spacing w:after="0"/>
              <w:rPr>
                <w:sz w:val="20"/>
                <w:szCs w:val="20"/>
                <w:color w:val="auto"/>
              </w:rPr>
            </w:pPr>
            <w:r>
              <w:rPr>
                <w:rFonts w:ascii="Arial" w:cs="Arial" w:eastAsia="Arial" w:hAnsi="Arial"/>
                <w:sz w:val="18"/>
                <w:szCs w:val="18"/>
                <w:color w:val="auto"/>
              </w:rPr>
              <w:t>186,101</w:t>
            </w:r>
          </w:p>
        </w:tc>
        <w:tc>
          <w:tcPr>
            <w:tcW w:w="160" w:type="dxa"/>
            <w:vAlign w:val="bottom"/>
          </w:tcPr>
          <w:p>
            <w:pPr>
              <w:spacing w:after="0"/>
              <w:rPr>
                <w:sz w:val="24"/>
                <w:szCs w:val="24"/>
                <w:color w:val="auto"/>
              </w:rPr>
            </w:pP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500" w:type="dxa"/>
            <w:vAlign w:val="bottom"/>
            <w:vMerge w:val="restart"/>
          </w:tcPr>
          <w:p>
            <w:pPr>
              <w:spacing w:after="0"/>
              <w:rPr>
                <w:sz w:val="20"/>
                <w:szCs w:val="20"/>
                <w:color w:val="auto"/>
              </w:rPr>
            </w:pPr>
            <w:r>
              <w:rPr>
                <w:rFonts w:ascii="Arial" w:cs="Arial" w:eastAsia="Arial" w:hAnsi="Arial"/>
                <w:sz w:val="18"/>
                <w:szCs w:val="18"/>
                <w:color w:val="auto"/>
              </w:rPr>
              <w:t>12. Joseph G. Flanagan</w:t>
            </w:r>
          </w:p>
        </w:tc>
        <w:tc>
          <w:tcPr>
            <w:tcW w:w="980" w:type="dxa"/>
            <w:vAlign w:val="bottom"/>
          </w:tcPr>
          <w:p>
            <w:pPr>
              <w:jc w:val="right"/>
              <w:spacing w:after="0"/>
              <w:rPr>
                <w:sz w:val="20"/>
                <w:szCs w:val="20"/>
                <w:color w:val="auto"/>
              </w:rPr>
            </w:pPr>
            <w:r>
              <w:rPr>
                <w:rFonts w:ascii="Arial" w:cs="Arial" w:eastAsia="Arial" w:hAnsi="Arial"/>
                <w:sz w:val="18"/>
                <w:szCs w:val="18"/>
                <w:color w:val="auto"/>
              </w:rPr>
              <w:t>124,151</w:t>
            </w:r>
          </w:p>
        </w:tc>
        <w:tc>
          <w:tcPr>
            <w:tcW w:w="160" w:type="dxa"/>
            <w:vAlign w:val="bottom"/>
          </w:tcPr>
          <w:p>
            <w:pPr>
              <w:spacing w:after="0"/>
              <w:rPr>
                <w:sz w:val="24"/>
                <w:szCs w:val="24"/>
                <w:color w:val="auto"/>
              </w:rPr>
            </w:pP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124,151</w:t>
            </w:r>
          </w:p>
        </w:tc>
        <w:tc>
          <w:tcPr>
            <w:tcW w:w="160" w:type="dxa"/>
            <w:vAlign w:val="bottom"/>
          </w:tcPr>
          <w:p>
            <w:pPr>
              <w:spacing w:after="0"/>
              <w:rPr>
                <w:sz w:val="24"/>
                <w:szCs w:val="24"/>
                <w:color w:val="auto"/>
              </w:rPr>
            </w:pP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321,193,392</w:t>
            </w:r>
          </w:p>
        </w:tc>
        <w:tc>
          <w:tcPr>
            <w:tcW w:w="16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7"/>
              </w:rPr>
              <w:t>$ 100,000,000.00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-1979295</wp:posOffset>
            </wp:positionV>
            <wp:extent cx="6995160" cy="557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5575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-1002030</wp:posOffset>
            </wp:positionV>
            <wp:extent cx="6995160" cy="419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419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699516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760"/>
        <w:spacing w:after="0" w:line="254" w:lineRule="auto"/>
        <w:rPr>
          <w:sz w:val="20"/>
          <w:szCs w:val="20"/>
          <w:color w:val="auto"/>
        </w:rPr>
      </w:pPr>
      <w:r>
        <w:rPr>
          <w:rFonts w:ascii="Arial" w:cs="Arial" w:eastAsia="Arial" w:hAnsi="Arial"/>
          <w:sz w:val="18"/>
          <w:szCs w:val="18"/>
          <w:color w:val="auto"/>
        </w:rPr>
        <w:t>c/o Owl Rock Capital Partners 399 Park Ave., 38th Floor New York, NY 10022 Attn: Alexis Maged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t>
      </w:r>
    </w:p>
    <w:p>
      <w:pPr>
        <w:spacing w:after="0" w:line="240" w:lineRule="exact"/>
        <w:rPr>
          <w:sz w:val="20"/>
          <w:szCs w:val="20"/>
          <w:color w:val="auto"/>
        </w:rPr>
      </w:pPr>
    </w:p>
    <w:p>
      <w:pPr>
        <w:sectPr>
          <w:pgSz w:w="11900" w:h="16838" w:orient="portrait"/>
          <w:cols w:equalWidth="0" w:num="2">
            <w:col w:w="6884" w:space="180"/>
            <w:col w:w="3960"/>
          </w:cols>
          <w:pgMar w:left="436" w:top="274" w:right="439" w:bottom="1440" w:gutter="0" w:footer="0" w:header="0"/>
        </w:sectPr>
      </w:pPr>
    </w:p>
    <w:p>
      <w:pPr>
        <w:spacing w:after="0" w:line="42" w:lineRule="exact"/>
        <w:rPr>
          <w:sz w:val="20"/>
          <w:szCs w:val="20"/>
          <w:color w:val="auto"/>
        </w:rPr>
      </w:pPr>
    </w:p>
    <w:p>
      <w:pPr>
        <w:jc w:val="both"/>
        <w:ind w:left="424" w:hanging="424"/>
        <w:spacing w:after="0" w:line="263" w:lineRule="auto"/>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This Schedule of Members shall be updated from time to time to reflect any adjustment with respect to any subdivision (by Unit split or otherwise) or any combination (by reverse Unit split or otherwise) of any outstanding Common Units, or to reflect any additional issuances of Common Units pursuant to this Agreement.</w:t>
      </w:r>
    </w:p>
    <w:p>
      <w:pPr>
        <w:sectPr>
          <w:pgSz w:w="11900" w:h="16838" w:orient="portrait"/>
          <w:cols w:equalWidth="0" w:num="1">
            <w:col w:w="11024"/>
          </w:cols>
          <w:pgMar w:left="436" w:top="274" w:right="439"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JOINDER AGREEMENT, dated as of _________________, 20___ (this “</w:t>
      </w:r>
      <w:r>
        <w:rPr>
          <w:rFonts w:ascii="Arial" w:cs="Arial" w:eastAsia="Arial" w:hAnsi="Arial"/>
          <w:sz w:val="16"/>
          <w:szCs w:val="16"/>
          <w:u w:val="single" w:color="auto"/>
          <w:color w:val="auto"/>
        </w:rPr>
        <w:t>Joinder</w:t>
      </w:r>
      <w:r>
        <w:rPr>
          <w:rFonts w:ascii="Arial" w:cs="Arial" w:eastAsia="Arial" w:hAnsi="Arial"/>
          <w:sz w:val="16"/>
          <w:szCs w:val="16"/>
          <w:color w:val="auto"/>
        </w:rPr>
        <w:t>”), is delivered pursuant to that certain Second Amended</w:t>
      </w:r>
    </w:p>
    <w:p>
      <w:pPr>
        <w:spacing w:after="0" w:line="4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and Restated Limited Liability Company Agreement, dated as of July 15, 2020 (as amended, restated, amended and restated, supplemented or otherwise modified from time to time, the “</w:t>
      </w:r>
      <w:r>
        <w:rPr>
          <w:rFonts w:ascii="Arial" w:cs="Arial" w:eastAsia="Arial" w:hAnsi="Arial"/>
          <w:sz w:val="16"/>
          <w:szCs w:val="16"/>
          <w:u w:val="single" w:color="auto"/>
          <w:color w:val="auto"/>
        </w:rPr>
        <w:t>LLC Agreement</w:t>
      </w:r>
      <w:r>
        <w:rPr>
          <w:rFonts w:ascii="Arial" w:cs="Arial" w:eastAsia="Arial" w:hAnsi="Arial"/>
          <w:sz w:val="16"/>
          <w:szCs w:val="16"/>
          <w:color w:val="auto"/>
        </w:rPr>
        <w:t>”) of GoHealth Holdings,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by and among the Company, GoHealth, Inc., a Delaware corporation and the managing member of the Company (the “</w:t>
      </w:r>
      <w:r>
        <w:rPr>
          <w:rFonts w:ascii="Arial" w:cs="Arial" w:eastAsia="Arial" w:hAnsi="Arial"/>
          <w:sz w:val="16"/>
          <w:szCs w:val="16"/>
          <w:u w:val="single" w:color="auto"/>
          <w:color w:val="auto"/>
        </w:rPr>
        <w:t>Corporation</w:t>
      </w:r>
      <w:r>
        <w:rPr>
          <w:rFonts w:ascii="Arial" w:cs="Arial" w:eastAsia="Arial" w:hAnsi="Arial"/>
          <w:sz w:val="16"/>
          <w:szCs w:val="16"/>
          <w:color w:val="auto"/>
        </w:rPr>
        <w:t>”), and each of the Members from time to time party thereto. Capitalized terms used but not otherwise defined herein have the respective meanings set forth in the LLC Agreement.</w:t>
      </w:r>
    </w:p>
    <w:p>
      <w:pPr>
        <w:spacing w:after="0" w:line="67" w:lineRule="exact"/>
        <w:rPr>
          <w:sz w:val="20"/>
          <w:szCs w:val="20"/>
          <w:color w:val="auto"/>
        </w:rPr>
      </w:pPr>
    </w:p>
    <w:p>
      <w:pPr>
        <w:ind w:left="960" w:right="100" w:hanging="532"/>
        <w:spacing w:after="0" w:line="259"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Joinder to the LLC Agreement</w:t>
      </w:r>
      <w:r>
        <w:rPr>
          <w:rFonts w:ascii="Arial" w:cs="Arial" w:eastAsia="Arial" w:hAnsi="Arial"/>
          <w:sz w:val="18"/>
          <w:szCs w:val="18"/>
          <w:color w:val="auto"/>
        </w:rPr>
        <w:t>. Upon the execution of this Joinder by the undersigned and delivery hereof to the Corporation, the undersigned hereby is admitted as and hereafter will be a Member under the LLC Agreement and a party thereto, with all the rights, privileges and responsibilities of a Member thereunder. The undersigned hereby agrees that it shall comply with and be fully bound by the terms of the LLC Agreement as if it had been a signatory thereto as of the date thereof.</w:t>
      </w:r>
    </w:p>
    <w:p>
      <w:pPr>
        <w:spacing w:after="0" w:line="92"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All terms and conditions of the LLC Agreement are hereby incorporated by reference in this Joinder as if set forth herein in full.</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All notices under the LLC Agreement to the undersigned shall be direct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[City, State, Zip Code]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duly executed and delivered this Joinder as of the day and year first above written.</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NEW 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0"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 GOHEALTH, INC., its Managing Member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AGREEMENT AND CONSENT OF SPOUSE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spouse of _____________________________ (the “</w:t>
      </w:r>
      <w:r>
        <w:rPr>
          <w:rFonts w:ascii="Arial" w:cs="Arial" w:eastAsia="Arial" w:hAnsi="Arial"/>
          <w:sz w:val="16"/>
          <w:szCs w:val="16"/>
          <w:u w:val="single" w:color="auto"/>
          <w:color w:val="auto"/>
        </w:rPr>
        <w:t>Member</w:t>
      </w:r>
      <w:r>
        <w:rPr>
          <w:rFonts w:ascii="Arial" w:cs="Arial" w:eastAsia="Arial" w:hAnsi="Arial"/>
          <w:sz w:val="16"/>
          <w:szCs w:val="16"/>
          <w:color w:val="auto"/>
        </w:rPr>
        <w:t>”), a party to that certain Second Amended and Restated Limited</w:t>
      </w:r>
    </w:p>
    <w:p>
      <w:pPr>
        <w:spacing w:after="0" w:line="4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Liability Company Agreement, dated as of July 15, 2020 (as amended, restated, amended and restated, supplemented or otherwise modified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of GoHealth Holdings,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by and among the Company, GoHealth, Inc., a Delaware corporation and the managing member of the Company, and each of the Members from time to time party thereto (capitalized terms used but not otherwise defined herein have the respective meanings set forth in the Agreement), acknowledges on his or her own behalf that:</w:t>
      </w:r>
    </w:p>
    <w:p>
      <w:pPr>
        <w:spacing w:after="0" w:line="161"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I have read the Agreement and understand its contents. I acknowledge and understand that under the Agreement, any interest I may have, community property or otherwise, in the Units owned by the Member is subject to the terms of the Agreement which include certain restrictions on Transfer.</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 hereby consent to and approve the Agreement. I agree that said Units and any interest I may have, community property or otherwise, in such Units are subject to the provisions of the Agreement and that I will take no action at any time to hinder operation of the Agreement on said Units or any interest I may have, community property or otherwise, in said Units.</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 hereby acknowledge that the meaning and legal consequences of the Agreement have been explained fully to me and are understood by me, and that I am signing this Agreement and consent without any duress and of free will.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_____________________________</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SPOUSE]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020"/>
          </w:cols>
          <w:pgMar w:left="440" w:top="270" w:right="4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SPOUSE’S CONFIRMATION OF SEPARATE PROPERTY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the undersigned, the spouse of _____________________________ (the “</w:t>
      </w:r>
      <w:r>
        <w:rPr>
          <w:rFonts w:ascii="Arial" w:cs="Arial" w:eastAsia="Arial" w:hAnsi="Arial"/>
          <w:sz w:val="17"/>
          <w:szCs w:val="17"/>
          <w:u w:val="single" w:color="auto"/>
          <w:color w:val="auto"/>
        </w:rPr>
        <w:t>Member</w:t>
      </w:r>
      <w:r>
        <w:rPr>
          <w:rFonts w:ascii="Arial" w:cs="Arial" w:eastAsia="Arial" w:hAnsi="Arial"/>
          <w:sz w:val="17"/>
          <w:szCs w:val="17"/>
          <w:color w:val="auto"/>
        </w:rPr>
        <w:t>”), who is a party to that certain Second Amended and</w:t>
      </w:r>
    </w:p>
    <w:p>
      <w:pPr>
        <w:spacing w:after="0" w:line="3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Restated Limited Liability Company Agreement, dated as of July 15, 2020 (as amended, restated, amended and restated, supplemented or otherwise modified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of GoHealth Holdings,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by and among the Company, GoHealth, Inc., a Delaware corporation and the managing member of the Company, and each of the Members from time to time party thereto (capitalized terms used but not otherwise defined herein have the respective meanings set forth in the Agreement), acknowledge and confirm on that the Units owned by said Member are the sole and separate property of said Member, and I hereby disclaim any interest in same.</w:t>
      </w:r>
    </w:p>
    <w:p>
      <w:pPr>
        <w:spacing w:after="0" w:line="162"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I hereby acknowledge that the meaning and legal consequences of this Member’s spouse’s confirmation of separate property have been fully explained to me and are understood by me, and that I am signing this Member’s spouse’s confirmation of separate property without any duress and of free will.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_____________________________</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SPOUSE]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020"/>
          </w:cols>
          <w:pgMar w:left="440" w:top="270" w:right="4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THIS STOCKHOLDERS AGREEMENT</w:t>
      </w:r>
      <w:r>
        <w:rPr>
          <w:rFonts w:ascii="Arial" w:cs="Arial" w:eastAsia="Arial" w:hAnsi="Arial"/>
          <w:sz w:val="16"/>
          <w:szCs w:val="16"/>
          <w:color w:val="auto"/>
        </w:rPr>
        <w:t>, dated as of July 15, 2020 (as it may be amended, amended and restated or otherwise modified from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time to time in accordance with the terms hereof,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and among GoHealth, Inc., a Delaware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 Centerbridge Capital Partners III, L.P., a Delaware limited partnership (“</w:t>
      </w:r>
      <w:r>
        <w:rPr>
          <w:rFonts w:ascii="Arial" w:cs="Arial" w:eastAsia="Arial" w:hAnsi="Arial"/>
          <w:sz w:val="17"/>
          <w:szCs w:val="17"/>
          <w:u w:val="single" w:color="auto"/>
          <w:color w:val="auto"/>
        </w:rPr>
        <w:t>Centerbridge</w:t>
      </w:r>
      <w:r>
        <w:rPr>
          <w:rFonts w:ascii="Arial" w:cs="Arial" w:eastAsia="Arial" w:hAnsi="Arial"/>
          <w:sz w:val="17"/>
          <w:szCs w:val="17"/>
          <w:color w:val="auto"/>
        </w:rPr>
        <w:t>” and the Persons (as defined below) listed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together with Centerbridge, the “</w:t>
      </w:r>
      <w:r>
        <w:rPr>
          <w:rFonts w:ascii="Arial" w:cs="Arial" w:eastAsia="Arial" w:hAnsi="Arial"/>
          <w:sz w:val="17"/>
          <w:szCs w:val="17"/>
          <w:u w:val="single" w:color="auto"/>
          <w:color w:val="auto"/>
        </w:rPr>
        <w:t>Centerbridge Parties</w:t>
      </w:r>
      <w:r>
        <w:rPr>
          <w:rFonts w:ascii="Arial" w:cs="Arial" w:eastAsia="Arial" w:hAnsi="Arial"/>
          <w:sz w:val="17"/>
          <w:szCs w:val="17"/>
          <w:color w:val="auto"/>
        </w:rPr>
        <w:t>”), and NVX Holdings, Inc., a Delaware corporation (“</w:t>
      </w:r>
      <w:r>
        <w:rPr>
          <w:rFonts w:ascii="Arial" w:cs="Arial" w:eastAsia="Arial" w:hAnsi="Arial"/>
          <w:sz w:val="17"/>
          <w:szCs w:val="17"/>
          <w:u w:val="single" w:color="auto"/>
          <w:color w:val="auto"/>
        </w:rPr>
        <w:t>NVX Holdings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Centerbridge Parties, the “</w:t>
      </w:r>
      <w:r>
        <w:rPr>
          <w:rFonts w:ascii="Arial" w:cs="Arial" w:eastAsia="Arial" w:hAnsi="Arial"/>
          <w:sz w:val="18"/>
          <w:szCs w:val="18"/>
          <w:u w:val="single" w:color="auto"/>
          <w:color w:val="auto"/>
        </w:rPr>
        <w:t>Original Members</w:t>
      </w:r>
      <w:r>
        <w:rPr>
          <w:rFonts w:ascii="Arial" w:cs="Arial" w:eastAsia="Arial" w:hAnsi="Arial"/>
          <w:sz w:val="18"/>
          <w:szCs w:val="18"/>
          <w:color w:val="auto"/>
        </w:rPr>
        <w:t xml:space="preserve">”). Certain terms used in this Agreement are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Original Member owns, directly or indirectly, outstanding limited liability company interests in GoHealth Holdings, LLC,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w:t>
      </w:r>
      <w:r>
        <w:rPr>
          <w:rFonts w:ascii="Arial" w:cs="Arial" w:eastAsia="Arial" w:hAnsi="Arial"/>
          <w:sz w:val="18"/>
          <w:szCs w:val="18"/>
          <w:u w:val="single" w:color="auto"/>
          <w:color w:val="auto"/>
        </w:rPr>
        <w:t>GoHealth LLC</w:t>
      </w:r>
      <w:r>
        <w:rPr>
          <w:rFonts w:ascii="Arial" w:cs="Arial" w:eastAsia="Arial" w:hAnsi="Arial"/>
          <w:sz w:val="18"/>
          <w:szCs w:val="18"/>
          <w:color w:val="auto"/>
        </w:rPr>
        <w:t>”), which limited liability company interests constitute and are defined as “Common Units” pursuant to the Second Amended and Restated Limited Liability Company Agreement of GoHealth LLC, dated as of the date hereof, as such agreement may be further amended, restated, amended and restated, supplemented or otherwise modified from time to time (the “</w:t>
      </w:r>
      <w:r>
        <w:rPr>
          <w:rFonts w:ascii="Arial" w:cs="Arial" w:eastAsia="Arial" w:hAnsi="Arial"/>
          <w:sz w:val="18"/>
          <w:szCs w:val="18"/>
          <w:u w:val="single" w:color="auto"/>
          <w:color w:val="auto"/>
        </w:rPr>
        <w:t>LLC Agreement</w:t>
      </w:r>
      <w:r>
        <w:rPr>
          <w:rFonts w:ascii="Arial" w:cs="Arial" w:eastAsia="Arial" w:hAnsi="Arial"/>
          <w:sz w:val="18"/>
          <w:szCs w:val="18"/>
          <w:color w:val="auto"/>
        </w:rPr>
        <w:t>”, and such limited liability company interests, the “</w:t>
      </w:r>
      <w:r>
        <w:rPr>
          <w:rFonts w:ascii="Arial" w:cs="Arial" w:eastAsia="Arial" w:hAnsi="Arial"/>
          <w:sz w:val="18"/>
          <w:szCs w:val="18"/>
          <w:u w:val="single" w:color="auto"/>
          <w:color w:val="auto"/>
        </w:rPr>
        <w:t>Common Units</w:t>
      </w:r>
      <w:r>
        <w:rPr>
          <w:rFonts w:ascii="Arial" w:cs="Arial" w:eastAsia="Arial" w:hAnsi="Arial"/>
          <w:sz w:val="18"/>
          <w:szCs w:val="18"/>
          <w:color w:val="auto"/>
        </w:rPr>
        <w:t>”);</w:t>
      </w:r>
    </w:p>
    <w:p>
      <w:pPr>
        <w:spacing w:after="0" w:line="183"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contemplating an offering and sale of the shares of Class A common stock, par value $0.0001 per share,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in an underwritten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and using a portion of the net proceeds received from the IPO to purchase Common Units;</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Common Unit Subscription Agreement by and between the Corporation and GoHealth LLC,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(the “</w:t>
      </w:r>
      <w:r>
        <w:rPr>
          <w:rFonts w:ascii="Arial" w:cs="Arial" w:eastAsia="Arial" w:hAnsi="Arial"/>
          <w:sz w:val="18"/>
          <w:szCs w:val="18"/>
          <w:u w:val="single" w:color="auto"/>
          <w:color w:val="auto"/>
        </w:rPr>
        <w:t>Common Unit Subscription Agreement</w:t>
      </w:r>
      <w:r>
        <w:rPr>
          <w:rFonts w:ascii="Arial" w:cs="Arial" w:eastAsia="Arial" w:hAnsi="Arial"/>
          <w:sz w:val="18"/>
          <w:szCs w:val="18"/>
          <w:color w:val="auto"/>
        </w:rPr>
        <w:t>”), the Corporation will hold Common Units;</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consummation of the transactions contemplated by the Common Unit Subscription Agreement, it is contemplated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will be admitted as a member, and appointed as the sole managing member, of GoHealth LLC;</w:t>
      </w:r>
    </w:p>
    <w:p>
      <w:pPr>
        <w:spacing w:after="0" w:line="162"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and prior to, the consummation of the IPO, it is anticipated that the Original Members,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GoHealth LLC and certain of their respective affiliates will enter into a series of related transactions pursuant to which, among other things, the Original Members will become holders of Class B common stock, par value $0.0001 per share, of the Corporation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w:t>
      </w:r>
    </w:p>
    <w:p>
      <w:pPr>
        <w:spacing w:after="0" w:line="158"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immediately following the consummation of the IPO, the Original Members will be the record holders of shares of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w:t>
      </w:r>
    </w:p>
    <w:p>
      <w:pPr>
        <w:spacing w:after="0" w:line="162"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Original Members (x) to approve the sale and issuance of Common Units by GoHealth LLC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appointment of the Corporation as the sole managing member of GoHealth LLC in connection with the IPO and (y) to take such other actions as shall be necessary to effectuate the transactions related to the IPO, the parties hereto desire to set forth their agreement with respect to the matters set forth herein in connection with their respective investments in the Corporation.</w:t>
      </w:r>
    </w:p>
    <w:p>
      <w:pPr>
        <w:sectPr>
          <w:pgSz w:w="11900" w:h="16838" w:orient="portrait"/>
          <w:cols w:equalWidth="0" w:num="1">
            <w:col w:w="11020"/>
          </w:cols>
          <w:pgMar w:left="440" w:top="121" w:right="439" w:bottom="1440" w:gutter="0" w:footer="0" w:header="0"/>
        </w:sectPr>
      </w:pPr>
    </w:p>
    <w:bookmarkStart w:id="153" w:name="page154"/>
    <w:bookmarkEnd w:id="153"/>
    <w:p>
      <w:pPr>
        <w:ind w:right="8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NOW, THEREFORE</w:t>
      </w:r>
      <w:r>
        <w:rPr>
          <w:rFonts w:ascii="Arial" w:cs="Arial" w:eastAsia="Arial" w:hAnsi="Arial"/>
          <w:sz w:val="17"/>
          <w:szCs w:val="17"/>
          <w:color w:val="auto"/>
        </w:rPr>
        <w:t>, in consideration of the covenants and agreements contained herein and other good and valuable consideration, the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and sufficiency of which are hereby acknowledged, the Corporation and the Original Members agree as follows: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Election of the Board of Directors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Subject to the other provisions of this </w:t>
      </w:r>
      <w:r>
        <w:rPr>
          <w:rFonts w:ascii="Arial" w:cs="Arial" w:eastAsia="Arial" w:hAnsi="Arial"/>
          <w:sz w:val="17"/>
          <w:szCs w:val="17"/>
          <w:u w:val="single" w:color="auto"/>
          <w:color w:val="auto"/>
        </w:rPr>
        <w:t>Section 1</w:t>
      </w:r>
      <w:r>
        <w:rPr>
          <w:rFonts w:ascii="Arial" w:cs="Arial" w:eastAsia="Arial" w:hAnsi="Arial"/>
          <w:sz w:val="17"/>
          <w:szCs w:val="17"/>
          <w:color w:val="auto"/>
        </w:rPr>
        <w:t>, the number of Directors constituting the full Board shall initially be fixed at nine (9).</w:t>
      </w:r>
    </w:p>
    <w:p>
      <w:pPr>
        <w:spacing w:after="0" w:line="128" w:lineRule="exact"/>
        <w:rPr>
          <w:rFonts w:ascii="Arial" w:cs="Arial" w:eastAsia="Arial" w:hAnsi="Arial"/>
          <w:sz w:val="17"/>
          <w:szCs w:val="17"/>
          <w:color w:val="auto"/>
        </w:rPr>
      </w:pPr>
    </w:p>
    <w:p>
      <w:pPr>
        <w:ind w:firstLine="436"/>
        <w:spacing w:after="0" w:line="287" w:lineRule="auto"/>
        <w:tabs>
          <w:tab w:leader="none" w:pos="69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 for so long as the Centerbridge Parties beneficially own, directly or indirectly, in the aggregate at least ten percent (10%) of all issued and outstanding shares of Class A Common Stock (including for this purpose the Underlying Class A Shares), Centerbridge shall be entitled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two (2) Centerbridge Directors on the Board and (ii) if at any time, the Centerbridge Parties beneficially own, directly or indirectly, in the aggregate less than ten percent (10%) but at least five percent (5%) of the issued and outstanding shares of Class A Common Stock (including for this purpose the Underlying Class A Shares), Centerbridge shall be entitled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one (1) Centerbridge Director on the Board. The Centerbridge Directors shall be apportioned among the three (3) classes of Directors as nearly equal in number as possible. Centerbridge shall not be entitled to designate any individuals in accordance with this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if at any time the Centerbridge Parties beneficially own, directly or indirectly, less than five percent (5%) of the issued and outstanding shares of Class A Common Stock (including for this purpose the Underlying Class A Shares).</w:t>
      </w:r>
    </w:p>
    <w:p>
      <w:pPr>
        <w:spacing w:after="0" w:line="59" w:lineRule="exact"/>
        <w:rPr>
          <w:rFonts w:ascii="Arial" w:cs="Arial" w:eastAsia="Arial" w:hAnsi="Arial"/>
          <w:sz w:val="16"/>
          <w:szCs w:val="16"/>
          <w:color w:val="auto"/>
        </w:rPr>
      </w:pPr>
    </w:p>
    <w:p>
      <w:pPr>
        <w:ind w:right="120" w:firstLine="436"/>
        <w:spacing w:after="0" w:line="287" w:lineRule="auto"/>
        <w:tabs>
          <w:tab w:leader="none" w:pos="6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(i) for so long as NVX Holdings beneficially owns, directly or indirectly, in the aggregate at least ten percent (10%) of all issued and outstanding shares of Class A Common Stock (including for this purpose the Underlying Class A Shares), NVX Holdings shall be entitled to designate for nomination by the Board in any applicable election that number of individuals, which, assuming all such individuals are successfully elected to the Board, when taken together with any incumbent NVX Director not standing for election in such election, would result in there being two (2) NVX Directors on the Board and (ii) if at any time, NVX Holdings beneficially owns, directly or indirectly, in the aggregate less than ten percent (10%) but at least five percent (5%) of the issued and outstanding shares of Class A Common Stock (including for this purpose the Underlying Class A Shares) NVX Holdings shall be entitled to designate for nomination by the Board in any applicable election that number of individuals, which, assuming all such individuals are successfully elected to the Board, when taken together with any incumbent NVX Director not standing for election in such election, would result in there being one (1) NVX Director on the Board. The NVX Directors shall be apportioned among the three (3) classes of Directors as nearly equal in number as possible. NVX Holdings shall not be entitled to designate any NVX Directors in accordance with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if at any time NVX Holdings beneficially owns, directly or indirectly, less than five percent (5%) of the issued and outstanding shares of Class A Common Stock (including for this purpose the Underlying Class A Shares).</w:t>
      </w:r>
    </w:p>
    <w:p>
      <w:pPr>
        <w:spacing w:after="0" w:line="59" w:lineRule="exact"/>
        <w:rPr>
          <w:rFonts w:ascii="Arial" w:cs="Arial" w:eastAsia="Arial" w:hAnsi="Arial"/>
          <w:sz w:val="16"/>
          <w:szCs w:val="16"/>
          <w:color w:val="auto"/>
        </w:rPr>
      </w:pPr>
    </w:p>
    <w:p>
      <w:pPr>
        <w:jc w:val="both"/>
        <w:ind w:right="100" w:firstLine="436"/>
        <w:spacing w:after="0" w:line="286" w:lineRule="auto"/>
        <w:tabs>
          <w:tab w:leader="none" w:pos="69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Subject to this </w:t>
      </w:r>
      <w:r>
        <w:rPr>
          <w:rFonts w:ascii="Arial" w:cs="Arial" w:eastAsia="Arial" w:hAnsi="Arial"/>
          <w:sz w:val="17"/>
          <w:szCs w:val="17"/>
          <w:u w:val="single" w:color="auto"/>
          <w:color w:val="auto"/>
        </w:rPr>
        <w:t>Section 1(d)</w:t>
      </w:r>
      <w:r>
        <w:rPr>
          <w:rFonts w:ascii="Arial" w:cs="Arial" w:eastAsia="Arial" w:hAnsi="Arial"/>
          <w:sz w:val="17"/>
          <w:szCs w:val="17"/>
          <w:color w:val="auto"/>
        </w:rPr>
        <w:t>, (i) for so long as the Centerbridge Parties beneficially own, directly or indirectly, in the aggregate at least twenty percent (20%) of all issued and outstanding shares of Class A Common Stock (including for this purpose the Underlying Class A Shares), Centerbridge shall be entitled to designate for nomination by the Board in any applicable election, that number of individuals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54" w:name="page155"/>
    <w:bookmarkEnd w:id="154"/>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who satisfy the Independence Requirements, which, assuming all such individuals are successfully elected to the Board, when taken together with any incumbent Centerbridge-Designated Independent Director not standing for election in such election, would result in there being two (2) Centerbridge-Designated Independent Directors on the Board and (ii) if at any time, the Centerbridge Parties beneficially own, directly or indirectly, in the aggregate less than twenty percent (20%) but at least fifteen percent (15%) of the issued and outstanding shares of Class A Common Stock (including for this purpose the Underlying Class A Shares), Centerbridge shall be entitled to designate for nomination by the Board in any applicable election that number of individuals who each satisfy the Independence Requirements, which, assuming all such individuals are successfully elected to the Board, when taken together with any incumbent Centerbridge-Designated Independent Director not standing for election in such election, would result in there being one</w:t>
      </w:r>
    </w:p>
    <w:p>
      <w:pPr>
        <w:spacing w:after="0" w:line="2" w:lineRule="exact"/>
        <w:rPr>
          <w:sz w:val="20"/>
          <w:szCs w:val="20"/>
          <w:color w:val="auto"/>
        </w:rPr>
      </w:pPr>
    </w:p>
    <w:p>
      <w:pPr>
        <w:ind w:left="4" w:hanging="4"/>
        <w:spacing w:after="0" w:line="295" w:lineRule="auto"/>
        <w:tabs>
          <w:tab w:leader="none" w:pos="25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Centerbridge-Designated Independent Director serving on the Board. For the avoidance of doubt, individuals designated pursuant to this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shall not be counted against the number of Centerbridge Directors that may be designated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Centerbridge shall not be entitled to designate any individuals in accordance with this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if at any time the Centerbridge Parties beneficially own, directly or indirectly, less than fifteen percent (15%) of the issued and outstanding shares of Class A Common Stock (including for this purpose the Underlying Class A Shares).</w:t>
      </w:r>
    </w:p>
    <w:p>
      <w:pPr>
        <w:spacing w:after="0" w:line="53" w:lineRule="exact"/>
        <w:rPr>
          <w:rFonts w:ascii="Arial" w:cs="Arial" w:eastAsia="Arial" w:hAnsi="Arial"/>
          <w:sz w:val="16"/>
          <w:szCs w:val="16"/>
          <w:color w:val="auto"/>
        </w:rPr>
      </w:pPr>
    </w:p>
    <w:p>
      <w:pPr>
        <w:ind w:left="4" w:right="60" w:firstLine="436"/>
        <w:spacing w:after="0" w:line="286" w:lineRule="auto"/>
        <w:tabs>
          <w:tab w:leader="none" w:pos="689"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(i) for so long as NVX Holdings beneficially owns, directly or indirectly, in the aggregate at least twenty percent (20%) of all issued and outstanding shares of Class A Common Stock (including for this purpose the Underlying Class A Shares), NVX Holdings shall be entitled to designate for nomination by the Board in any applicable election, that number of individuals who satisfy the Independence Requirements, which, assuming all such individuals are successfully elected to the Board, when taken together with any incumbent NVX-Designated Independent Director, would result in there being two (2) NVX-Designated Independent Directors serving on the Board and (ii) if at any time, NVX Holdings beneficially owns, directly or indirectly, in the aggregate less than twenty percent (20%) but at least fifteen percent (15%) of the issued and outstanding shares of Class A Common Stock (including for this purpose the Underlying Class A Shares), NVX Holdings shall be entitled to designate for nomination by the Board in any applicable election that number of individuals who each satisfy the Independence Requirements, which, assuming all such individuals are successfully elected to the Board, when taken together with any incumbent NVX-Designated Independent Director not standing for election in such election, would result in there being one (1) NVX-Designated Independent Director serving on the Board. For avoidance of doubt, any individuals designated pursuant to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shall not be counted against the number of NVX Directors that may be designated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NVX Holdings shall not be entitled to designate any NVX-Designated Independent Directors in accordance with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if at any time NVX Holdings beneficially owns, directly or indirectly, less than fifteen percent (15%) of the issued and outstanding shares of Class A Common Stock (including for this purpose the Underlying Class A Shares).</w:t>
      </w:r>
    </w:p>
    <w:p>
      <w:pPr>
        <w:spacing w:after="0" w:line="62" w:lineRule="exact"/>
        <w:rPr>
          <w:rFonts w:ascii="Arial" w:cs="Arial" w:eastAsia="Arial" w:hAnsi="Arial"/>
          <w:sz w:val="16"/>
          <w:szCs w:val="16"/>
          <w:color w:val="auto"/>
        </w:rPr>
      </w:pPr>
    </w:p>
    <w:p>
      <w:pPr>
        <w:ind w:left="4" w:right="20" w:firstLine="436"/>
        <w:spacing w:after="0" w:line="296" w:lineRule="auto"/>
        <w:tabs>
          <w:tab w:leader="none" w:pos="669"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Subject to the foregoing </w:t>
      </w:r>
      <w:r>
        <w:rPr>
          <w:rFonts w:ascii="Arial" w:cs="Arial" w:eastAsia="Arial" w:hAnsi="Arial"/>
          <w:sz w:val="16"/>
          <w:szCs w:val="16"/>
          <w:u w:val="single" w:color="auto"/>
          <w:color w:val="auto"/>
        </w:rPr>
        <w:t>Sections 1(b)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each of the Original Members (and any of their respective Permitted Transferees) hereby agrees to vote, or cause to be voted, all outstanding shares of Class A Common Stock and/or Class B Common Stock, as applicable, held by such Original Members (or any of their respective Permitted Transferees) at any annual or special meeting of stockholders of the Corporation at which Directors of the Corporation are to be elected or removed, or to take all Necessary Action to cause the election or removal of the Centerbridge Directors, NVX Directors, Centerbridge-Designated Independent Directors and NVX-Designated Independent Directors as Directors, as provided herein.</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 </w:t>
      </w:r>
      <w:r>
        <w:rPr>
          <w:rFonts w:ascii="Arial" w:cs="Arial" w:eastAsia="Arial" w:hAnsi="Arial"/>
          <w:sz w:val="18"/>
          <w:szCs w:val="18"/>
          <w:u w:val="single" w:color="auto"/>
          <w:color w:val="auto"/>
        </w:rPr>
        <w:t>Vacancies and Replacements</w:t>
      </w:r>
      <w:r>
        <w:rPr>
          <w:rFonts w:ascii="Arial" w:cs="Arial" w:eastAsia="Arial" w:hAnsi="Arial"/>
          <w:sz w:val="18"/>
          <w:szCs w:val="18"/>
          <w:color w:val="auto"/>
        </w:rPr>
        <w:t>.</w:t>
      </w:r>
    </w:p>
    <w:p>
      <w:pPr>
        <w:spacing w:after="0" w:line="117" w:lineRule="exact"/>
        <w:rPr>
          <w:sz w:val="20"/>
          <w:szCs w:val="20"/>
          <w:color w:val="auto"/>
        </w:rPr>
      </w:pPr>
    </w:p>
    <w:p>
      <w:pPr>
        <w:ind w:right="200" w:firstLine="436"/>
        <w:spacing w:after="0" w:line="277" w:lineRule="auto"/>
        <w:tabs>
          <w:tab w:leader="none" w:pos="6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If the number of Directors that Centerbridge or NVX Holdings have the right to designate to the Board is decreased pursuant to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(each such occurrence, a “</w:t>
      </w:r>
      <w:r>
        <w:rPr>
          <w:rFonts w:ascii="Arial" w:cs="Arial" w:eastAsia="Arial" w:hAnsi="Arial"/>
          <w:sz w:val="18"/>
          <w:szCs w:val="18"/>
          <w:u w:val="single" w:color="auto"/>
          <w:color w:val="auto"/>
        </w:rPr>
        <w:t>Decrease in Designation Rights</w:t>
      </w:r>
      <w:r>
        <w:rPr>
          <w:rFonts w:ascii="Arial" w:cs="Arial" w:eastAsia="Arial" w:hAnsi="Arial"/>
          <w:sz w:val="18"/>
          <w:szCs w:val="18"/>
          <w:color w:val="auto"/>
        </w:rPr>
        <w:t>”), then:</w:t>
      </w:r>
    </w:p>
    <w:p>
      <w:pPr>
        <w:spacing w:after="0" w:line="62" w:lineRule="exact"/>
        <w:rPr>
          <w:rFonts w:ascii="Arial" w:cs="Arial" w:eastAsia="Arial" w:hAnsi="Arial"/>
          <w:sz w:val="18"/>
          <w:szCs w:val="18"/>
          <w:color w:val="auto"/>
        </w:rPr>
      </w:pPr>
    </w:p>
    <w:p>
      <w:pPr>
        <w:ind w:left="440" w:right="40" w:firstLine="419"/>
        <w:spacing w:after="0" w:line="286" w:lineRule="auto"/>
        <w:tabs>
          <w:tab w:leader="none" w:pos="107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unless a majority of Directors agree in writing that a Director or Directors shall not resign as a result of a Decrease in Designation Rights, each of the Centerbridge Parties or NVX Holdings, as applicable, shall use its reasonable best efforts to cause each of (x) the appropriate number of Centerbridge Directors or Centerbridge-Designated Independent Directors that Centerbridge ceases to have the right to designate to serve as a Centerbridge Director or Centerbridge-Designated Independent Director, as applicable, or (y) the appropriate number of NVX Directors or NVX-Designated Independent Directors that NVX Holdings ceases to have the right to designate to serve as the NVX Directors or NVX-Designated Independent Directors, respectively, to offer to tender his, her or their resignation(s), and each of such Centerbridge Directors or Centerbridge-Designated Independent Directors or NVX Directors or NVX-Designated Independent Directors so tendering a resignation, as applicable, shall resign within thirty (30) days from the date that Centerbridge and/or NVX Holdings, as applicable, incurs a Decrease in Designation Rights. In the event any such Centerbridge Director, Centerbridge-Designated Independent Director, NVX Director or NVX-Designated Independent Director, as applicable, does not resign as a Director by such time as is required by the foregoing, the Centerbridge Parties and NVX Holdings, as holders of Class A Common Stock and Class B Common Stock, the Corporation and the Board, to the fullest extent permitted by law and, with respect to the Board, subject to its fiduciary duties to the Corporation’s stockholders, shall thereafter take all Necessary Action, including voting in accordance with </w:t>
      </w:r>
      <w:r>
        <w:rPr>
          <w:rFonts w:ascii="Arial" w:cs="Arial" w:eastAsia="Arial" w:hAnsi="Arial"/>
          <w:sz w:val="16"/>
          <w:szCs w:val="16"/>
          <w:u w:val="single" w:color="auto"/>
          <w:color w:val="auto"/>
        </w:rPr>
        <w:t>Section1(f)</w:t>
      </w:r>
      <w:r>
        <w:rPr>
          <w:rFonts w:ascii="Arial" w:cs="Arial" w:eastAsia="Arial" w:hAnsi="Arial"/>
          <w:sz w:val="16"/>
          <w:szCs w:val="16"/>
          <w:color w:val="auto"/>
        </w:rPr>
        <w:t>, to cause the removal of such individual as a Director; and</w:t>
      </w:r>
    </w:p>
    <w:p>
      <w:pPr>
        <w:spacing w:after="0" w:line="65" w:lineRule="exact"/>
        <w:rPr>
          <w:rFonts w:ascii="Arial" w:cs="Arial" w:eastAsia="Arial" w:hAnsi="Arial"/>
          <w:sz w:val="16"/>
          <w:szCs w:val="16"/>
          <w:color w:val="auto"/>
        </w:rPr>
      </w:pPr>
    </w:p>
    <w:p>
      <w:pPr>
        <w:ind w:left="440" w:right="480" w:firstLine="419"/>
        <w:spacing w:after="0" w:line="342" w:lineRule="auto"/>
        <w:tabs>
          <w:tab w:leader="none" w:pos="112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vacancy or vacancies created by such resignation(s) and/or removal(s) shall be filled with one or more Directors, as applicable, designated by the Board upon the recommendation of the Nominating and Corporate Governance Committee, so long as it is established.</w:t>
      </w:r>
    </w:p>
    <w:p>
      <w:pPr>
        <w:spacing w:after="0" w:line="15" w:lineRule="exact"/>
        <w:rPr>
          <w:rFonts w:ascii="Arial" w:cs="Arial" w:eastAsia="Arial" w:hAnsi="Arial"/>
          <w:sz w:val="16"/>
          <w:szCs w:val="16"/>
          <w:color w:val="auto"/>
        </w:rPr>
      </w:pPr>
    </w:p>
    <w:p>
      <w:pPr>
        <w:ind w:firstLine="436"/>
        <w:spacing w:after="0" w:line="270" w:lineRule="auto"/>
        <w:tabs>
          <w:tab w:leader="none" w:pos="6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Each of Centerbridge and NVX Holdings shall have the sole right to request that one or more of their respective designated Directors (including, for the avoidance of doubt, any Centerbridge-Designated Independent Director or NVX-Designated Director, as applicable), as applicable, tender their resignations as Directors of the Board, in each case, with or without cause at any time, by sending a written notice to such Director and the Corporation’s Secretary stating the name of the Director or Directors whose resignation from the Board is requested (the “</w:t>
      </w:r>
      <w:r>
        <w:rPr>
          <w:rFonts w:ascii="Arial" w:cs="Arial" w:eastAsia="Arial" w:hAnsi="Arial"/>
          <w:sz w:val="17"/>
          <w:szCs w:val="17"/>
          <w:u w:val="single" w:color="auto"/>
          <w:color w:val="auto"/>
        </w:rPr>
        <w:t>Removal Notice</w:t>
      </w:r>
      <w:r>
        <w:rPr>
          <w:rFonts w:ascii="Arial" w:cs="Arial" w:eastAsia="Arial" w:hAnsi="Arial"/>
          <w:sz w:val="17"/>
          <w:szCs w:val="17"/>
          <w:color w:val="auto"/>
        </w:rPr>
        <w:t xml:space="preserve">”). If the Director subject to such Removal Notice does not resign within thirty (30) days from receipt thereof by such Director, the Centerbridge Parties and NVX Holdings, as holders of Class A Common Stock and Class B Common Stock, the Corporation and the Board, to the fullest extent permitted by law and, with respect to the Board, subject to its fiduciary duties to the Corporation’s stockholders, shall thereafter take all Necessary Action, including voting in accordance with </w:t>
      </w:r>
      <w:r>
        <w:rPr>
          <w:rFonts w:ascii="Arial" w:cs="Arial" w:eastAsia="Arial" w:hAnsi="Arial"/>
          <w:sz w:val="17"/>
          <w:szCs w:val="17"/>
          <w:u w:val="single" w:color="auto"/>
          <w:color w:val="auto"/>
        </w:rPr>
        <w:t>Section 1(f)</w:t>
      </w:r>
      <w:r>
        <w:rPr>
          <w:rFonts w:ascii="Arial" w:cs="Arial" w:eastAsia="Arial" w:hAnsi="Arial"/>
          <w:sz w:val="17"/>
          <w:szCs w:val="17"/>
          <w:color w:val="auto"/>
        </w:rPr>
        <w:t xml:space="preserve"> to cause the removal of such Director from the Board (and such Director shall only be removed by the parties to this Agreement in such manner as provided herein).</w:t>
      </w:r>
    </w:p>
    <w:p>
      <w:pPr>
        <w:spacing w:after="0" w:line="72" w:lineRule="exact"/>
        <w:rPr>
          <w:rFonts w:ascii="Arial" w:cs="Arial" w:eastAsia="Arial" w:hAnsi="Arial"/>
          <w:sz w:val="17"/>
          <w:szCs w:val="17"/>
          <w:color w:val="auto"/>
        </w:rPr>
      </w:pPr>
    </w:p>
    <w:p>
      <w:pPr>
        <w:ind w:right="220" w:firstLine="436"/>
        <w:spacing w:after="0" w:line="301" w:lineRule="auto"/>
        <w:tabs>
          <w:tab w:leader="none" w:pos="68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Each of Centerbridge and NVX Holdings, as applicable, shall have the exclusive right to designate a replacement Director for nomination or election by the Board to fill vacancies created as a result of not designating their respective Directors initially or by death, disability, retirement, resignation, removal (with or without cause) of their respective Directors, or otherwise by designating a successor for nomination or election by the Board to fill the vacancy of their respective Directors created thereby on the terms and subject to the conditions of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56" w:name="page157"/>
    <w:bookmarkEnd w:id="15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 </w:t>
      </w:r>
      <w:r>
        <w:rPr>
          <w:rFonts w:ascii="Arial" w:cs="Arial" w:eastAsia="Arial" w:hAnsi="Arial"/>
          <w:sz w:val="18"/>
          <w:szCs w:val="18"/>
          <w:u w:val="single" w:color="auto"/>
          <w:color w:val="auto"/>
        </w:rPr>
        <w:t>Initial Directors</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 xml:space="preserve">The initial Centerbridge Directors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shall be Jeremy W. Gelber (as a Class III Director) and Miriam A. Tawil (as a Class II Director). The initial NVX Directors pursuant to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shall be Brandon M. Cruz (as a Class II Director) and Clinton P. Jones (as a Class III Director). The initial Centerbridge-Designated Independent Directors pursuant to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shall be Joseph G. Flanagan (as a Class II Director) and Alexander E. Timm (as a Class I Director). The initial NVX-Designated Independent Directors pursuant to </w:t>
      </w:r>
      <w:r>
        <w:rPr>
          <w:rFonts w:ascii="Arial" w:cs="Arial" w:eastAsia="Arial" w:hAnsi="Arial"/>
          <w:sz w:val="17"/>
          <w:szCs w:val="17"/>
          <w:u w:val="single" w:color="auto"/>
          <w:color w:val="auto"/>
        </w:rPr>
        <w:t>Section 1(e)</w:t>
      </w:r>
      <w:r>
        <w:rPr>
          <w:rFonts w:ascii="Arial" w:cs="Arial" w:eastAsia="Arial" w:hAnsi="Arial"/>
          <w:sz w:val="17"/>
          <w:szCs w:val="17"/>
          <w:color w:val="auto"/>
        </w:rPr>
        <w:t xml:space="preserve"> shall be Helene D. Gayle (as a Class I Director) and Anita V. Pramoda (as a Class III Director). The one (1) remaining initial Director shall satisfy the Independence Requirements, and shall be Rahm Emanuel (as Class I Director). Clinton P. Jones and Brandon M. Cruz shall serve as the initial Chairpersons of the Board (as defined in the Bylaws) for the initial term, in accordance with this Agreement and the Bylaws, after which the Chairperson(s) of the Board shall be determined in accordance with this Agreement and the Bylaws.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Committees</w:t>
      </w:r>
      <w:r>
        <w:rPr>
          <w:rFonts w:ascii="Arial" w:cs="Arial" w:eastAsia="Arial" w:hAnsi="Arial"/>
          <w:sz w:val="18"/>
          <w:szCs w:val="18"/>
          <w:color w:val="auto"/>
        </w:rPr>
        <w:t>.</w:t>
      </w:r>
    </w:p>
    <w:p>
      <w:pPr>
        <w:spacing w:after="0" w:line="117"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With respect to any committee of Directors established by the Board, any such committee shall include one Centerbridge-Designated Independent Director and one NVX-Designated Independent Director to serve on such committee, in each case, for so long as Centerbridge or NVX Holdings, as applicable, retains designation rights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Board Observers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Until such time as (a) the Centerbridge Parties no longer beneficially own, directly or indirectly, in the aggregate, at least five percent (5%) of the issued and outstanding shares of Class A Common Stock (including for this purpose the Underlying Class A Shares), Centerbridge shall be entitled to appoint one (1) individual (such individual, the “</w:t>
      </w:r>
      <w:r>
        <w:rPr>
          <w:rFonts w:ascii="Arial" w:cs="Arial" w:eastAsia="Arial" w:hAnsi="Arial"/>
          <w:sz w:val="16"/>
          <w:szCs w:val="16"/>
          <w:u w:val="single" w:color="auto"/>
          <w:color w:val="auto"/>
        </w:rPr>
        <w:t>Centerbridge Observer</w:t>
      </w:r>
      <w:r>
        <w:rPr>
          <w:rFonts w:ascii="Arial" w:cs="Arial" w:eastAsia="Arial" w:hAnsi="Arial"/>
          <w:sz w:val="16"/>
          <w:szCs w:val="16"/>
          <w:color w:val="auto"/>
        </w:rPr>
        <w:t>”) to attend all meetings of the Board (including, for the avoidance of doubt, telephonic and video meetings) and any committee thereof (including, for the avoidance of doubt, telephonic and video meetings) in a nonvoting observer capacity and (b) NVX Holdings no longer beneficially owns, directly or indirectly, in the aggregate, at least five percent (5%) of the issued and outstanding shares of Class A Common Stock (including for this purpose the Underlying Class A Shares), NVX Holdings shall be entitled to appoint one</w:t>
      </w:r>
    </w:p>
    <w:p>
      <w:pPr>
        <w:spacing w:after="0" w:line="4" w:lineRule="exact"/>
        <w:rPr>
          <w:sz w:val="20"/>
          <w:szCs w:val="20"/>
          <w:color w:val="auto"/>
        </w:rPr>
      </w:pPr>
    </w:p>
    <w:p>
      <w:pPr>
        <w:ind w:left="4" w:right="100" w:hanging="4"/>
        <w:spacing w:after="0" w:line="267" w:lineRule="auto"/>
        <w:tabs>
          <w:tab w:leader="none" w:pos="25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individual (such individual, the “</w:t>
      </w:r>
      <w:r>
        <w:rPr>
          <w:rFonts w:ascii="Arial" w:cs="Arial" w:eastAsia="Arial" w:hAnsi="Arial"/>
          <w:sz w:val="17"/>
          <w:szCs w:val="17"/>
          <w:u w:val="single" w:color="auto"/>
          <w:color w:val="auto"/>
        </w:rPr>
        <w:t>NVX Observer</w:t>
      </w:r>
      <w:r>
        <w:rPr>
          <w:rFonts w:ascii="Arial" w:cs="Arial" w:eastAsia="Arial" w:hAnsi="Arial"/>
          <w:sz w:val="17"/>
          <w:szCs w:val="17"/>
          <w:color w:val="auto"/>
        </w:rPr>
        <w:t>”, and together with the Centerbridge Observer, each, an “</w:t>
      </w:r>
      <w:r>
        <w:rPr>
          <w:rFonts w:ascii="Arial" w:cs="Arial" w:eastAsia="Arial" w:hAnsi="Arial"/>
          <w:sz w:val="17"/>
          <w:szCs w:val="17"/>
          <w:u w:val="single" w:color="auto"/>
          <w:color w:val="auto"/>
        </w:rPr>
        <w:t>Observer</w:t>
      </w:r>
      <w:r>
        <w:rPr>
          <w:rFonts w:ascii="Arial" w:cs="Arial" w:eastAsia="Arial" w:hAnsi="Arial"/>
          <w:sz w:val="17"/>
          <w:szCs w:val="17"/>
          <w:color w:val="auto"/>
        </w:rPr>
        <w:t>”) to attend all meetings of the Board (including, for the avoidance of doubt, telephonic and video meetings) and any committee thereof (including, for the avoidance of doubt, telephonic and video meetings) in a nonvoting observer capacity. Each Observer shall execute and deliver a confidentiality agreement in form and substance reasonably acceptable to the Corporation. In connection therewith, the Board of the Company shall provide each Observer with copies of all notices, minutes, consents and other materials that it provides Directors or any committees substantially concurrently therewith. Notwithstanding the foregoing, the Board or the Corporation may withhold any information or exclude any Observer from any such meeting or portion thereof, including closing and/or executive sessions, if the Board determines in good faith that such exclusion is reasonably necessary to preserve attorney-client privilege or under circumstances that present an actual or potential conflict of interest. For the avoidance of doubt, (i) the designation of the Centerbridge Observer and the NVX Observer is a right, and not an obligation, of Centerbridge and NVX Holdings, respectively and (ii) no Observer shall owe any fiduciary duties to the Corporation or any of its stockholders (other than to a Centerbridge Party or NVX Holdings pursuant to a separate agreement by and between an Observer and any such Centerbridge Party or NVX Holdings).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157" w:name="page158"/>
    <w:bookmarkEnd w:id="15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 </w:t>
      </w:r>
      <w:r>
        <w:rPr>
          <w:rFonts w:ascii="Arial" w:cs="Arial" w:eastAsia="Arial" w:hAnsi="Arial"/>
          <w:sz w:val="18"/>
          <w:szCs w:val="18"/>
          <w:u w:val="single" w:color="auto"/>
          <w:color w:val="auto"/>
        </w:rPr>
        <w:t>Rights of the Original Members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In addition to any voting requirements contained in the organizational documents of the Corporation or any of its Subsidiaries or controlled affiliates, the Corporation shall not take, and shall cause GoHealth LLC and its Subsidiaries and any of the Corporation’s controlled affiliates not to take,</w:t>
      </w:r>
    </w:p>
    <w:p>
      <w:pPr>
        <w:ind w:left="4" w:right="40" w:hanging="4"/>
        <w:spacing w:after="0" w:line="281" w:lineRule="auto"/>
        <w:tabs>
          <w:tab w:leader="none" w:pos="21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of the actions set forth in the following clauses that constitute Material Actions (whether by merger, consolidation or otherwise) without the prior written approval of each of (A) Centerbridge for as long as the Centerbridge Parties beneficially own, directly or indirectly, in the aggregate fifteen percent (15%) or more of all issued and outstanding shares of Class A Common Stock (including for these purposes the Underlying Class A Shares) and</w:t>
      </w:r>
    </w:p>
    <w:p>
      <w:pPr>
        <w:spacing w:after="0" w:line="1" w:lineRule="exact"/>
        <w:rPr>
          <w:rFonts w:ascii="Arial" w:cs="Arial" w:eastAsia="Arial" w:hAnsi="Arial"/>
          <w:sz w:val="16"/>
          <w:szCs w:val="16"/>
          <w:color w:val="auto"/>
        </w:rPr>
      </w:pPr>
    </w:p>
    <w:p>
      <w:pPr>
        <w:ind w:left="4" w:right="20"/>
        <w:spacing w:after="0" w:line="269" w:lineRule="auto"/>
        <w:rPr>
          <w:rFonts w:ascii="Arial" w:cs="Arial" w:eastAsia="Arial" w:hAnsi="Arial"/>
          <w:sz w:val="16"/>
          <w:szCs w:val="16"/>
          <w:color w:val="auto"/>
        </w:rPr>
      </w:pPr>
      <w:r>
        <w:rPr>
          <w:rFonts w:ascii="Arial" w:cs="Arial" w:eastAsia="Arial" w:hAnsi="Arial"/>
          <w:sz w:val="17"/>
          <w:szCs w:val="17"/>
          <w:color w:val="auto"/>
        </w:rPr>
        <w:t>(B) NVX Holdings for as long as NVX Holdings beneficially owns, directly or indirectly, in the aggregate fifteen percent (15%) or more of all issued and outstanding shares of Class A Common Stock (including for these purposes the Underlying Class A Shares) or (ii) any of the actions set forth in the following clauses that constitute Fundamental Actions (whether by merger, consolidation, division or otherwise) without the prior written approval of each of (A) Centerbridge for as long as the Centerbridge Parties beneficially own, directly or indirectly, in the aggregate five percent (5%) or more of all issued and outstanding shares of Class A Common Stock (including for these purposes the Underlying Class A Shares) and (B) NVX Holdings for as long as NVX Holdings beneficially owns, directly or indirectly, in the aggregate five percent (5%) or more of all issued and outstanding shares of Class A Common Stock (including for these purposes the Underlying Class A Shares):</w:t>
      </w:r>
    </w:p>
    <w:p>
      <w:pPr>
        <w:spacing w:after="0" w:line="72" w:lineRule="exact"/>
        <w:rPr>
          <w:rFonts w:ascii="Arial" w:cs="Arial" w:eastAsia="Arial" w:hAnsi="Arial"/>
          <w:sz w:val="16"/>
          <w:szCs w:val="16"/>
          <w:color w:val="auto"/>
        </w:rPr>
      </w:pPr>
    </w:p>
    <w:p>
      <w:pPr>
        <w:ind w:left="4" w:right="100" w:firstLine="436"/>
        <w:spacing w:after="0" w:line="271" w:lineRule="auto"/>
        <w:tabs>
          <w:tab w:leader="none" w:pos="689"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any transaction or series of related transactions, in each case, to the extent within the reasonable control of the Corporation, (i) in which any “person” or “group” (within the meaning of Sections 13(d) and 14(d) of the Exchange Act (excluding the Centerbridge Parties and any “group” that includes the Centerbridge Parties and NVX Holdings)) acquires, directly or indirectly, in excess of fifty percent (50%) of the then outstanding shares of any class of capital stock (or equivalent) of the Corporation, GoHealth LLC or any of their respective Subsidiaries (whether by merger, consolidation, sale or transfer of capital stock or partnership, limited liability company or other equity interests, tender offer, exchange offer, reorganization, recapitalization or otherwise), (ii) following which any “person” or “group” referred to in clause (i) hereof has the direct or indirect power to elect a majority of the members of the Board or to replace the Corporation as the sole manager of GoHealth LLC (or to add another Person as a co-manager of GoHealth LLC) or (iii) which would result in a Change of Control (as defined in the Charter);</w:t>
      </w:r>
    </w:p>
    <w:p>
      <w:pPr>
        <w:spacing w:after="0" w:line="70" w:lineRule="exact"/>
        <w:rPr>
          <w:rFonts w:ascii="Arial" w:cs="Arial" w:eastAsia="Arial" w:hAnsi="Arial"/>
          <w:sz w:val="17"/>
          <w:szCs w:val="17"/>
          <w:color w:val="auto"/>
        </w:rPr>
      </w:pPr>
    </w:p>
    <w:p>
      <w:pPr>
        <w:ind w:left="4" w:right="120" w:firstLine="436"/>
        <w:spacing w:after="0" w:line="277" w:lineRule="auto"/>
        <w:tabs>
          <w:tab w:leader="none" w:pos="69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reorganization, recapitalization, voluntary bankruptcy, liquidation, dissolution or winding-up of the Corporation, GoHealth LLC or any of their respective Subsidiaries;</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sale, lease or exchange of all or substantially all of the property and assets of the Corporation and its Subsidiaries, taken as a whole;</w:t>
      </w:r>
    </w:p>
    <w:p>
      <w:pPr>
        <w:spacing w:after="0" w:line="128" w:lineRule="exact"/>
        <w:rPr>
          <w:rFonts w:ascii="Arial" w:cs="Arial" w:eastAsia="Arial" w:hAnsi="Arial"/>
          <w:sz w:val="17"/>
          <w:szCs w:val="17"/>
          <w:color w:val="auto"/>
        </w:rPr>
      </w:pPr>
    </w:p>
    <w:p>
      <w:pPr>
        <w:ind w:left="4" w:right="400" w:firstLine="436"/>
        <w:spacing w:after="0" w:line="277" w:lineRule="auto"/>
        <w:tabs>
          <w:tab w:leader="none" w:pos="69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(i) resignation, replacement or removal of the Corporation as the sole manager of GoHealth LLC or (ii) appointment of any additional Person as a manager of GoHealth LLC;</w:t>
      </w:r>
    </w:p>
    <w:p>
      <w:pPr>
        <w:spacing w:after="0" w:line="62" w:lineRule="exact"/>
        <w:rPr>
          <w:rFonts w:ascii="Arial" w:cs="Arial" w:eastAsia="Arial" w:hAnsi="Arial"/>
          <w:sz w:val="18"/>
          <w:szCs w:val="18"/>
          <w:color w:val="auto"/>
        </w:rPr>
      </w:pPr>
    </w:p>
    <w:p>
      <w:pPr>
        <w:jc w:val="both"/>
        <w:ind w:left="4" w:right="180" w:firstLine="436"/>
        <w:spacing w:after="0" w:line="259" w:lineRule="auto"/>
        <w:tabs>
          <w:tab w:leader="none" w:pos="68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acquisition or disposition by the Corporation or any of its Subsidiaries of assets, Persons, equity interests or businesses, or entry into any joint venture by the Corporation or any of its Subsidiaries, where the aggregate consideration is greater than fifty million dollars ($50,000,000) in any single transaction or series of related transactions, other than transactions solely between or among the Corporation and/or one or more of the Corporation’s direct or indirect wholly owned subsidiaries;</w:t>
      </w:r>
    </w:p>
    <w:p>
      <w:pPr>
        <w:spacing w:after="0" w:line="78" w:lineRule="exact"/>
        <w:rPr>
          <w:rFonts w:ascii="Arial" w:cs="Arial" w:eastAsia="Arial" w:hAnsi="Arial"/>
          <w:sz w:val="18"/>
          <w:szCs w:val="18"/>
          <w:color w:val="auto"/>
        </w:rPr>
      </w:pPr>
    </w:p>
    <w:p>
      <w:pPr>
        <w:ind w:left="4" w:right="840" w:firstLine="436"/>
        <w:spacing w:after="0" w:line="277" w:lineRule="auto"/>
        <w:tabs>
          <w:tab w:leader="none" w:pos="66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creation of a new class or series of capital stock or equity securities of the Corporation, GoHealth LLC or any of their respective Subsidiaries;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58" w:name="page159"/>
    <w:bookmarkEnd w:id="158"/>
    <w:p>
      <w:pPr>
        <w:ind w:left="-20" w:right="80" w:firstLine="436"/>
        <w:spacing w:after="0" w:line="255" w:lineRule="auto"/>
        <w:tabs>
          <w:tab w:leader="none" w:pos="675"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issuance of additional shares of Class A Common Stock, Class B Common Stock, Preferred Stock or other equity securities of the Corporation, GoHealth LLC or any of their respective Subsidiaries after the date hereof, other than any issuance of additional shares of Class A Common Stock or other equity securities of the Corporation or its Subsidiaries (i) under any stock option or other equity compensation plan of the Corporation or any of its Subsidiaries approved by the Board or the compensation committee of the Board, (ii) pursuant to the exercise or conversion of any options, warrants or other securities existing as of the date of this Agreement, or (iii) in connection with any redemption of Common Units as set forth in the LLC Agreement;</w:t>
      </w:r>
    </w:p>
    <w:p>
      <w:pPr>
        <w:spacing w:after="0" w:line="84" w:lineRule="exact"/>
        <w:rPr>
          <w:rFonts w:ascii="Arial" w:cs="Arial" w:eastAsia="Arial" w:hAnsi="Arial"/>
          <w:sz w:val="18"/>
          <w:szCs w:val="18"/>
          <w:color w:val="auto"/>
        </w:rPr>
      </w:pPr>
    </w:p>
    <w:p>
      <w:pPr>
        <w:ind w:left="-20" w:right="280" w:firstLine="436"/>
        <w:spacing w:after="0" w:line="277" w:lineRule="auto"/>
        <w:tabs>
          <w:tab w:leader="none" w:pos="67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amendment or modification of the organizational documents of the Corporation, GoHealth LLC or any of their respective Subsidiaries, including, for the avoidance of doubt, the LLC Agreement;</w:t>
      </w:r>
    </w:p>
    <w:p>
      <w:pPr>
        <w:spacing w:after="0" w:line="62" w:lineRule="exact"/>
        <w:rPr>
          <w:rFonts w:ascii="Arial" w:cs="Arial" w:eastAsia="Arial" w:hAnsi="Arial"/>
          <w:sz w:val="18"/>
          <w:szCs w:val="18"/>
          <w:color w:val="auto"/>
        </w:rPr>
      </w:pPr>
    </w:p>
    <w:p>
      <w:pPr>
        <w:ind w:left="640" w:hanging="224"/>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increase or decrease of the size of the Board;</w:t>
      </w:r>
    </w:p>
    <w:p>
      <w:pPr>
        <w:spacing w:after="0" w:line="117" w:lineRule="exact"/>
        <w:rPr>
          <w:rFonts w:ascii="Arial" w:cs="Arial" w:eastAsia="Arial" w:hAnsi="Arial"/>
          <w:sz w:val="18"/>
          <w:szCs w:val="18"/>
          <w:color w:val="auto"/>
        </w:rPr>
      </w:pPr>
    </w:p>
    <w:p>
      <w:pPr>
        <w:ind w:left="-20" w:right="200" w:firstLine="436"/>
        <w:spacing w:after="0" w:line="277" w:lineRule="auto"/>
        <w:tabs>
          <w:tab w:leader="none" w:pos="6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 than as contemplated by the LLC Agreement, any repurchase, redemption or other acquisition of any equity interests or other securities of, or other ownership interests in, the Corporation or any of its Subsidiaries;</w:t>
      </w:r>
    </w:p>
    <w:p>
      <w:pPr>
        <w:spacing w:after="0" w:line="62" w:lineRule="exact"/>
        <w:rPr>
          <w:rFonts w:ascii="Arial" w:cs="Arial" w:eastAsia="Arial" w:hAnsi="Arial"/>
          <w:sz w:val="18"/>
          <w:szCs w:val="18"/>
          <w:color w:val="auto"/>
        </w:rPr>
      </w:pPr>
    </w:p>
    <w:p>
      <w:pPr>
        <w:ind w:left="680" w:hanging="264"/>
        <w:spacing w:after="0"/>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material change to the primary nature of the Corporation’s and its Subsidiaries’ business;</w:t>
      </w:r>
    </w:p>
    <w:p>
      <w:pPr>
        <w:spacing w:after="0" w:line="117" w:lineRule="exact"/>
        <w:rPr>
          <w:rFonts w:ascii="Arial" w:cs="Arial" w:eastAsia="Arial" w:hAnsi="Arial"/>
          <w:sz w:val="18"/>
          <w:szCs w:val="18"/>
          <w:color w:val="auto"/>
        </w:rPr>
      </w:pPr>
    </w:p>
    <w:p>
      <w:pPr>
        <w:ind w:left="-20" w:firstLine="436"/>
        <w:spacing w:after="0" w:line="263" w:lineRule="auto"/>
        <w:tabs>
          <w:tab w:leader="none" w:pos="6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other than as provided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any transaction with any affiliate, director or officer of the Corporation or any of its Subsidiaries (other than employment arrangements with any such director or officer (which shall be governed by clause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w:t>
      </w:r>
      <w:r>
        <w:rPr>
          <w:rFonts w:ascii="Arial" w:cs="Arial" w:eastAsia="Arial" w:hAnsi="Arial"/>
          <w:sz w:val="18"/>
          <w:szCs w:val="18"/>
          <w:color w:val="auto"/>
        </w:rPr>
        <w:t>)) involving an amount in excess of three million dollars ($3,000,000);</w:t>
      </w:r>
    </w:p>
    <w:p>
      <w:pPr>
        <w:spacing w:after="0" w:line="75" w:lineRule="exact"/>
        <w:rPr>
          <w:rFonts w:ascii="Arial" w:cs="Arial" w:eastAsia="Arial" w:hAnsi="Arial"/>
          <w:sz w:val="18"/>
          <w:szCs w:val="18"/>
          <w:color w:val="auto"/>
        </w:rPr>
      </w:pPr>
    </w:p>
    <w:p>
      <w:pPr>
        <w:ind w:left="-20" w:right="80" w:firstLine="436"/>
        <w:spacing w:after="0" w:line="263" w:lineRule="auto"/>
        <w:tabs>
          <w:tab w:leader="none" w:pos="72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incurrence of new indebtedness or refinancing of existing indebtedness by the Corporation or any of its Subsidiaries, any guarantee made by the Corporation or any of its Subsidiaries or any grant of any security interest in any of the assets of the Corporation or any of its Subsidiaries, in each case with a value in excess of twenty-five million dollars ($25,000,000);</w:t>
      </w:r>
    </w:p>
    <w:p>
      <w:pPr>
        <w:spacing w:after="0" w:line="75" w:lineRule="exact"/>
        <w:rPr>
          <w:rFonts w:ascii="Arial" w:cs="Arial" w:eastAsia="Arial" w:hAnsi="Arial"/>
          <w:sz w:val="18"/>
          <w:szCs w:val="18"/>
          <w:color w:val="auto"/>
        </w:rPr>
      </w:pPr>
    </w:p>
    <w:p>
      <w:pPr>
        <w:ind w:left="680" w:hanging="264"/>
        <w:spacing w:after="0"/>
        <w:tabs>
          <w:tab w:leader="none" w:pos="6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settlement of any material litigation or similar action to which the Corporation or any Subsidiary is a party or could otherwise be bound;</w:t>
      </w:r>
    </w:p>
    <w:p>
      <w:pPr>
        <w:spacing w:after="0" w:line="128" w:lineRule="exact"/>
        <w:rPr>
          <w:rFonts w:ascii="Arial" w:cs="Arial" w:eastAsia="Arial" w:hAnsi="Arial"/>
          <w:sz w:val="17"/>
          <w:szCs w:val="17"/>
          <w:color w:val="auto"/>
        </w:rPr>
      </w:pPr>
    </w:p>
    <w:p>
      <w:pPr>
        <w:ind w:left="680" w:hanging="264"/>
        <w:spacing w:after="0"/>
        <w:tabs>
          <w:tab w:leader="none" w:pos="6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engagement of, or change to, the Corporation’s independent auditor;</w:t>
      </w:r>
    </w:p>
    <w:p>
      <w:pPr>
        <w:spacing w:after="0" w:line="117" w:lineRule="exact"/>
        <w:rPr>
          <w:rFonts w:ascii="Arial" w:cs="Arial" w:eastAsia="Arial" w:hAnsi="Arial"/>
          <w:sz w:val="18"/>
          <w:szCs w:val="18"/>
          <w:color w:val="auto"/>
        </w:rPr>
      </w:pPr>
    </w:p>
    <w:p>
      <w:pPr>
        <w:ind w:left="-20" w:right="200" w:firstLine="436"/>
        <w:spacing w:after="0" w:line="342" w:lineRule="auto"/>
        <w:tabs>
          <w:tab w:leader="none" w:pos="67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the hiring or termination (other than a termination for cause) of the Chief Executive Officer; </w:t>
      </w:r>
      <w:r>
        <w:rPr>
          <w:rFonts w:ascii="Arial" w:cs="Arial" w:eastAsia="Arial" w:hAnsi="Arial"/>
          <w:sz w:val="16"/>
          <w:szCs w:val="16"/>
          <w:i w:val="1"/>
          <w:iCs w:val="1"/>
          <w:color w:val="auto"/>
        </w:rPr>
        <w:t>provided</w:t>
      </w:r>
      <w:r>
        <w:rPr>
          <w:rFonts w:ascii="Arial" w:cs="Arial" w:eastAsia="Arial" w:hAnsi="Arial"/>
          <w:sz w:val="16"/>
          <w:szCs w:val="16"/>
          <w:color w:val="auto"/>
        </w:rPr>
        <w:t>, with respect to the hiring of the Chief Executive Officer, such approval shall not be unreasonably withheld if the candidate for Chief Executive Officer has been approved by the Board;</w:t>
      </w:r>
    </w:p>
    <w:p>
      <w:pPr>
        <w:spacing w:after="0" w:line="15" w:lineRule="exact"/>
        <w:rPr>
          <w:rFonts w:ascii="Arial" w:cs="Arial" w:eastAsia="Arial" w:hAnsi="Arial"/>
          <w:sz w:val="16"/>
          <w:szCs w:val="16"/>
          <w:color w:val="auto"/>
        </w:rPr>
      </w:pPr>
    </w:p>
    <w:p>
      <w:pPr>
        <w:ind w:left="-20" w:right="120" w:firstLine="436"/>
        <w:spacing w:after="0" w:line="259" w:lineRule="auto"/>
        <w:tabs>
          <w:tab w:leader="none" w:pos="67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any increase, decrease or change in compensation (including equity compensation or other employment terms) with respect to the Chief Executive Officer, President, Chief Financial Officer, Chief Operating Officer or Chief Strategy Officer or (ii) any approval, authorization or implementation of, or any change, amendment or modification to, any employee equity incentive plan, agreement or arrangement of the Corporation or any of its Subsidiaries; or</w:t>
      </w:r>
    </w:p>
    <w:p>
      <w:pPr>
        <w:spacing w:after="0" w:line="78" w:lineRule="exact"/>
        <w:rPr>
          <w:rFonts w:ascii="Arial" w:cs="Arial" w:eastAsia="Arial" w:hAnsi="Arial"/>
          <w:sz w:val="18"/>
          <w:szCs w:val="18"/>
          <w:color w:val="auto"/>
        </w:rPr>
      </w:pPr>
    </w:p>
    <w:p>
      <w:pPr>
        <w:ind w:left="640" w:hanging="224"/>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agreement, authorization or commitment to do any of the foregoing.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Covenants of the Corporation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1" w:lineRule="auto"/>
        <w:tabs>
          <w:tab w:leader="none" w:pos="68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Corporation agrees to take all Necessary Action to cause (i) the Board to be comprised at least of nine (9) Directors or such other number of Directors as the Board may determine, subject to the terms of this Agreement, the Charter or the Bylaws of the Corporation; (ii) the individuals designated in accordance with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to be included in the slate of nominees to be elected at the next annual or special meeting of stockholders of the Corporation at which Directors are to be elected, in accordance with the Bylaws, Charter and General Corporation Law of the State of Delaware and at each annual meeting of stockholders of the Corporation thereafter at which such Director’s term expires; (iii) the individuals designated in accordance with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to fill the applicable vacancies on the Board, in accordance with the Bylaws, Charter, Securities Laws, General Corporation Law of the State of Delaware and the NASDAQ rules; (iv) Clinton P. Jones and Brandon M. Cruz to be the Chairpersons of the Board and (v) to adhere to, implement and enforce the provisions set forth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40" w:firstLine="436"/>
        <w:spacing w:after="0" w:line="288" w:lineRule="auto"/>
        <w:tabs>
          <w:tab w:leader="none" w:pos="69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Centerbridge Parties and NVX Holdings shall comply with the requirements of the Charter and Bylaws when designating and nominating individuals as Directors, in each case, to the extent such requirements are applicable to Directors generally. Notwithstanding anything to the contrary set forth herein, in the event that the Board determines, within sixty (60) days after compliance with the first sentence of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in good faith, after consultation with outside legal counsel, that its nomination, appointment or election of a particular Director designated in accordance with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as applicable, would constitute a breach of its fiduciary duties to the Corporation’s stockholders or does not otherwise comply with any requirements of the Charter or Bylaws, then the Board shall inform the Centerbridge Parties and/or NVX Holdings, as applicable, of such determination in writing and explain in reasonable detail the basis for such determination and shall, to the fullest extent permitted by law, nominate, appoint or elect another individual designated for nomination, election or appointment to the Board by the Centerbridge Parties and/or NVX Holdings, as applicable (subject in each case to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The Board and the Corporation shall, to the fullest extent permitted by law, take all Necessary Action required by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with respect to the election of such substitute designees to the Board.</w:t>
      </w:r>
    </w:p>
    <w:p>
      <w:pPr>
        <w:spacing w:after="0" w:line="60" w:lineRule="exact"/>
        <w:rPr>
          <w:rFonts w:ascii="Arial" w:cs="Arial" w:eastAsia="Arial" w:hAnsi="Arial"/>
          <w:sz w:val="16"/>
          <w:szCs w:val="16"/>
          <w:color w:val="auto"/>
        </w:rPr>
      </w:pPr>
    </w:p>
    <w:p>
      <w:pPr>
        <w:ind w:right="80" w:firstLine="436"/>
        <w:spacing w:after="0" w:line="285" w:lineRule="auto"/>
        <w:tabs>
          <w:tab w:leader="none" w:pos="68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Corporation shall deliver or cause to be delivered the following information to each Original Member, in each case, for so long as such Original Member beneficially owns, directly or indirectly, in the aggregate at least one percent (1%) or more of all issued and outstanding shares of Class A Common Stock (including for this purpose the Underlying Class A Shares): (i) as soon as available after the end of the first, second and third quarterly accounting periods in each fiscal year of the Corporation, and in any event within forty-five (45) days thereafter, an unaudited consolidated balance sheet of the Corporation and its Subsidiaries as of the end of each such quarterly period, and the related consolidated statements of operations, stockholders’ equity, comprehensive income (loss) and cash flows of the Corporation and its Subsidiaries for such quarterly period and for the current fiscal year to date, together with all related notes and schedules thereto, prepared in accordance with GAAP consistently applied (subject to normal year-end audit adjustments) and setting forth in comparative form the figures for the corresponding periods of the previous fiscal year, in reasonable detail and certified by the Chief Financial Officer of the Corporation, and reviewed by the Corporation’s independent auditor; (ii) as soon as available after the end of each fiscal year of the Corporation, and in any event within ninety (90) days thereafter, an audited consolidated balance sheet of the Corporation and its Subsidiaries as of the end of such fiscal year, and the related audited consolidated statements of operations, stockholders’ equity, comprehensive income (loss) and cash flows of the Corporation and its Subsidiaries for such year, together with all related notes and schedules thereto, prepared in accordance with GAAP consistently applied and setting forth in each case in comparative form the figures for the previous fiscal year, all in reasonable detail and accompanied by the audit reports thereon of the Corporation’s independent auditor, in reasonable detail and certified by the Chief Financial Officer of the Corporation; (iii) reasonably promptly after the end of each calendar month, monthly management reports and information packets, including budgets, forecasts, business plans,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60" w:name="page161"/>
    <w:bookmarkEnd w:id="16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results of operations and other similar matters; and (iv) with reasonable promptness, such other information and data (including such information and reports made available to any lender of the Corporation or any of its Subsidiaries under any credit agreement or otherwise) with respect to the Corporation and each of its Subsidiaries as may be necessary for such Original Member to comply with its respective reporting, regulatory, or other legal requirements and/or as may from time to time be reasonably requested by any such Original Member.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terminate upon the earliest to occur of any one of the following events:</w:t>
      </w:r>
    </w:p>
    <w:p>
      <w:pPr>
        <w:spacing w:after="0" w:line="117" w:lineRule="exact"/>
        <w:rPr>
          <w:sz w:val="20"/>
          <w:szCs w:val="20"/>
          <w:color w:val="auto"/>
        </w:rPr>
      </w:pPr>
    </w:p>
    <w:p>
      <w:pPr>
        <w:ind w:left="680" w:hanging="244"/>
        <w:spacing w:after="0"/>
        <w:tabs>
          <w:tab w:leader="none" w:pos="6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of (i) the Centerbridge Parties and (ii) NVX Holdings ceasing to own any shares of Class A Common Stock or Class B Common Stock; or</w:t>
      </w:r>
    </w:p>
    <w:p>
      <w:pPr>
        <w:spacing w:after="0" w:line="140" w:lineRule="exact"/>
        <w:rPr>
          <w:rFonts w:ascii="Arial" w:cs="Arial" w:eastAsia="Arial" w:hAnsi="Arial"/>
          <w:sz w:val="16"/>
          <w:szCs w:val="16"/>
          <w:color w:val="auto"/>
        </w:rPr>
      </w:pPr>
    </w:p>
    <w:p>
      <w:pPr>
        <w:ind w:left="700" w:hanging="264"/>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unanimous written consent of the parties hereto.</w:t>
      </w:r>
    </w:p>
    <w:p>
      <w:pPr>
        <w:spacing w:after="0" w:line="225"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for the avoidance of doubt, the rights and obligations (i) of the Centerbridge Parties under this Agreement shall terminate upon the Centerbridge Parties ceasing to own any shares of Class A Common Stock or Class B Common Stock and (ii) of NVX Holdings under this Agreement shall terminate upon NVX Holdings ceasing to own any shares of Class A Common Stock or Class B Common Stock. Notwithstanding the foregoing, nothing in this Agreement shall modify, limit or otherwise affect, in any way, any and all rights to indemnification, exculpation and/or contribution owed by any of the parties hereto, to the extent arising out of or relating to events occurring prior to the date of termination of this Agreement or the date the rights and obligations of such party under this Agreement terminates in accordance with this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any term that it is not defined herein,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Corporation, dated as of the date hereof, as the same may be further amended, restated, amended and restated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Centerbridge Director</w:t>
      </w:r>
      <w:r>
        <w:rPr>
          <w:rFonts w:ascii="Arial" w:cs="Arial" w:eastAsia="Arial" w:hAnsi="Arial"/>
          <w:sz w:val="16"/>
          <w:szCs w:val="16"/>
          <w:color w:val="auto"/>
        </w:rPr>
        <w:t xml:space="preserve">” means any Director who had initially been designated for nomination by Centerbridge in accordance with </w:t>
      </w:r>
      <w:r>
        <w:rPr>
          <w:rFonts w:ascii="Arial" w:cs="Arial" w:eastAsia="Arial" w:hAnsi="Arial"/>
          <w:sz w:val="16"/>
          <w:szCs w:val="16"/>
          <w:u w:val="single" w:color="auto"/>
          <w:color w:val="auto"/>
        </w:rPr>
        <w:t>Section 1(b)</w:t>
      </w:r>
      <w:r>
        <w:rPr>
          <w:rFonts w:ascii="Arial" w:cs="Arial" w:eastAsia="Arial" w:hAnsi="Arial"/>
          <w:sz w:val="16"/>
          <w:szCs w:val="16"/>
          <w:color w:val="auto"/>
        </w:rPr>
        <w:t>.</w:t>
      </w:r>
    </w:p>
    <w:p>
      <w:pPr>
        <w:spacing w:after="0" w:line="248"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Centerbridge-Designated Independent Director</w:t>
      </w:r>
      <w:r>
        <w:rPr>
          <w:rFonts w:ascii="Arial" w:cs="Arial" w:eastAsia="Arial" w:hAnsi="Arial"/>
          <w:sz w:val="18"/>
          <w:szCs w:val="18"/>
          <w:color w:val="auto"/>
        </w:rPr>
        <w:t xml:space="preserve">” means any Director who had initially been designated for nomination by Centerbridge in accordance with </w:t>
      </w:r>
      <w:r>
        <w:rPr>
          <w:rFonts w:ascii="Arial" w:cs="Arial" w:eastAsia="Arial" w:hAnsi="Arial"/>
          <w:sz w:val="18"/>
          <w:szCs w:val="18"/>
          <w:u w:val="single" w:color="auto"/>
          <w:color w:val="auto"/>
        </w:rPr>
        <w:t>Section 1(d)</w:t>
      </w:r>
      <w:r>
        <w:rPr>
          <w:rFonts w:ascii="Arial" w:cs="Arial" w:eastAsia="Arial" w:hAnsi="Arial"/>
          <w:sz w:val="18"/>
          <w:szCs w:val="18"/>
          <w:color w:val="auto"/>
        </w:rPr>
        <w:t>.</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amended and restated certificate of incorporation of the Corporation, effective as of the date hereof, as the same may be further amended, restated, amended and restated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Action</w:t>
      </w:r>
      <w:r>
        <w:rPr>
          <w:rFonts w:ascii="Arial" w:cs="Arial" w:eastAsia="Arial" w:hAnsi="Arial"/>
          <w:sz w:val="18"/>
          <w:szCs w:val="18"/>
          <w:color w:val="auto"/>
        </w:rPr>
        <w:t xml:space="preserve">” means (I) any of the matters described in </w:t>
      </w:r>
      <w:r>
        <w:rPr>
          <w:rFonts w:ascii="Arial" w:cs="Arial" w:eastAsia="Arial" w:hAnsi="Arial"/>
          <w:sz w:val="18"/>
          <w:szCs w:val="18"/>
          <w:u w:val="single" w:color="auto"/>
          <w:color w:val="auto"/>
        </w:rPr>
        <w:t>Sections 6(b)</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w:t>
      </w:r>
      <w:r>
        <w:rPr>
          <w:rFonts w:ascii="Arial" w:cs="Arial" w:eastAsia="Arial" w:hAnsi="Arial"/>
          <w:sz w:val="18"/>
          <w:szCs w:val="18"/>
          <w:color w:val="auto"/>
        </w:rPr>
        <w:t xml:space="preserve"> (and clause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respect to any of the preceding clauses) and (II) any of the matters described in </w:t>
      </w:r>
      <w:r>
        <w:rPr>
          <w:rFonts w:ascii="Arial" w:cs="Arial" w:eastAsia="Arial" w:hAnsi="Arial"/>
          <w:sz w:val="18"/>
          <w:szCs w:val="18"/>
          <w:u w:val="single" w:color="auto"/>
          <w:color w:val="auto"/>
        </w:rPr>
        <w:t>Sections 6(f)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 clause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respect to any of the preceding clauses)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61" w:name="page162"/>
    <w:bookmarkEnd w:id="161"/>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extent, in the case of this clause (II), that the taking of the applicable action would have a disproportionate and materially adverse impact on the Person asserting a consent right pursuant to Section 6, relative to other equityholders of the Corporation and its Subsidiaries holding the same type of equity as such Person.</w:t>
      </w:r>
    </w:p>
    <w:p>
      <w:pPr>
        <w:spacing w:after="0" w:line="184"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Independence Requirements</w:t>
      </w:r>
      <w:r>
        <w:rPr>
          <w:rFonts w:ascii="Arial" w:cs="Arial" w:eastAsia="Arial" w:hAnsi="Arial"/>
          <w:sz w:val="18"/>
          <w:szCs w:val="18"/>
          <w:color w:val="auto"/>
        </w:rPr>
        <w:t>” means, with respect to a Director, an individual who is (i) an “independent director” within the meaning of that term used in Rules 5005(a)(20) and 5605(a)(2) of the NASDAQ Listing Rules, as amended, and (ii) “independent” for purposes of Rule 10A-3(b)(1) under the Securities Exchange Act of 1934, as amended, and the rules promulgated thereunder.</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Action</w:t>
      </w:r>
      <w:r>
        <w:rPr>
          <w:rFonts w:ascii="Arial" w:cs="Arial" w:eastAsia="Arial" w:hAnsi="Arial"/>
          <w:sz w:val="18"/>
          <w:szCs w:val="18"/>
          <w:color w:val="auto"/>
        </w:rPr>
        <w:t xml:space="preserve">” means any of the matters described in </w:t>
      </w:r>
      <w:r>
        <w:rPr>
          <w:rFonts w:ascii="Arial" w:cs="Arial" w:eastAsia="Arial" w:hAnsi="Arial"/>
          <w:sz w:val="18"/>
          <w:szCs w:val="18"/>
          <w:u w:val="single" w:color="auto"/>
          <w:color w:val="auto"/>
        </w:rPr>
        <w:t>Sections 6(a)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xml:space="preserve"> (and clause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respect to any of the preceding clauses).</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Necessary Action</w:t>
      </w:r>
      <w:r>
        <w:rPr>
          <w:rFonts w:ascii="Arial" w:cs="Arial" w:eastAsia="Arial" w:hAnsi="Arial"/>
          <w:sz w:val="17"/>
          <w:szCs w:val="17"/>
          <w:color w:val="auto"/>
        </w:rPr>
        <w:t>” means, with respect to a specified result, all commercially reasonable actions required to cause such result that are within the power of a specified Person, including (i) voting or providing a written consent or proxy with respect to the equity securities owned by the Person obligated to undertake the necessary action, (ii) voting in favor of the adoption of stockholders’ resolutions and amendments to the organizational documents of the Corporation, (iii) executing agreements and instruments, and (iv) making, or causing to be made, with governmental, administrative or regulatory authorities, all filings, registrations or similar actions that are required to achieve such result.</w:t>
      </w:r>
    </w:p>
    <w:p>
      <w:pPr>
        <w:spacing w:after="0" w:line="17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means the nominating and corporate governance committee of the Board or any committee of the Board authorized to perform the function of recommending to the Board the nominees for election as Directors or nominating the nominees for election as Directors.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NVX Director</w:t>
      </w:r>
      <w:r>
        <w:rPr>
          <w:rFonts w:ascii="Arial" w:cs="Arial" w:eastAsia="Arial" w:hAnsi="Arial"/>
          <w:sz w:val="17"/>
          <w:szCs w:val="17"/>
          <w:color w:val="auto"/>
        </w:rPr>
        <w:t xml:space="preserve">” means any Director who had initially been designated for nomination by NVX Holdings in accordance with </w:t>
      </w:r>
      <w:r>
        <w:rPr>
          <w:rFonts w:ascii="Arial" w:cs="Arial" w:eastAsia="Arial" w:hAnsi="Arial"/>
          <w:sz w:val="17"/>
          <w:szCs w:val="17"/>
          <w:u w:val="single" w:color="auto"/>
          <w:color w:val="auto"/>
        </w:rPr>
        <w:t>Section 1(c)</w:t>
      </w:r>
      <w:r>
        <w:rPr>
          <w:rFonts w:ascii="Arial" w:cs="Arial" w:eastAsia="Arial" w:hAnsi="Arial"/>
          <w:sz w:val="17"/>
          <w:szCs w:val="17"/>
          <w:color w:val="auto"/>
        </w:rPr>
        <w:t>.</w:t>
      </w:r>
    </w:p>
    <w:p>
      <w:pPr>
        <w:spacing w:after="0" w:line="23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NVX-Designated Independent Director</w:t>
      </w:r>
      <w:r>
        <w:rPr>
          <w:rFonts w:ascii="Arial" w:cs="Arial" w:eastAsia="Arial" w:hAnsi="Arial"/>
          <w:sz w:val="18"/>
          <w:szCs w:val="18"/>
          <w:color w:val="auto"/>
        </w:rPr>
        <w:t xml:space="preserve">” means any Director who had initially been designated for nomination by NVX Holdings in accordance with </w:t>
      </w:r>
      <w:r>
        <w:rPr>
          <w:rFonts w:ascii="Arial" w:cs="Arial" w:eastAsia="Arial" w:hAnsi="Arial"/>
          <w:sz w:val="18"/>
          <w:szCs w:val="18"/>
          <w:u w:val="single" w:color="auto"/>
          <w:color w:val="auto"/>
        </w:rPr>
        <w:t>Section 1(e)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has the meaning set forth in the LLC Agreement.</w:t>
      </w:r>
    </w:p>
    <w:p>
      <w:pPr>
        <w:spacing w:after="0" w:line="225"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limited liability company, partnership, trust, joint stock company, business trust, unincorporated association, joint venture, governmental authority or other entity or organization, including a government or any subdivision or agency thereof.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shares of preferred stock, par value $0.0001 per share, of the Corporation.</w:t>
      </w:r>
    </w:p>
    <w:p>
      <w:pPr>
        <w:spacing w:after="0" w:line="225"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the Securities Act of 1933, as amended, and the Securities Exchange Act of 1934, as amended, and the rules promulgated thereunder.</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trust or other form of legal entity, of which (a) such first Person directly or indirectly owns or controls at least a majority of the securities or other interests having by their terms voting power to elect a majority of the board of directors or others performing similar functions, or (b) such first Person is a general partner or managing member (excluding partnerships in which such Person or any Subsidiary thereof does not have a majority of the voting interests in such partnership).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62" w:name="page163"/>
    <w:bookmarkEnd w:id="162"/>
    <w:p>
      <w:pPr>
        <w:ind w:right="3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Underlying Class A Shares</w:t>
      </w:r>
      <w:r>
        <w:rPr>
          <w:rFonts w:ascii="Arial" w:cs="Arial" w:eastAsia="Arial" w:hAnsi="Arial"/>
          <w:sz w:val="16"/>
          <w:szCs w:val="16"/>
          <w:color w:val="auto"/>
        </w:rPr>
        <w:t>” means all shares of Class A Common Stock issuable upon redemption of Common Units in accordance with the terms and conditions of the LLC Agreement, assuming all such Common Units are redeemed for Class A Common Stock on a one-for-one basis.</w:t>
      </w:r>
    </w:p>
    <w:p>
      <w:pPr>
        <w:spacing w:after="0" w:line="12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 “including” shall mean “including, without limitation”; (vi) each defined term has its defined meaning throughout this Agreement, whether the definition of such term appears before or after such term is used; and (vii) the word “or” shall be disjunctive but not exclusive. References to agreements and other documents shall be deemed to include all subsequent amendments and other modifications thereto.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Choice of Law and Venue; Waiver of Right to Jury Trial</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4"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THIS AGREEMENT SHALL BE GOVERNED BY, CONSTRUED, APPLIED AND ENFORCED IN ACCORDANCE WITH THE INTERNAL LAWS OF THE STATE OF DELAWARE. EACH OF THE PARTIES HERETO ACKNOWLEDGES AND AGREES THAT IN THE EVENT OF ANY BREACH OF THIS AGREEMENT, THE NON-BREACHING PARTY WOULD BE IRREPARABLY HARMED AND COULD NOT BE MADE WHOLE BY MONETARY DAMAGES, AND THAT, IN ADDITION TO ANY OTHER REMEDY TO WHICH THEY MAY BE ENTITLED AT LAW OR IN EQUITY, THE PARTIES SHALL BE ENTITLED TO SUCH EQUITABLE OR INJUNCTIVE RELIEF AS MAY BE APPROPRIATE. THE CHOICE OF FORUM SET FORTH IN THIS SECTION SHALL NOT BE DEEMED TO PRECLUDE THE ENFORCEMENT OF ANY JUDGMENT OF A DELAWARE FEDERAL OR STATE COURT, OR THE TAKING OF ANY ACTION UNDER THIS AGREEMENT TO ENFORCE SUCH A JUDGMENT, IN ANY OTHER APPROPRIATE JURISDICTION.</w:t>
      </w:r>
    </w:p>
    <w:p>
      <w:pPr>
        <w:spacing w:after="0" w:line="83" w:lineRule="exact"/>
        <w:rPr>
          <w:rFonts w:ascii="Arial" w:cs="Arial" w:eastAsia="Arial" w:hAnsi="Arial"/>
          <w:sz w:val="18"/>
          <w:szCs w:val="18"/>
          <w:color w:val="auto"/>
        </w:rPr>
      </w:pPr>
    </w:p>
    <w:p>
      <w:pPr>
        <w:ind w:firstLine="436"/>
        <w:spacing w:after="0" w:line="268" w:lineRule="auto"/>
        <w:tabs>
          <w:tab w:leader="none" w:pos="69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SUBMIT TO THE EXCLUSIVE JURISDICTION OF THE COURT OF CHANCERY OF THE STATE OF DELAWARE, OR IF (AND ONLY IF) SUCH COURT FINDS IT LACKS SUBJECT MATTER JURISDICTION, THE SUPERIOR COURT OF THE STATE OF DELAWARE (COMPLEX COMMERCIAL DIVISION), OR IF UNDER APPLICABLE LAW, SUBJECT MATTER JURISDICTION OVER THE MATTER THAT IS THE SUBJECT OF THE ACTION OR PROCEEDING IS VESTED EXCLUSIVELY IN THE FEDERAL COURTS OF THE UNITED STATES OF AMERICA, THE UNITED STATES DISTRICT COURT FOR THE DISTRICT OF DELAWARE, AND APPELLATE COURTS FROM ANY THEREOF, WITH RESPECT TO ALL ACTIONS AND PROCEEDINGS ARISING OUT OF OR RELATING TO THIS AGREEMENT AND THE TRANSACTIONS CONTEMPLATED HEREBY; (2) AGREE THAT IN THE EVENT OF ANY SUCH LITIGATION, PROCEEDING OR ACTION, SUCH PARTIES WILL CONSENT AND SUBMIT TO THE PERSONAL JURISDICTION OF ANY SUCH COURT DESCRIBED IN CLAUSE (1) OF THIS </w:t>
      </w:r>
      <w:r>
        <w:rPr>
          <w:rFonts w:ascii="Arial" w:cs="Arial" w:eastAsia="Arial" w:hAnsi="Arial"/>
          <w:sz w:val="17"/>
          <w:szCs w:val="17"/>
          <w:u w:val="single" w:color="auto"/>
          <w:color w:val="auto"/>
        </w:rPr>
        <w:t>SECTION 10(B)</w:t>
      </w:r>
      <w:r>
        <w:rPr>
          <w:rFonts w:ascii="Arial" w:cs="Arial" w:eastAsia="Arial" w:hAnsi="Arial"/>
          <w:sz w:val="17"/>
          <w:szCs w:val="17"/>
          <w:color w:val="auto"/>
        </w:rPr>
        <w:t xml:space="preserve"> AND TO SERVICE OF PROCESS UPON THEM IN ACCORDANCE WITH THE RULES AND STATUTES GOVERNING SERVICE OF PROCESS; (3) AGREE TO WAIVE TO THE FULL EXTENT PERMITTED BY LAW ANY OBJECTION THAT THEY MAY NOW 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63" w:name="page164"/>
    <w:bookmarkEnd w:id="16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HEREAFTER HAVE TO THE VENUE OF ANY SUCH LITIGATION, PROCEEDING OR ACTION IN ANY SUCH COURT OR THAT ANY SUCH LITIGATION, PROCEEDING OR ACTION WAS BROUGHT IN ANY INCONVENIENT FORUM; (4) AGREE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by electronic mail, or first class mail, or by Federal Express or other similar courier or other similar means of communication, as follows:</w:t>
      </w:r>
    </w:p>
    <w:p>
      <w:pPr>
        <w:spacing w:after="0" w:line="89" w:lineRule="exact"/>
        <w:rPr>
          <w:sz w:val="20"/>
          <w:szCs w:val="20"/>
          <w:color w:val="auto"/>
        </w:rPr>
      </w:pPr>
    </w:p>
    <w:p>
      <w:pPr>
        <w:ind w:left="960" w:hanging="532"/>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to Centerbridge or the Centerbridge Parties, addressed as follows: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 Centerbridge Partners, L.P.</w:t>
      </w:r>
    </w:p>
    <w:p>
      <w:pPr>
        <w:spacing w:after="0" w:line="23" w:lineRule="exact"/>
        <w:rPr>
          <w:rFonts w:ascii="Arial" w:cs="Arial" w:eastAsia="Arial" w:hAnsi="Arial"/>
          <w:sz w:val="18"/>
          <w:szCs w:val="18"/>
          <w:color w:val="auto"/>
        </w:rPr>
      </w:pPr>
    </w:p>
    <w:p>
      <w:pPr>
        <w:ind w:left="980" w:right="7280"/>
        <w:spacing w:after="0" w:line="273" w:lineRule="auto"/>
        <w:rPr>
          <w:rFonts w:ascii="Arial" w:cs="Arial" w:eastAsia="Arial" w:hAnsi="Arial"/>
          <w:sz w:val="18"/>
          <w:szCs w:val="18"/>
          <w:color w:val="auto"/>
        </w:rPr>
      </w:pPr>
      <w:r>
        <w:rPr>
          <w:rFonts w:ascii="Arial" w:cs="Arial" w:eastAsia="Arial" w:hAnsi="Arial"/>
          <w:sz w:val="17"/>
          <w:szCs w:val="17"/>
          <w:color w:val="auto"/>
        </w:rPr>
        <w:t>375 Park Avenue, 11th Floor New York, New York 10152 Attn: Office of the General Counsel E-mail: #####@centerbridge.com</w:t>
      </w:r>
    </w:p>
    <w:p>
      <w:pPr>
        <w:spacing w:after="0" w:line="81" w:lineRule="exact"/>
        <w:rPr>
          <w:rFonts w:ascii="Arial" w:cs="Arial" w:eastAsia="Arial" w:hAnsi="Arial"/>
          <w:sz w:val="18"/>
          <w:szCs w:val="18"/>
          <w:color w:val="auto"/>
        </w:rPr>
      </w:pPr>
    </w:p>
    <w:p>
      <w:pPr>
        <w:ind w:left="960" w:hanging="532"/>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to NVX Holdings, addressed as follows: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NVX Holdings, Inc.</w:t>
      </w:r>
    </w:p>
    <w:p>
      <w:pPr>
        <w:spacing w:after="0" w:line="23" w:lineRule="exact"/>
        <w:rPr>
          <w:rFonts w:ascii="Arial" w:cs="Arial" w:eastAsia="Arial" w:hAnsi="Arial"/>
          <w:sz w:val="18"/>
          <w:szCs w:val="18"/>
          <w:color w:val="auto"/>
        </w:rPr>
      </w:pPr>
    </w:p>
    <w:p>
      <w:pPr>
        <w:ind w:left="980" w:right="6100"/>
        <w:spacing w:after="0" w:line="253" w:lineRule="auto"/>
        <w:rPr>
          <w:rFonts w:ascii="Arial" w:cs="Arial" w:eastAsia="Arial" w:hAnsi="Arial"/>
          <w:sz w:val="18"/>
          <w:szCs w:val="18"/>
          <w:color w:val="auto"/>
        </w:rPr>
      </w:pPr>
      <w:r>
        <w:rPr>
          <w:rFonts w:ascii="Arial" w:cs="Arial" w:eastAsia="Arial" w:hAnsi="Arial"/>
          <w:sz w:val="18"/>
          <w:szCs w:val="18"/>
          <w:color w:val="auto"/>
        </w:rPr>
        <w:t>214 West Huron St. Chicago, Illinois 60654 Attn: Brian Farley; Brad Burd Email:#####@gohealth.com; #####@gohealth.com</w:t>
      </w:r>
    </w:p>
    <w:p>
      <w:pPr>
        <w:spacing w:after="0" w:line="8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8"/>
          <w:szCs w:val="18"/>
          <w:color w:val="auto"/>
        </w:rPr>
      </w:pPr>
    </w:p>
    <w:p>
      <w:pPr>
        <w:ind w:left="980" w:right="8140"/>
        <w:spacing w:after="0" w:line="274" w:lineRule="auto"/>
        <w:rPr>
          <w:rFonts w:ascii="Arial" w:cs="Arial" w:eastAsia="Arial" w:hAnsi="Arial"/>
          <w:sz w:val="18"/>
          <w:szCs w:val="18"/>
          <w:color w:val="auto"/>
        </w:rPr>
      </w:pPr>
      <w:r>
        <w:rPr>
          <w:rFonts w:ascii="Arial" w:cs="Arial" w:eastAsia="Arial" w:hAnsi="Arial"/>
          <w:sz w:val="17"/>
          <w:szCs w:val="17"/>
          <w:color w:val="auto"/>
        </w:rPr>
        <w:t>Winston &amp; Strawn LLP 35 W. Wacker Drive</w:t>
      </w:r>
    </w:p>
    <w:p>
      <w:pPr>
        <w:ind w:left="980"/>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Gregory J. Bynan and Courtney Tygesson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312-558-5700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#####@winston.com; #####@winston.com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Clinton Jones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#####@gohealth.com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440" w:top="274" w:right="619" w:bottom="1440" w:gutter="0" w:footer="0" w:header="0"/>
        </w:sectPr>
      </w:pPr>
    </w:p>
    <w:bookmarkStart w:id="164" w:name="page165"/>
    <w:bookmarkEnd w:id="16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Brandon Cruz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#####@gohealth.com</w:t>
      </w:r>
    </w:p>
    <w:p>
      <w:pPr>
        <w:spacing w:after="0" w:line="116" w:lineRule="exact"/>
        <w:rPr>
          <w:sz w:val="20"/>
          <w:szCs w:val="20"/>
          <w:color w:val="auto"/>
        </w:rPr>
      </w:pPr>
    </w:p>
    <w:p>
      <w:pPr>
        <w:ind w:left="960" w:hanging="532"/>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to the Corporation, addressed as follows: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GoHealth, Inc.</w:t>
      </w:r>
    </w:p>
    <w:p>
      <w:pPr>
        <w:spacing w:after="0" w:line="23" w:lineRule="exact"/>
        <w:rPr>
          <w:rFonts w:ascii="Arial" w:cs="Arial" w:eastAsia="Arial" w:hAnsi="Arial"/>
          <w:sz w:val="18"/>
          <w:szCs w:val="18"/>
          <w:color w:val="auto"/>
        </w:rPr>
      </w:pPr>
    </w:p>
    <w:p>
      <w:pPr>
        <w:ind w:left="980" w:right="7840"/>
        <w:spacing w:after="0" w:line="265" w:lineRule="auto"/>
        <w:rPr>
          <w:rFonts w:ascii="Arial" w:cs="Arial" w:eastAsia="Arial" w:hAnsi="Arial"/>
          <w:sz w:val="18"/>
          <w:szCs w:val="18"/>
          <w:color w:val="auto"/>
        </w:rPr>
      </w:pPr>
      <w:r>
        <w:rPr>
          <w:rFonts w:ascii="Arial" w:cs="Arial" w:eastAsia="Arial" w:hAnsi="Arial"/>
          <w:sz w:val="17"/>
          <w:szCs w:val="17"/>
          <w:color w:val="auto"/>
        </w:rPr>
        <w:t>214 West Huron St. Chicago, Illinois 60654 Attn: Brian Farley; Brad Burd</w:t>
      </w:r>
    </w:p>
    <w:p>
      <w:pPr>
        <w:ind w:left="980"/>
        <w:spacing w:after="0"/>
        <w:rPr>
          <w:rFonts w:ascii="Arial" w:cs="Arial" w:eastAsia="Arial" w:hAnsi="Arial"/>
          <w:sz w:val="18"/>
          <w:szCs w:val="18"/>
          <w:color w:val="auto"/>
        </w:rPr>
      </w:pPr>
      <w:r>
        <w:rPr>
          <w:rFonts w:ascii="Arial" w:cs="Arial" w:eastAsia="Arial" w:hAnsi="Arial"/>
          <w:sz w:val="18"/>
          <w:szCs w:val="18"/>
          <w:color w:val="auto"/>
        </w:rPr>
        <w:t>Email: #####@gohealth.com; #####@gohealth.com</w:t>
      </w:r>
    </w:p>
    <w:p>
      <w:pPr>
        <w:spacing w:after="0" w:line="10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(which copy shall not constitute notice) to:</w:t>
      </w:r>
    </w:p>
    <w:p>
      <w:pPr>
        <w:spacing w:after="0" w:line="117" w:lineRule="exact"/>
        <w:rPr>
          <w:rFonts w:ascii="Arial" w:cs="Arial" w:eastAsia="Arial" w:hAnsi="Arial"/>
          <w:sz w:val="18"/>
          <w:szCs w:val="18"/>
          <w:color w:val="auto"/>
        </w:rPr>
      </w:pPr>
    </w:p>
    <w:p>
      <w:pPr>
        <w:ind w:left="980" w:right="8280"/>
        <w:spacing w:after="0" w:line="274" w:lineRule="auto"/>
        <w:rPr>
          <w:rFonts w:ascii="Arial" w:cs="Arial" w:eastAsia="Arial" w:hAnsi="Arial"/>
          <w:sz w:val="18"/>
          <w:szCs w:val="18"/>
          <w:color w:val="auto"/>
        </w:rPr>
      </w:pPr>
      <w:r>
        <w:rPr>
          <w:rFonts w:ascii="Arial" w:cs="Arial" w:eastAsia="Arial" w:hAnsi="Arial"/>
          <w:sz w:val="17"/>
          <w:szCs w:val="17"/>
          <w:color w:val="auto"/>
        </w:rPr>
        <w:t>Latham &amp; Watkins LLP 885 Third Avenue</w:t>
      </w:r>
    </w:p>
    <w:p>
      <w:pPr>
        <w:ind w:left="980"/>
        <w:spacing w:after="0"/>
        <w:rPr>
          <w:rFonts w:ascii="Arial" w:cs="Arial" w:eastAsia="Arial" w:hAnsi="Arial"/>
          <w:sz w:val="18"/>
          <w:szCs w:val="18"/>
          <w:color w:val="auto"/>
        </w:rPr>
      </w:pPr>
      <w:r>
        <w:rPr>
          <w:rFonts w:ascii="Arial" w:cs="Arial" w:eastAsia="Arial" w:hAnsi="Arial"/>
          <w:sz w:val="18"/>
          <w:szCs w:val="18"/>
          <w:color w:val="auto"/>
        </w:rPr>
        <w:t>New York, New York 10022</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Attn: Ian Schuman, Stelios Saffos, Jonathan Solomon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Facsimile: #####</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#####@lw.com, #####@lw.com, #####@lw.com</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or, in each case, to such other address or email address as such party may designate in writing to each party by written notice given in the manner specified herein. All such communications shall be deemed to have been given, delivered or made when so delivered by hand or sent by facsimile (with confirmed transmission), on the next business day if sent by overnight courier service (with confirmed delivery) or when received if sent by first class mail, or in the case of notice by electronic mail, when the relevant email enters the recipient’s server.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Assignment; Aggregation of Shares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Except as otherwise provided herein, all of the terms and provisions of this Agreement shall be binding upon, shall inure to the benefit of and shall be enforceable by the respective successors and permitted assigns of the parties hereto. This Agreement may not be assigned (by operation of law or otherwise) without the express prior written consent of the other parties hereto, and any attempted assignment, without such consents, will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of the Original Members (and any subsequent Permitted Transferees thereof) is permitted to assign this Agreement to their respective Permitted Transferees of the Class B Common Stock or Common Units and each Original Member (and any such Permitted Transferee) is permitted to assign this Agreement to its respective affiliates in connection with a transfer of the Class A Common Stock to such affiliate (or receipt by any such affiliate of Class A Common Stock pursuant to the exchange and redemption provisions of the LLC Agreement) (it being understood that no such assignment shall relieve any such Original Member or Permitted Transferee of its obligations hereunder so long as it continues to hold Class A Common Stock, Class B Common Stock or Common Units). Notwithstanding anything herein to the contrary, each of the Original Members (and any subsequent Permitted Transferee thereof) shall cause any of their respective Permitted Transferees of the Class B Common Stock or Common Units, or, any of their affiliates that receives shares of Class A Common Stock (whether through a transfer, or via the exchange and redemption provisions of the LLC Agreement), to become a party to this Agreement by executing a joinder hereto reasonably satisfactory to the Corporation, as a pre-condition to the effectiveness of such transaction. For the avoidance of doubt, for purposes of (a) determining whether any party meets any threshold contained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65" w:name="page166"/>
    <w:bookmarkEnd w:id="16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herein which is based on ownership of shares of Class A Common Stock (including any Underlying Class A Shares) and/or Class B Common Stock,</w:t>
      </w:r>
    </w:p>
    <w:p>
      <w:pPr>
        <w:spacing w:after="0" w:line="46" w:lineRule="exact"/>
        <w:rPr>
          <w:sz w:val="20"/>
          <w:szCs w:val="20"/>
          <w:color w:val="auto"/>
        </w:rPr>
      </w:pPr>
    </w:p>
    <w:p>
      <w:pPr>
        <w:ind w:left="4" w:hanging="4"/>
        <w:spacing w:after="0" w:line="287" w:lineRule="auto"/>
        <w:tabs>
          <w:tab w:leader="none" w:pos="25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any provisions that require the parties hereto to vote or take any other actions with respect to any shares of Class A Common Stock (including any Underlying Class A Shares) and/or Class B Common Stock, such determinations or provisions shall be deemed to include all shares of Class A Common Stock (including any Underlying Class A Shares) and/or Class B Common Stock held by any Permitted Transferee or affiliate of any Original Member (or subsequent Permitted Transferee thereof) that becomes party to this Agreement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hereof, in no event shall (x) beneficial ownership of shares of Class A Common Stock (including any underlying Class A Shares) by one party hereto be counted towards the beneficial ownership of shares of Class A Common Stock of any other party hereto solely as a result of such parties being in the same “group” (as defined in the Exchange Act) or party to this Agreement and (y) any party hereto by considered an affiliate of any other party hereto solely by virtue of being in the same “group” (as defined in the Exchange Act) party to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 and Modification; Waiver of Compliance</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This Agreement may not be amended, modified, altered or supplemented except by means of a written instrument executed on behalf of each of the Corporation, Centerbridge and NVX Holdings. Except as otherwise provided in this Agreement, any failure of any of the parties to comply with any obligation, covenant, agreement or condition herein may be waived by the party or parties entitled to the benefits thereof only by a written instrument signed by the party or parties granting such waiver, but such waiver or failure to insist upon strict compliance with such obligation, covenant, agreement or condition shall not operate as a waiver of, or estoppel with respect to, any subsequent or other failure.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117"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jc w:val="both"/>
        <w:ind w:left="4" w:right="180" w:firstLine="440"/>
        <w:spacing w:after="0" w:line="257" w:lineRule="auto"/>
        <w:rPr>
          <w:sz w:val="20"/>
          <w:szCs w:val="20"/>
          <w:color w:val="auto"/>
        </w:rPr>
      </w:pPr>
      <w:r>
        <w:rPr>
          <w:rFonts w:ascii="Arial" w:cs="Arial" w:eastAsia="Arial" w:hAnsi="Arial"/>
          <w:sz w:val="18"/>
          <w:szCs w:val="18"/>
          <w:color w:val="auto"/>
        </w:rPr>
        <w:t>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This Agreement may be executed in any number of counterparts and signatures may be delivered by facsimile, each of which may be executed by less than all parties, each of which shall be enforceable against the parties actually executing such counterparts, and all of which together shall constitute one instrument.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descriptive headings of this Agreement are inserted for convenience only and do not constitute a part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8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Each Original Member and each Person who becomes a party to this Agreement after the date hereof, severally and not jointly and solely with respect to itself, represents and warrants to the Corporation as of the time such party becomes a party to this Agreement that (a) if applicable, it is duly authorized to execute, deliver and perform this Agreement; (b) this Agreement has been duly executed by such party and is a valid and binding agreement of such party, enforceable against such party in accordance with its terms; and (c) the execution, delivery and performance by such party of this Agreement does not violate or conflict with or result in a breach of or constitute (or with notice or lapse of time or both constitute) a default under any agreement to which such party is a party or, if applicable, the organizational documents of such party.</w:t>
      </w:r>
    </w:p>
    <w:p>
      <w:pPr>
        <w:spacing w:after="0" w:line="69" w:lineRule="exact"/>
        <w:rPr>
          <w:rFonts w:ascii="Arial" w:cs="Arial" w:eastAsia="Arial" w:hAnsi="Arial"/>
          <w:sz w:val="17"/>
          <w:szCs w:val="17"/>
          <w:color w:val="auto"/>
        </w:rPr>
      </w:pPr>
    </w:p>
    <w:p>
      <w:pPr>
        <w:ind w:right="40" w:firstLine="436"/>
        <w:spacing w:after="0" w:line="290" w:lineRule="auto"/>
        <w:tabs>
          <w:tab w:leader="none" w:pos="69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Corporation represents and warrants to each other party hereto that (a) the Corporation is duly authorized to execute, deliver and perform this Agreement; (b) this Agreement has been duly authorized, executed and delivered by the Corporation and is a valid and binding agreement of the Corporation, enforceable against the Corporation in accordance with its terms; and (c) the execution, delivery and performance by the Corporation of this Agreement does not violate or conflict with or result in a breach by the Corporation of or constitute (or with notice or lapse of time or both constitute) a default by the Corporation under the Charter or Bylaws, any existing applicable law, rule, regulation, judgment, order, or decree of any governmental authority exercising any statutory or regulatory authority of any of the foregoing, domestic or foreign, having jurisdiction over the Corporation or any of its Subsidiaries or any of their respective properties or assets, or any agreement or instrument to which the Corporation or any of its Subsidiaries is a party or by which the Corporation or any of its Subsidiaries or any of their respective properties or assets may be bound.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This Agreement shall be deemed to be collectively prepared by the parties hereto, and no ambiguity herein shall be construed for or against any party based upon the identity of the author of this Agreement or any provision hereof.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167" w:name="page168"/>
    <w:bookmarkEnd w:id="167"/>
    <w:p>
      <w:pPr>
        <w:ind w:left="982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Stockholders Agreement to be executed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Clinton P. Jones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10580"/>
          </w:cols>
          <w:pgMar w:left="880" w:top="274" w:right="4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BLIZZARD AGGREGATOR, LLC</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Jeremy W. Gelber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Jeremy W. Gelber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CCP III AIV VII, L.P.</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Jeremy W. Gelber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Jeremy W. Gelber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CO-INVEST,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Jeremy W. Gelber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NVX HOLDINGS,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Brandon M. Cruz</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CENTERBRIDGE CAPITAL PARTNERS SBS III,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Jeremy W. Gelber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Jeremy W. Gelber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CENTERBRIDGE CAPITAL PARTNERS III, L.P.</w:t>
      </w:r>
    </w:p>
    <w:p>
      <w:pPr>
        <w:spacing w:after="0" w:line="1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Centerbridge Associates III,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Jeremy W. Gelber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Jeremy W. Gelber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CO-INVEST HOLDINGS, L.P.</w:t>
      </w:r>
    </w:p>
    <w:p>
      <w:pPr>
        <w:spacing w:after="0" w:line="1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Centerbridge Associates III,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Jeremy W. Gelber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Jeremy W. Gelber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CCP III AIV VII HOLDINGS, L.P.</w:t>
      </w:r>
    </w:p>
    <w:p>
      <w:pPr>
        <w:spacing w:after="0" w:line="1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Centerbridge Associates III,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Jeremy W. Gelber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Jeremy W. Gelber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ectPr>
          <w:pgSz w:w="11900" w:h="16838" w:orient="portrait"/>
          <w:cols w:equalWidth="0" w:num="1">
            <w:col w:w="10020"/>
          </w:cols>
          <w:pgMar w:left="1440" w:top="274" w:right="439" w:bottom="655" w:gutter="0" w:footer="0" w:header="0"/>
        </w:sectPr>
      </w:pPr>
    </w:p>
    <w:p>
      <w:pPr>
        <w:spacing w:after="0" w:line="245"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10020"/>
          </w:cols>
          <w:pgMar w:left="1440" w:top="274" w:right="439" w:bottom="655" w:gutter="0" w:footer="0" w:header="0"/>
          <w:type w:val="continuous"/>
        </w:sectPr>
      </w:pPr>
    </w:p>
    <w:bookmarkStart w:id="169" w:name="page170"/>
    <w:bookmarkEnd w:id="169"/>
    <w:p>
      <w:pPr>
        <w:jc w:val="center"/>
        <w:ind w:right="-55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ind w:left="4272"/>
        <w:spacing w:after="0"/>
        <w:rPr>
          <w:sz w:val="20"/>
          <w:szCs w:val="20"/>
          <w:color w:val="auto"/>
        </w:rPr>
      </w:pPr>
      <w:r>
        <w:rPr>
          <w:rFonts w:ascii="Arial" w:cs="Arial" w:eastAsia="Arial" w:hAnsi="Arial"/>
          <w:sz w:val="17"/>
          <w:szCs w:val="17"/>
          <w:b w:val="1"/>
          <w:bCs w:val="1"/>
          <w:color w:val="auto"/>
        </w:rPr>
        <w:t>Centerbridge Parties</w:t>
      </w:r>
    </w:p>
    <w:p>
      <w:pPr>
        <w:spacing w:after="0" w:line="268" w:lineRule="exact"/>
        <w:rPr>
          <w:sz w:val="20"/>
          <w:szCs w:val="20"/>
          <w:color w:val="auto"/>
        </w:rPr>
      </w:pPr>
    </w:p>
    <w:p>
      <w:pPr>
        <w:ind w:left="532" w:hanging="532"/>
        <w:spacing w:after="0"/>
        <w:tabs>
          <w:tab w:leader="none" w:pos="532"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CB Blizzard Co-Invest Holdings, L.P., a Delaware limited partnership</w:t>
      </w:r>
    </w:p>
    <w:p>
      <w:pPr>
        <w:spacing w:after="0" w:line="142" w:lineRule="exact"/>
        <w:rPr>
          <w:rFonts w:ascii="Arial" w:cs="Arial" w:eastAsia="Arial" w:hAnsi="Arial"/>
          <w:sz w:val="17"/>
          <w:szCs w:val="17"/>
          <w:color w:val="auto"/>
        </w:rPr>
      </w:pPr>
    </w:p>
    <w:p>
      <w:pPr>
        <w:ind w:left="532" w:hanging="532"/>
        <w:spacing w:after="0"/>
        <w:tabs>
          <w:tab w:leader="none" w:pos="5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CCP III AIV VII Holdings, L.P., a Delaware limited partnership</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Blizzard Aggregator, LLC, a Delaware limited liability company</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CB Blizzard Co-Invest, L.P., a Delaware limited partnership</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CCP III AIV VII L.P., a Delaware limited partnership</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Centerbridge Capital Partners, SBS III, L.P., a Delaware limited partnership</w:t>
      </w:r>
    </w:p>
    <w:p>
      <w:pPr>
        <w:sectPr>
          <w:pgSz w:w="11900" w:h="16838" w:orient="portrait"/>
          <w:cols w:equalWidth="0" w:num="1">
            <w:col w:w="9591"/>
          </w:cols>
          <w:pgMar w:left="868" w:top="270" w:right="1440" w:bottom="1440" w:gutter="0" w:footer="0" w:header="0"/>
        </w:sectPr>
      </w:pPr>
    </w:p>
    <w:bookmarkStart w:id="170" w:name="page171"/>
    <w:bookmarkEnd w:id="170"/>
    <w:p>
      <w:pPr>
        <w:jc w:val="center"/>
        <w:ind w:right="456"/>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ind w:left="4144"/>
        <w:spacing w:after="0"/>
        <w:rPr>
          <w:sz w:val="20"/>
          <w:szCs w:val="20"/>
          <w:color w:val="auto"/>
        </w:rPr>
      </w:pPr>
      <w:r>
        <w:rPr>
          <w:rFonts w:ascii="Arial" w:cs="Arial" w:eastAsia="Arial" w:hAnsi="Arial"/>
          <w:sz w:val="18"/>
          <w:szCs w:val="18"/>
          <w:b w:val="1"/>
          <w:bCs w:val="1"/>
          <w:color w:val="auto"/>
        </w:rPr>
        <w:t>Affiliate Transactions</w:t>
      </w:r>
    </w:p>
    <w:p>
      <w:pPr>
        <w:spacing w:after="0" w:line="256" w:lineRule="exact"/>
        <w:rPr>
          <w:sz w:val="20"/>
          <w:szCs w:val="20"/>
          <w:color w:val="auto"/>
        </w:rPr>
      </w:pPr>
    </w:p>
    <w:p>
      <w:pPr>
        <w:ind w:left="424" w:right="480" w:hanging="424"/>
        <w:spacing w:after="0" w:line="277"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Office Lease, by and between 220 W Huron Street Holdings LLC and Norvax LLC (regarding Floor 1), dated as of June 1, 2014, as amended, restated, amended and restated, modified or supplemented from time to time.</w:t>
      </w:r>
    </w:p>
    <w:p>
      <w:pPr>
        <w:spacing w:after="0" w:line="75" w:lineRule="exact"/>
        <w:rPr>
          <w:rFonts w:ascii="Arial" w:cs="Arial" w:eastAsia="Arial" w:hAnsi="Arial"/>
          <w:sz w:val="18"/>
          <w:szCs w:val="18"/>
          <w:color w:val="auto"/>
        </w:rPr>
      </w:pPr>
    </w:p>
    <w:p>
      <w:pPr>
        <w:ind w:left="424" w:right="480" w:hanging="424"/>
        <w:spacing w:after="0" w:line="277"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Office Lease, by and between 220 W Huron Street Holdings LLC and Norvax LLC (regarding Floor 3), dated as of June 1, 2014, as amended, restated, amended and restated, modified or supplemented from time to time.</w:t>
      </w:r>
    </w:p>
    <w:p>
      <w:pPr>
        <w:spacing w:after="0" w:line="75" w:lineRule="exact"/>
        <w:rPr>
          <w:rFonts w:ascii="Arial" w:cs="Arial" w:eastAsia="Arial" w:hAnsi="Arial"/>
          <w:sz w:val="18"/>
          <w:szCs w:val="18"/>
          <w:color w:val="auto"/>
        </w:rPr>
      </w:pPr>
    </w:p>
    <w:p>
      <w:pPr>
        <w:ind w:left="424" w:right="480" w:hanging="424"/>
        <w:spacing w:after="0" w:line="277"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Office Lease, by and between 220 W Huron Street Holdings LLC and Norvax LLC (regarding Floor 5), dated as of June 1, 2014, as amended, restated, amended and restated, modified or supplemented from time to time.</w:t>
      </w:r>
    </w:p>
    <w:p>
      <w:pPr>
        <w:spacing w:after="0" w:line="75"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Office Lease, by and between 214 W Huron LLC and Norvax LLC, dated as of August 1, 2014, as amended, restated, amended and restated, modified or supplemented from time to time.</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Office Lease, by and between 215 West Superior LLC and Norvax LLC, dated as of November 11, 2019, as amended, restated, amended and restated, modified or supplemented from time to time.</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Lease Agreement by and between Wilson Tech 5, LLC, and GoHealth, LLC dated as of May 12, 2020, as amended, restated, amended and restated, modified or supplemented from time to time.</w:t>
      </w:r>
    </w:p>
    <w:p>
      <w:pPr>
        <w:spacing w:after="0" w:line="75"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Non-exclusive Aircraft Dry Lease Agreement by and between N157BC, LLC, and Norvax LLC dated as of January 1, 2020, as amended, restated, amended and restated, modified or supplemented from time to time.</w:t>
      </w:r>
    </w:p>
    <w:sectPr>
      <w:pgSz w:w="11900" w:h="16838" w:orient="portrait"/>
      <w:cols w:equalWidth="0" w:num="1">
        <w:col w:w="10404"/>
      </w:cols>
      <w:pgMar w:left="976"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1)"/>
      <w:numFmt w:val="lowerLetter"/>
      <w:start w:val="4"/>
    </w:lvl>
  </w:abstractNum>
  <w:abstractNum w:abstractNumId="3">
    <w:nsid w:val="6A5EE64"/>
    <w:multiLevelType w:val="hybridMultilevel"/>
    <w:lvl w:ilvl="0">
      <w:lvlJc w:val="left"/>
      <w:lvlText w:val="(%1)"/>
      <w:numFmt w:val="lowerRoman"/>
      <w:start w:val="1"/>
    </w:lvl>
  </w:abstractNum>
  <w:abstractNum w:abstractNumId="4">
    <w:nsid w:val="14330624"/>
    <w:multiLevelType w:val="hybridMultilevel"/>
    <w:lvl w:ilvl="0">
      <w:lvlJc w:val="left"/>
      <w:lvlText w:val="(%1)"/>
      <w:numFmt w:val="lowerRoman"/>
      <w:start w:val="1"/>
    </w:lvl>
  </w:abstractNum>
  <w:abstractNum w:abstractNumId="5">
    <w:nsid w:val="7FFFCA11"/>
    <w:multiLevelType w:val="hybridMultilevel"/>
    <w:lvl w:ilvl="0">
      <w:lvlJc w:val="left"/>
      <w:lvlText w:val="(%1)"/>
      <w:numFmt w:val="lowerRoman"/>
      <w:start w:val="8"/>
    </w:lvl>
  </w:abstractNum>
  <w:abstractNum w:abstractNumId="6">
    <w:nsid w:val="1A27709E"/>
    <w:multiLevelType w:val="hybridMultilevel"/>
    <w:lvl w:ilvl="0">
      <w:lvlJc w:val="left"/>
      <w:lvlText w:val="(%1)"/>
      <w:numFmt w:val="lowerLetter"/>
      <w:start w:val="1"/>
    </w:lvl>
    <w:lvl w:ilvl="1">
      <w:lvlJc w:val="left"/>
      <w:lvlText w:val="(%2)"/>
      <w:numFmt w:val="lowerRoman"/>
      <w:start w:val="1"/>
    </w:lvl>
  </w:abstractNum>
  <w:abstractNum w:abstractNumId="7">
    <w:nsid w:val="71EA1109"/>
    <w:multiLevelType w:val="hybridMultilevel"/>
    <w:lvl w:ilvl="0">
      <w:lvlJc w:val="left"/>
      <w:lvlText w:val="(%1)"/>
      <w:numFmt w:val="lowerLetter"/>
      <w:start w:val="1"/>
    </w:lvl>
  </w:abstractNum>
  <w:abstractNum w:abstractNumId="8">
    <w:nsid w:val="100F59DC"/>
    <w:multiLevelType w:val="hybridMultilevel"/>
    <w:lvl w:ilvl="0">
      <w:lvlJc w:val="left"/>
      <w:lvlText w:val="(%1)"/>
      <w:numFmt w:val="lowerLetter"/>
      <w:start w:val="1"/>
    </w:lvl>
  </w:abstractNum>
  <w:abstractNum w:abstractNumId="9">
    <w:nsid w:val="7FB7E0AA"/>
    <w:multiLevelType w:val="hybridMultilevel"/>
    <w:lvl w:ilvl="0">
      <w:lvlJc w:val="left"/>
      <w:lvlText w:val="(%1)"/>
      <w:numFmt w:val="lowerLetter"/>
      <w:start w:val="2"/>
    </w:lvl>
  </w:abstractNum>
  <w:abstractNum w:abstractNumId="10">
    <w:nsid w:val="6EB5BD4"/>
    <w:multiLevelType w:val="hybridMultilevel"/>
    <w:lvl w:ilvl="0">
      <w:lvlJc w:val="left"/>
      <w:lvlText w:val="(%1)"/>
      <w:numFmt w:val="lowerLetter"/>
      <w:start w:val="1"/>
    </w:lvl>
  </w:abstractNum>
  <w:abstractNum w:abstractNumId="11">
    <w:nsid w:val="6F6DD9AC"/>
    <w:multiLevelType w:val="hybridMultilevel"/>
    <w:lvl w:ilvl="0">
      <w:lvlJc w:val="left"/>
      <w:lvlText w:val="(%1)"/>
      <w:numFmt w:val="lowerLetter"/>
      <w:start w:val="2"/>
    </w:lvl>
  </w:abstractNum>
  <w:abstractNum w:abstractNumId="12">
    <w:nsid w:val="94211F2"/>
    <w:multiLevelType w:val="hybridMultilevel"/>
    <w:lvl w:ilvl="0">
      <w:lvlJc w:val="left"/>
      <w:lvlText w:val="(%1)"/>
      <w:numFmt w:val="lowerLetter"/>
      <w:start w:val="1"/>
    </w:lvl>
  </w:abstractNum>
  <w:abstractNum w:abstractNumId="13">
    <w:nsid w:val="885E1B"/>
    <w:multiLevelType w:val="hybridMultilevel"/>
    <w:lvl w:ilvl="0">
      <w:lvlJc w:val="left"/>
      <w:lvlText w:val="%1"/>
      <w:numFmt w:val="lowerRoman"/>
      <w:start w:val="1"/>
    </w:lvl>
    <w:lvl w:ilvl="1">
      <w:lvlJc w:val="left"/>
      <w:lvlText w:val="(%2)"/>
      <w:numFmt w:val="upperLetter"/>
      <w:start w:val="1"/>
    </w:lvl>
  </w:abstractNum>
  <w:abstractNum w:abstractNumId="14">
    <w:nsid w:val="76272110"/>
    <w:multiLevelType w:val="hybridMultilevel"/>
    <w:lvl w:ilvl="0">
      <w:lvlJc w:val="left"/>
      <w:lvlText w:val="(%1)"/>
      <w:numFmt w:val="lowerRoman"/>
      <w:start w:val="2"/>
    </w:lvl>
    <w:lvl w:ilvl="1">
      <w:lvlJc w:val="left"/>
      <w:lvlText w:val="%2"/>
      <w:numFmt w:val="upperLetter"/>
      <w:start w:val="1"/>
    </w:lvl>
  </w:abstractNum>
  <w:abstractNum w:abstractNumId="15">
    <w:nsid w:val="4C04A8AF"/>
    <w:multiLevelType w:val="hybridMultilevel"/>
    <w:lvl w:ilvl="0">
      <w:lvlJc w:val="left"/>
      <w:lvlText w:val="%1"/>
      <w:numFmt w:val="upperLetter"/>
      <w:start w:val="1"/>
    </w:lvl>
    <w:lvl w:ilvl="1">
      <w:lvlJc w:val="left"/>
      <w:lvlText w:val="(%2)"/>
      <w:numFmt w:val="lowerRoman"/>
      <w:start w:val="6"/>
    </w:lvl>
  </w:abstractNum>
  <w:abstractNum w:abstractNumId="16">
    <w:nsid w:val="1716703B"/>
    <w:multiLevelType w:val="hybridMultilevel"/>
    <w:lvl w:ilvl="0">
      <w:lvlJc w:val="left"/>
      <w:lvlText w:val="(%1)"/>
      <w:numFmt w:val="upperLetter"/>
      <w:start w:val="35"/>
    </w:lvl>
    <w:lvl w:ilvl="1">
      <w:lvlJc w:val="left"/>
      <w:lvlText w:val="%2"/>
      <w:numFmt w:val="lowerRoman"/>
      <w:start w:val="1"/>
    </w:lvl>
  </w:abstractNum>
  <w:abstractNum w:abstractNumId="17">
    <w:nsid w:val="14E17E33"/>
    <w:multiLevelType w:val="hybridMultilevel"/>
    <w:lvl w:ilvl="0">
      <w:lvlJc w:val="left"/>
      <w:lvlText w:val="(%1)"/>
      <w:numFmt w:val="lowerLetter"/>
      <w:start w:val="1"/>
    </w:lvl>
  </w:abstractNum>
  <w:abstractNum w:abstractNumId="18">
    <w:nsid w:val="3222E7CD"/>
    <w:multiLevelType w:val="hybridMultilevel"/>
    <w:lvl w:ilvl="0">
      <w:lvlJc w:val="left"/>
      <w:lvlText w:val="(%1)"/>
      <w:numFmt w:val="lowerLetter"/>
      <w:start w:val="2"/>
    </w:lvl>
  </w:abstractNum>
  <w:abstractNum w:abstractNumId="19">
    <w:nsid w:val="74DE0EE3"/>
    <w:multiLevelType w:val="hybridMultilevel"/>
    <w:lvl w:ilvl="0">
      <w:lvlJc w:val="left"/>
      <w:lvlText w:val="%1"/>
      <w:numFmt w:val="lowerLetter"/>
      <w:start w:val="1"/>
    </w:lvl>
    <w:lvl w:ilvl="1">
      <w:lvlJc w:val="left"/>
      <w:lvlText w:val="(%2)"/>
      <w:numFmt w:val="lowerLetter"/>
      <w:start w:val="1"/>
    </w:lvl>
  </w:abstractNum>
  <w:abstractNum w:abstractNumId="20">
    <w:nsid w:val="68EBC550"/>
    <w:multiLevelType w:val="hybridMultilevel"/>
    <w:lvl w:ilvl="0">
      <w:lvlJc w:val="left"/>
      <w:lvlText w:val="(%1)"/>
      <w:numFmt w:val="lowerLetter"/>
      <w:start w:val="9"/>
    </w:lvl>
    <w:lvl w:ilvl="1">
      <w:lvlJc w:val="left"/>
      <w:lvlText w:val="%2"/>
      <w:numFmt w:val="lowerLetter"/>
      <w:start w:val="1"/>
    </w:lvl>
  </w:abstractNum>
  <w:abstractNum w:abstractNumId="21">
    <w:nsid w:val="2DF6D648"/>
    <w:multiLevelType w:val="hybridMultilevel"/>
    <w:lvl w:ilvl="0">
      <w:lvlJc w:val="left"/>
      <w:lvlText w:val="(%1)"/>
      <w:numFmt w:val="upperLetter"/>
      <w:start w:val="1"/>
    </w:lvl>
    <w:lvl w:ilvl="1">
      <w:lvlJc w:val="left"/>
      <w:lvlText w:val="(%2)"/>
      <w:numFmt w:val="lowerLetter"/>
      <w:start w:val="4"/>
    </w:lvl>
  </w:abstractNum>
  <w:abstractNum w:abstractNumId="22">
    <w:nsid w:val="46B7D447"/>
    <w:multiLevelType w:val="hybridMultilevel"/>
    <w:lvl w:ilvl="0">
      <w:lvlJc w:val="left"/>
      <w:lvlText w:val="(%1)"/>
      <w:numFmt w:val="lowerLetter"/>
      <w:start w:val="1"/>
    </w:lvl>
  </w:abstractNum>
  <w:abstractNum w:abstractNumId="23">
    <w:nsid w:val="4A2AC315"/>
    <w:multiLevelType w:val="hybridMultilevel"/>
    <w:lvl w:ilvl="0">
      <w:lvlJc w:val="left"/>
      <w:lvlText w:val="(%1)"/>
      <w:numFmt w:val="lowerLetter"/>
      <w:start w:val="1"/>
    </w:lvl>
  </w:abstractNum>
  <w:abstractNum w:abstractNumId="24">
    <w:nsid w:val="39EE015C"/>
    <w:multiLevelType w:val="hybridMultilevel"/>
    <w:lvl w:ilvl="0">
      <w:lvlJc w:val="left"/>
      <w:lvlText w:val="%1"/>
      <w:numFmt w:val="lowerLetter"/>
      <w:start w:val="1"/>
    </w:lvl>
    <w:lvl w:ilvl="1">
      <w:lvlJc w:val="left"/>
      <w:lvlText w:val="(%2)"/>
      <w:numFmt w:val="lowerLetter"/>
      <w:start w:val="1"/>
    </w:lvl>
  </w:abstractNum>
  <w:abstractNum w:abstractNumId="25">
    <w:nsid w:val="57FC4FBB"/>
    <w:multiLevelType w:val="hybridMultilevel"/>
    <w:lvl w:ilvl="0">
      <w:lvlJc w:val="left"/>
      <w:lvlText w:val="(%1)"/>
      <w:numFmt w:val="lowerLetter"/>
      <w:start w:val="61"/>
    </w:lvl>
    <w:lvl w:ilvl="1">
      <w:lvlJc w:val="left"/>
      <w:lvlText w:val="%2"/>
      <w:numFmt w:val="lowerLetter"/>
      <w:start w:val="1"/>
    </w:lvl>
  </w:abstractNum>
  <w:abstractNum w:abstractNumId="26">
    <w:nsid w:val="CC1016F"/>
    <w:multiLevelType w:val="hybridMultilevel"/>
    <w:lvl w:ilvl="0">
      <w:lvlJc w:val="left"/>
      <w:lvlText w:val="(%1)"/>
      <w:numFmt w:val="lowerLetter"/>
      <w:start w:val="2"/>
    </w:lvl>
  </w:abstractNum>
  <w:abstractNum w:abstractNumId="27">
    <w:nsid w:val="43F18422"/>
    <w:multiLevelType w:val="hybridMultilevel"/>
    <w:lvl w:ilvl="0">
      <w:lvlJc w:val="left"/>
      <w:lvlText w:val="(%1)"/>
      <w:numFmt w:val="lowerLetter"/>
      <w:start w:val="1"/>
    </w:lvl>
  </w:abstractNum>
  <w:abstractNum w:abstractNumId="28">
    <w:nsid w:val="60EF0119"/>
    <w:multiLevelType w:val="hybridMultilevel"/>
    <w:lvl w:ilvl="0">
      <w:lvlJc w:val="left"/>
      <w:lvlText w:val="(%1)"/>
      <w:numFmt w:val="lowerLetter"/>
      <w:start w:val="2"/>
    </w:lvl>
  </w:abstractNum>
  <w:abstractNum w:abstractNumId="29">
    <w:nsid w:val="26F324BA"/>
    <w:multiLevelType w:val="hybridMultilevel"/>
    <w:lvl w:ilvl="0">
      <w:lvlJc w:val="left"/>
      <w:lvlText w:val="%1"/>
      <w:numFmt w:val="lowerLetter"/>
      <w:start w:val="1"/>
    </w:lvl>
    <w:lvl w:ilvl="1">
      <w:lvlJc w:val="left"/>
      <w:lvlText w:val="(%2)"/>
      <w:numFmt w:val="lowerLetter"/>
      <w:start w:val="1"/>
    </w:lvl>
  </w:abstractNum>
  <w:abstractNum w:abstractNumId="30">
    <w:nsid w:val="7F01579B"/>
    <w:multiLevelType w:val="hybridMultilevel"/>
    <w:lvl w:ilvl="0">
      <w:lvlJc w:val="left"/>
      <w:lvlText w:val="(%1)"/>
      <w:numFmt w:val="lowerLetter"/>
      <w:start w:val="4"/>
    </w:lvl>
    <w:lvl w:ilvl="1">
      <w:lvlJc w:val="left"/>
      <w:lvlText w:val="(%2)"/>
      <w:numFmt w:val="lowerLetter"/>
      <w:start w:val="3"/>
    </w:lvl>
  </w:abstractNum>
  <w:abstractNum w:abstractNumId="31">
    <w:nsid w:val="49DA307D"/>
    <w:multiLevelType w:val="hybridMultilevel"/>
    <w:lvl w:ilvl="0">
      <w:lvlJc w:val="left"/>
      <w:lvlText w:val="(%1)"/>
      <w:numFmt w:val="lowerLetter"/>
      <w:start w:val="4"/>
    </w:lvl>
  </w:abstractNum>
  <w:abstractNum w:abstractNumId="32">
    <w:nsid w:val="7055A5F5"/>
    <w:multiLevelType w:val="hybridMultilevel"/>
    <w:lvl w:ilvl="0">
      <w:lvlJc w:val="left"/>
      <w:lvlText w:val="(%1)"/>
      <w:numFmt w:val="lowerLetter"/>
      <w:start w:val="1"/>
    </w:lvl>
  </w:abstractNum>
  <w:abstractNum w:abstractNumId="33">
    <w:nsid w:val="5FB8370B"/>
    <w:multiLevelType w:val="hybridMultilevel"/>
    <w:lvl w:ilvl="0">
      <w:lvlJc w:val="left"/>
      <w:lvlText w:val="(%1)"/>
      <w:numFmt w:val="lowerLetter"/>
      <w:start w:val="2"/>
    </w:lvl>
  </w:abstractNum>
  <w:abstractNum w:abstractNumId="34">
    <w:nsid w:val="50801EE1"/>
    <w:multiLevelType w:val="hybridMultilevel"/>
    <w:lvl w:ilvl="0">
      <w:lvlJc w:val="left"/>
      <w:lvlText w:val="(%1)"/>
      <w:numFmt w:val="lowerLetter"/>
      <w:start w:val="1"/>
    </w:lvl>
  </w:abstractNum>
  <w:abstractNum w:abstractNumId="35">
    <w:nsid w:val="488AC1A"/>
    <w:multiLevelType w:val="hybridMultilevel"/>
    <w:lvl w:ilvl="0">
      <w:lvlJc w:val="left"/>
      <w:lvlText w:val="(%1)"/>
      <w:numFmt w:val="lowerRoman"/>
      <w:start w:val="2"/>
    </w:lvl>
  </w:abstractNum>
  <w:abstractNum w:abstractNumId="36">
    <w:nsid w:val="5FB8011C"/>
    <w:multiLevelType w:val="hybridMultilevel"/>
    <w:lvl w:ilvl="0">
      <w:lvlJc w:val="left"/>
      <w:lvlText w:val="%1."/>
      <w:numFmt w:val="decimal"/>
      <w:start w:val="1"/>
    </w:lvl>
  </w:abstractNum>
  <w:abstractNum w:abstractNumId="37">
    <w:nsid w:val="6AA78F7F"/>
    <w:multiLevelType w:val="hybridMultilevel"/>
    <w:lvl w:ilvl="0">
      <w:lvlJc w:val="left"/>
      <w:lvlText w:val="(%1)"/>
      <w:numFmt w:val="lowerRoman"/>
      <w:start w:val="2"/>
    </w:lvl>
  </w:abstractNum>
  <w:abstractNum w:abstractNumId="38">
    <w:nsid w:val="7672BD23"/>
    <w:multiLevelType w:val="hybridMultilevel"/>
    <w:lvl w:ilvl="0">
      <w:lvlJc w:val="left"/>
      <w:lvlText w:val="(%1)"/>
      <w:numFmt w:val="lowerLetter"/>
      <w:start w:val="1"/>
    </w:lvl>
  </w:abstractNum>
  <w:abstractNum w:abstractNumId="39">
    <w:nsid w:val="6FC75AF8"/>
    <w:multiLevelType w:val="hybridMultilevel"/>
    <w:lvl w:ilvl="0">
      <w:lvlJc w:val="left"/>
      <w:lvlText w:val="%1"/>
      <w:numFmt w:val="upperLetter"/>
      <w:start w:val="1"/>
    </w:lvl>
    <w:lvl w:ilvl="1">
      <w:lvlJc w:val="left"/>
      <w:lvlText w:val="(%2)"/>
      <w:numFmt w:val="lowerLetter"/>
      <w:start w:val="2"/>
    </w:lvl>
  </w:abstractNum>
  <w:abstractNum w:abstractNumId="40">
    <w:nsid w:val="6A5F7029"/>
    <w:multiLevelType w:val="hybridMultilevel"/>
    <w:lvl w:ilvl="0">
      <w:lvlJc w:val="left"/>
      <w:lvlText w:val="(%1)"/>
      <w:numFmt w:val="upperLetter"/>
      <w:start w:val="1"/>
    </w:lvl>
    <w:lvl w:ilvl="1">
      <w:lvlJc w:val="left"/>
      <w:lvlText w:val="%2"/>
      <w:numFmt w:val="lowerLetter"/>
      <w:start w:val="1"/>
    </w:lvl>
  </w:abstractNum>
  <w:abstractNum w:abstractNumId="41">
    <w:nsid w:val="7D5E18F8"/>
    <w:multiLevelType w:val="hybridMultilevel"/>
    <w:lvl w:ilvl="0">
      <w:lvlJc w:val="left"/>
      <w:lvlText w:val="(%1)"/>
      <w:numFmt w:val="lowerLetter"/>
      <w:start w:val="4"/>
    </w:lvl>
    <w:lvl w:ilvl="1">
      <w:lvlJc w:val="left"/>
      <w:lvlText w:val="(%2)"/>
      <w:numFmt w:val="lowerRoman"/>
      <w:start w:val="1"/>
    </w:lvl>
  </w:abstractNum>
  <w:abstractNum w:abstractNumId="42">
    <w:nsid w:val="5F3534A4"/>
    <w:multiLevelType w:val="hybridMultilevel"/>
    <w:lvl w:ilvl="0">
      <w:lvlJc w:val="left"/>
      <w:lvlText w:val="(%1)"/>
      <w:numFmt w:val="lowerLetter"/>
      <w:start w:val="1"/>
    </w:lvl>
  </w:abstractNum>
  <w:abstractNum w:abstractNumId="43">
    <w:nsid w:val="73A1821B"/>
    <w:multiLevelType w:val="hybridMultilevel"/>
    <w:lvl w:ilvl="0">
      <w:lvlJc w:val="left"/>
      <w:lvlText w:val="(%1)"/>
      <w:numFmt w:val="lowerLetter"/>
      <w:start w:val="2"/>
    </w:lvl>
  </w:abstractNum>
  <w:abstractNum w:abstractNumId="44">
    <w:nsid w:val="7DE67713"/>
    <w:multiLevelType w:val="hybridMultilevel"/>
    <w:lvl w:ilvl="0">
      <w:lvlJc w:val="left"/>
      <w:lvlText w:val="(%1)"/>
      <w:numFmt w:val="lowerRoman"/>
      <w:start w:val="3"/>
    </w:lvl>
  </w:abstractNum>
  <w:abstractNum w:abstractNumId="45">
    <w:nsid w:val="555C55B5"/>
    <w:multiLevelType w:val="hybridMultilevel"/>
    <w:lvl w:ilvl="0">
      <w:lvlJc w:val="left"/>
      <w:lvlText w:val="(%1)"/>
      <w:numFmt w:val="lowerRoman"/>
      <w:start w:val="4"/>
    </w:lvl>
  </w:abstractNum>
  <w:abstractNum w:abstractNumId="46">
    <w:nsid w:val="3FA62ACA"/>
    <w:multiLevelType w:val="hybridMultilevel"/>
    <w:lvl w:ilvl="0">
      <w:lvlJc w:val="left"/>
      <w:lvlText w:val="(%1)"/>
      <w:numFmt w:val="lowerLetter"/>
      <w:start w:val="1"/>
    </w:lvl>
  </w:abstractNum>
  <w:abstractNum w:abstractNumId="47">
    <w:nsid w:val="14FCE74E"/>
    <w:multiLevelType w:val="hybridMultilevel"/>
    <w:lvl w:ilvl="0">
      <w:lvlJc w:val="left"/>
      <w:lvlText w:val="(%1)"/>
      <w:numFmt w:val="lowerLetter"/>
      <w:start w:val="3"/>
    </w:lvl>
  </w:abstractNum>
  <w:abstractNum w:abstractNumId="48">
    <w:nsid w:val="6A3DD3E8"/>
    <w:multiLevelType w:val="hybridMultilevel"/>
    <w:lvl w:ilvl="0">
      <w:lvlJc w:val="left"/>
      <w:lvlText w:val="(%1)"/>
      <w:numFmt w:val="lowerLetter"/>
      <w:start w:val="1"/>
    </w:lvl>
  </w:abstractNum>
  <w:abstractNum w:abstractNumId="49">
    <w:nsid w:val="71C91298"/>
    <w:multiLevelType w:val="hybridMultilevel"/>
    <w:lvl w:ilvl="0">
      <w:lvlJc w:val="left"/>
      <w:lvlText w:val="(%1)"/>
      <w:numFmt w:val="lowerLetter"/>
      <w:start w:val="2"/>
    </w:lvl>
  </w:abstractNum>
  <w:abstractNum w:abstractNumId="50">
    <w:nsid w:val="9DAF632"/>
    <w:multiLevelType w:val="hybridMultilevel"/>
    <w:lvl w:ilvl="0">
      <w:lvlJc w:val="left"/>
      <w:lvlText w:val="(%1)"/>
      <w:numFmt w:val="lowerRoman"/>
      <w:start w:val="6"/>
    </w:lvl>
  </w:abstractNum>
  <w:abstractNum w:abstractNumId="51">
    <w:nsid w:val="53299938"/>
    <w:multiLevelType w:val="hybridMultilevel"/>
    <w:lvl w:ilvl="0">
      <w:lvlJc w:val="left"/>
      <w:lvlText w:val="(%1)"/>
      <w:numFmt w:val="lowerLetter"/>
      <w:start w:val="1"/>
    </w:lvl>
    <w:lvl w:ilvl="1">
      <w:lvlJc w:val="left"/>
      <w:lvlText w:val="(%2)"/>
      <w:numFmt w:val="lowerLetter"/>
      <w:start w:val="9"/>
    </w:lvl>
  </w:abstractNum>
  <w:abstractNum w:abstractNumId="52">
    <w:nsid w:val="1FBFE8E0"/>
    <w:multiLevelType w:val="hybridMultilevel"/>
    <w:lvl w:ilvl="0">
      <w:lvlJc w:val="left"/>
      <w:lvlText w:val="%1"/>
      <w:numFmt w:val="upperLetter"/>
      <w:start w:val="1"/>
    </w:lvl>
    <w:lvl w:ilvl="1">
      <w:lvlJc w:val="left"/>
      <w:lvlText w:val="(%2)"/>
      <w:numFmt w:val="lowerRoman"/>
      <w:start w:val="2"/>
    </w:lvl>
  </w:abstractNum>
  <w:abstractNum w:abstractNumId="53">
    <w:nsid w:val="5092CA79"/>
    <w:multiLevelType w:val="hybridMultilevel"/>
    <w:lvl w:ilvl="0">
      <w:lvlJc w:val="left"/>
      <w:lvlText w:val="(%1)"/>
      <w:numFmt w:val="upperLetter"/>
      <w:start w:val="1"/>
    </w:lvl>
    <w:lvl w:ilvl="1">
      <w:lvlJc w:val="left"/>
      <w:lvlText w:val="%2"/>
      <w:numFmt w:val="lowerRoman"/>
      <w:start w:val="1"/>
    </w:lvl>
  </w:abstractNum>
  <w:abstractNum w:abstractNumId="54">
    <w:nsid w:val="1D545C4D"/>
    <w:multiLevelType w:val="hybridMultilevel"/>
    <w:lvl w:ilvl="0">
      <w:lvlJc w:val="left"/>
      <w:lvlText w:val="(%1)"/>
      <w:numFmt w:val="lowerLetter"/>
      <w:start w:val="2"/>
    </w:lvl>
  </w:abstractNum>
  <w:abstractNum w:abstractNumId="55">
    <w:nsid w:val="59ADEA3D"/>
    <w:multiLevelType w:val="hybridMultilevel"/>
    <w:lvl w:ilvl="0">
      <w:lvlJc w:val="left"/>
      <w:lvlText w:val="(%1)"/>
      <w:numFmt w:val="lowerLetter"/>
      <w:start w:val="3"/>
    </w:lvl>
    <w:lvl w:ilvl="1">
      <w:lvlJc w:val="left"/>
      <w:lvlText w:val="(%2)"/>
      <w:numFmt w:val="lowerRoman"/>
      <w:start w:val="1"/>
    </w:lvl>
  </w:abstractNum>
  <w:abstractNum w:abstractNumId="56">
    <w:nsid w:val="288F1A34"/>
    <w:multiLevelType w:val="hybridMultilevel"/>
    <w:lvl w:ilvl="0">
      <w:lvlJc w:val="left"/>
      <w:lvlText w:val="(%1)"/>
      <w:numFmt w:val="lowerRoman"/>
      <w:start w:val="3"/>
    </w:lvl>
  </w:abstractNum>
  <w:abstractNum w:abstractNumId="57">
    <w:nsid w:val="2A155DBC"/>
    <w:multiLevelType w:val="hybridMultilevel"/>
    <w:lvl w:ilvl="0">
      <w:lvlJc w:val="left"/>
      <w:lvlText w:val="(%1)"/>
      <w:numFmt w:val="lowerLetter"/>
      <w:start w:val="1"/>
    </w:lvl>
    <w:lvl w:ilvl="1">
      <w:lvlJc w:val="left"/>
      <w:lvlText w:val="(%2)"/>
      <w:numFmt w:val="lowerRoman"/>
      <w:start w:val="1"/>
    </w:lvl>
  </w:abstractNum>
  <w:abstractNum w:abstractNumId="58">
    <w:nsid w:val="1D9F6E5F"/>
    <w:multiLevelType w:val="hybridMultilevel"/>
    <w:lvl w:ilvl="0">
      <w:lvlJc w:val="left"/>
      <w:lvlText w:val="(%1)"/>
      <w:numFmt w:val="lowerLetter"/>
      <w:start w:val="2"/>
    </w:lvl>
  </w:abstractNum>
  <w:abstractNum w:abstractNumId="59">
    <w:nsid w:val="97E1B4E"/>
    <w:multiLevelType w:val="hybridMultilevel"/>
    <w:lvl w:ilvl="0">
      <w:lvlJc w:val="left"/>
      <w:lvlText w:val="(%1)"/>
      <w:numFmt w:val="lowerLetter"/>
      <w:start w:val="3"/>
    </w:lvl>
  </w:abstractNum>
  <w:abstractNum w:abstractNumId="60">
    <w:nsid w:val="51088277"/>
    <w:multiLevelType w:val="hybridMultilevel"/>
    <w:lvl w:ilvl="0">
      <w:lvlJc w:val="left"/>
      <w:lvlText w:val="(%1)"/>
      <w:numFmt w:val="lowerLetter"/>
      <w:start w:val="1"/>
    </w:lvl>
  </w:abstractNum>
  <w:abstractNum w:abstractNumId="61">
    <w:nsid w:val="1CA0C5FA"/>
    <w:multiLevelType w:val="hybridMultilevel"/>
    <w:lvl w:ilvl="0">
      <w:lvlJc w:val="left"/>
      <w:lvlText w:val="(%1)"/>
      <w:numFmt w:val="lowerLetter"/>
      <w:start w:val="2"/>
    </w:lvl>
  </w:abstractNum>
  <w:abstractNum w:abstractNumId="62">
    <w:nsid w:val="53584BCB"/>
    <w:multiLevelType w:val="hybridMultilevel"/>
    <w:lvl w:ilvl="0">
      <w:lvlJc w:val="left"/>
      <w:lvlText w:val="(%1)"/>
      <w:numFmt w:val="lowerLetter"/>
      <w:start w:val="9"/>
    </w:lvl>
  </w:abstractNum>
  <w:abstractNum w:abstractNumId="63">
    <w:nsid w:val="415E286C"/>
    <w:multiLevelType w:val="hybridMultilevel"/>
    <w:lvl w:ilvl="0">
      <w:lvlJc w:val="left"/>
      <w:lvlText w:val="%1"/>
      <w:numFmt w:val="decimal"/>
      <w:start w:val="1"/>
    </w:lvl>
    <w:lvl w:ilvl="1">
      <w:lvlJc w:val="left"/>
      <w:lvlText w:val="(%2)"/>
      <w:numFmt w:val="lowerLetter"/>
      <w:start w:val="15"/>
    </w:lvl>
  </w:abstractNum>
  <w:abstractNum w:abstractNumId="64">
    <w:nsid w:val="7C58FD05"/>
    <w:multiLevelType w:val="hybridMultilevel"/>
    <w:lvl w:ilvl="0">
      <w:lvlJc w:val="left"/>
      <w:lvlText w:val="(%1)"/>
      <w:numFmt w:val="decimal"/>
      <w:start w:val="2"/>
    </w:lvl>
    <w:lvl w:ilvl="1">
      <w:lvlJc w:val="left"/>
      <w:lvlText w:val="(%2)"/>
      <w:numFmt w:val="lowerLetter"/>
      <w:start w:val="18"/>
    </w:lvl>
  </w:abstractNum>
  <w:abstractNum w:abstractNumId="65">
    <w:nsid w:val="23D86AAC"/>
    <w:multiLevelType w:val="hybridMultilevel"/>
    <w:lvl w:ilvl="0">
      <w:lvlJc w:val="left"/>
      <w:lvlText w:val="(%1)"/>
      <w:numFmt w:val="lowerLetter"/>
      <w:start w:val="1"/>
    </w:lvl>
  </w:abstractNum>
  <w:abstractNum w:abstractNumId="66">
    <w:nsid w:val="45E6D486"/>
    <w:multiLevelType w:val="hybridMultilevel"/>
    <w:lvl w:ilvl="0">
      <w:lvlJc w:val="left"/>
      <w:lvlText w:val="(%1)"/>
      <w:numFmt w:val="lowerLetter"/>
      <w:start w:val="2"/>
    </w:lvl>
  </w:abstractNum>
  <w:abstractNum w:abstractNumId="67">
    <w:nsid w:val="5C10FE21"/>
    <w:multiLevelType w:val="hybridMultilevel"/>
    <w:lvl w:ilvl="0">
      <w:lvlJc w:val="left"/>
      <w:lvlText w:val="(%1)"/>
      <w:numFmt w:val="lowerLetter"/>
      <w:start w:val="9"/>
    </w:lvl>
    <w:lvl w:ilvl="1">
      <w:lvlJc w:val="left"/>
      <w:lvlText w:val="(%2)"/>
      <w:numFmt w:val="lowerLetter"/>
      <w:start w:val="3"/>
    </w:lvl>
  </w:abstractNum>
  <w:abstractNum w:abstractNumId="68">
    <w:nsid w:val="E7FFA2B"/>
    <w:multiLevelType w:val="hybridMultilevel"/>
    <w:lvl w:ilvl="0">
      <w:lvlJc w:val="left"/>
      <w:lvlText w:val="(%1)"/>
      <w:numFmt w:val="lowerLetter"/>
      <w:start w:val="1"/>
    </w:lvl>
  </w:abstractNum>
  <w:abstractNum w:abstractNumId="69">
    <w:nsid w:val="3C5991AA"/>
    <w:multiLevelType w:val="hybridMultilevel"/>
    <w:lvl w:ilvl="0">
      <w:lvlJc w:val="left"/>
      <w:lvlText w:val="(%1)"/>
      <w:numFmt w:val="lowerLetter"/>
      <w:start w:val="1"/>
    </w:lvl>
  </w:abstractNum>
  <w:abstractNum w:abstractNumId="70">
    <w:nsid w:val="4BD8591A"/>
    <w:multiLevelType w:val="hybridMultilevel"/>
    <w:lvl w:ilvl="0">
      <w:lvlJc w:val="left"/>
      <w:lvlText w:val="(%1)"/>
      <w:numFmt w:val="lowerLetter"/>
      <w:start w:val="1"/>
    </w:lvl>
  </w:abstractNum>
  <w:abstractNum w:abstractNumId="71">
    <w:nsid w:val="78DF6A55"/>
    <w:multiLevelType w:val="hybridMultilevel"/>
    <w:lvl w:ilvl="0">
      <w:lvlJc w:val="left"/>
      <w:lvlText w:val="(%1)"/>
      <w:numFmt w:val="lowerLetter"/>
      <w:start w:val="2"/>
    </w:lvl>
  </w:abstractNum>
  <w:abstractNum w:abstractNumId="72">
    <w:nsid w:val="39B7AAA2"/>
    <w:multiLevelType w:val="hybridMultilevel"/>
    <w:lvl w:ilvl="0">
      <w:lvlJc w:val="left"/>
      <w:lvlText w:val="(%1)"/>
      <w:numFmt w:val="lowerLetter"/>
      <w:start w:val="7"/>
    </w:lvl>
  </w:abstractNum>
  <w:abstractNum w:abstractNumId="73">
    <w:nsid w:val="2B0D8DBE"/>
    <w:multiLevelType w:val="hybridMultilevel"/>
    <w:lvl w:ilvl="0">
      <w:lvlJc w:val="left"/>
      <w:lvlText w:val="(%1)"/>
      <w:numFmt w:val="lowerLetter"/>
      <w:start w:val="11"/>
    </w:lvl>
  </w:abstractNum>
  <w:abstractNum w:abstractNumId="74">
    <w:nsid w:val="6C80EC70"/>
    <w:multiLevelType w:val="hybridMultilevel"/>
    <w:lvl w:ilvl="0">
      <w:lvlJc w:val="left"/>
      <w:lvlText w:val="(%1)"/>
      <w:numFmt w:val="lowerLetter"/>
      <w:start w:val="16"/>
    </w:lvl>
  </w:abstractNum>
  <w:abstractNum w:abstractNumId="75">
    <w:nsid w:val="379E21B5"/>
    <w:multiLevelType w:val="hybridMultilevel"/>
    <w:lvl w:ilvl="0">
      <w:lvlJc w:val="left"/>
      <w:lvlText w:val="(%1)"/>
      <w:numFmt w:val="lowerLetter"/>
      <w:start w:val="1"/>
    </w:lvl>
  </w:abstractNum>
  <w:abstractNum w:abstractNumId="76">
    <w:nsid w:val="69E373"/>
    <w:multiLevelType w:val="hybridMultilevel"/>
    <w:lvl w:ilvl="0">
      <w:lvlJc w:val="left"/>
      <w:lvlText w:val="%1"/>
      <w:numFmt w:val="upperLetter"/>
      <w:start w:val="61"/>
    </w:lvl>
  </w:abstractNum>
  <w:abstractNum w:abstractNumId="77">
    <w:nsid w:val="2C27173B"/>
    <w:multiLevelType w:val="hybridMultilevel"/>
    <w:lvl w:ilvl="0">
      <w:lvlJc w:val="left"/>
      <w:lvlText w:val="(%1)"/>
      <w:numFmt w:val="decimal"/>
      <w:start w:val="1"/>
    </w:lvl>
  </w:abstractNum>
  <w:abstractNum w:abstractNumId="78">
    <w:nsid w:val="4C9B0904"/>
    <w:multiLevelType w:val="hybridMultilevel"/>
    <w:lvl w:ilvl="0">
      <w:lvlJc w:val="left"/>
      <w:lvlText w:val="(%1)"/>
      <w:numFmt w:val="decimal"/>
      <w:start w:val="20"/>
    </w:lvl>
  </w:abstractNum>
  <w:abstractNum w:abstractNumId="79">
    <w:nsid w:val="6AA7B75C"/>
    <w:multiLevelType w:val="hybridMultilevel"/>
    <w:lvl w:ilvl="0">
      <w:lvlJc w:val="left"/>
      <w:lvlText w:val="(%1)"/>
      <w:numFmt w:val="lowerLetter"/>
      <w:start w:val="4"/>
    </w:lvl>
  </w:abstractNum>
  <w:abstractNum w:abstractNumId="80">
    <w:nsid w:val="1DF029D3"/>
    <w:multiLevelType w:val="hybridMultilevel"/>
    <w:lvl w:ilvl="0">
      <w:lvlJc w:val="left"/>
      <w:lvlText w:val="(%1)"/>
      <w:numFmt w:val="lowerLetter"/>
      <w:start w:val="1"/>
    </w:lvl>
  </w:abstractNum>
  <w:abstractNum w:abstractNumId="81">
    <w:nsid w:val="5675FF36"/>
    <w:multiLevelType w:val="hybridMultilevel"/>
    <w:lvl w:ilvl="0">
      <w:lvlJc w:val="left"/>
      <w:lvlText w:val="(%1)"/>
      <w:numFmt w:val="lowerLetter"/>
      <w:start w:val="1"/>
    </w:lvl>
  </w:abstractNum>
  <w:abstractNum w:abstractNumId="82">
    <w:nsid w:val="3DD15094"/>
    <w:multiLevelType w:val="hybridMultilevel"/>
    <w:lvl w:ilvl="0">
      <w:lvlJc w:val="left"/>
      <w:lvlText w:val="(%1)"/>
      <w:numFmt w:val="lowerLetter"/>
      <w:start w:val="1"/>
    </w:lvl>
  </w:abstractNum>
  <w:abstractNum w:abstractNumId="83">
    <w:nsid w:val="3DB012B3"/>
    <w:multiLevelType w:val="hybridMultilevel"/>
    <w:lvl w:ilvl="0">
      <w:lvlJc w:val="left"/>
      <w:lvlText w:val="(%1)"/>
      <w:numFmt w:val="lowerLetter"/>
      <w:start w:val="3"/>
    </w:lvl>
  </w:abstractNum>
  <w:abstractNum w:abstractNumId="84">
    <w:nsid w:val="2708C9AF"/>
    <w:multiLevelType w:val="hybridMultilevel"/>
    <w:lvl w:ilvl="0">
      <w:lvlJc w:val="left"/>
      <w:lvlText w:val="(%1)"/>
      <w:numFmt w:val="lowerLetter"/>
      <w:start w:val="1"/>
    </w:lvl>
  </w:abstractNum>
  <w:abstractNum w:abstractNumId="85">
    <w:nsid w:val="5B25ACE2"/>
    <w:multiLevelType w:val="hybridMultilevel"/>
    <w:lvl w:ilvl="0">
      <w:lvlJc w:val="left"/>
      <w:lvlText w:val="%1"/>
      <w:numFmt w:val="lowerLetter"/>
      <w:start w:val="1"/>
    </w:lvl>
    <w:lvl w:ilvl="1">
      <w:lvlJc w:val="left"/>
      <w:lvlText w:val="(%2)"/>
      <w:numFmt w:val="lowerLetter"/>
      <w:start w:val="1"/>
    </w:lvl>
  </w:abstractNum>
  <w:abstractNum w:abstractNumId="86">
    <w:nsid w:val="175DFCF0"/>
    <w:multiLevelType w:val="hybridMultilevel"/>
    <w:lvl w:ilvl="0">
      <w:lvlJc w:val="left"/>
      <w:lvlText w:val="(%1)"/>
      <w:numFmt w:val="lowerLetter"/>
      <w:start w:val="9"/>
    </w:lvl>
    <w:lvl w:ilvl="1">
      <w:lvlJc w:val="left"/>
      <w:lvlText w:val="%2"/>
      <w:numFmt w:val="lowerLetter"/>
      <w:start w:val="1"/>
    </w:lvl>
  </w:abstractNum>
  <w:abstractNum w:abstractNumId="87">
    <w:nsid w:val="4F97E3E4"/>
    <w:multiLevelType w:val="hybridMultilevel"/>
    <w:lvl w:ilvl="0">
      <w:lvlJc w:val="left"/>
      <w:lvlText w:val="(%1)"/>
      <w:numFmt w:val="upperLetter"/>
      <w:start w:val="1"/>
    </w:lvl>
    <w:lvl w:ilvl="1">
      <w:lvlJc w:val="left"/>
      <w:lvlText w:val="(%2)"/>
      <w:numFmt w:val="lowerLetter"/>
      <w:start w:val="2"/>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lowerLetter"/>
      <w:start w:val="3"/>
    </w:lvl>
  </w:abstractNum>
  <w:abstractNum w:abstractNumId="90">
    <w:nsid w:val="5915FF32"/>
    <w:multiLevelType w:val="hybridMultilevel"/>
    <w:lvl w:ilvl="0">
      <w:lvlJc w:val="left"/>
      <w:lvlText w:val="(%1)"/>
      <w:numFmt w:val="lowerLetter"/>
      <w:start w:val="1"/>
    </w:lvl>
    <w:lvl w:ilvl="1">
      <w:lvlJc w:val="left"/>
      <w:lvlText w:val="(%2)"/>
      <w:numFmt w:val="lowerRoman"/>
      <w:start w:val="1"/>
    </w:lvl>
  </w:abstractNum>
  <w:abstractNum w:abstractNumId="91">
    <w:nsid w:val="56438D15"/>
    <w:multiLevelType w:val="hybridMultilevel"/>
    <w:lvl w:ilvl="0">
      <w:lvlJc w:val="left"/>
      <w:lvlText w:val="%1"/>
      <w:numFmt w:val="lowerRoman"/>
      <w:start w:val="1"/>
    </w:lvl>
    <w:lvl w:ilvl="1">
      <w:lvlJc w:val="left"/>
      <w:lvlText w:val="(%2)"/>
      <w:numFmt w:val="lowerRoman"/>
      <w:start w:val="1"/>
    </w:lvl>
  </w:abstractNum>
  <w:abstractNum w:abstractNumId="92">
    <w:nsid w:val="519E3149"/>
    <w:multiLevelType w:val="hybridMultilevel"/>
    <w:lvl w:ilvl="0">
      <w:lvlJc w:val="left"/>
      <w:lvlText w:val="(%1)"/>
      <w:numFmt w:val="lowerRoman"/>
      <w:start w:val="10"/>
    </w:lvl>
    <w:lvl w:ilvl="1">
      <w:lvlJc w:val="left"/>
      <w:lvlText w:val="(%2)"/>
      <w:numFmt w:val="lowerRoman"/>
      <w:start w:val="2"/>
    </w:lvl>
  </w:abstractNum>
  <w:abstractNum w:abstractNumId="93">
    <w:nsid w:val="2C6E4AFD"/>
    <w:multiLevelType w:val="hybridMultilevel"/>
    <w:lvl w:ilvl="0">
      <w:lvlJc w:val="left"/>
      <w:lvlText w:val="(%1)"/>
      <w:numFmt w:val="lowerLetter"/>
      <w:start w:val="3"/>
    </w:lvl>
    <w:lvl w:ilvl="1">
      <w:lvlJc w:val="left"/>
      <w:lvlText w:val="(%2)"/>
      <w:numFmt w:val="lowerRoman"/>
      <w:start w:val="1"/>
    </w:lvl>
  </w:abstractNum>
  <w:abstractNum w:abstractNumId="94">
    <w:nsid w:val="17A1B582"/>
    <w:multiLevelType w:val="hybridMultilevel"/>
    <w:lvl w:ilvl="0">
      <w:lvlJc w:val="left"/>
      <w:lvlText w:val="(%1)"/>
      <w:numFmt w:val="decimal"/>
      <w:start w:val="3"/>
    </w:lvl>
    <w:lvl w:ilvl="1">
      <w:lvlJc w:val="left"/>
      <w:lvlText w:val="(%2)"/>
      <w:numFmt w:val="lowerRoman"/>
      <w:start w:val="3"/>
    </w:lvl>
  </w:abstractNum>
  <w:abstractNum w:abstractNumId="95">
    <w:nsid w:val="4DF72E4E"/>
    <w:multiLevelType w:val="hybridMultilevel"/>
    <w:lvl w:ilvl="0">
      <w:lvlJc w:val="left"/>
      <w:lvlText w:val="(%1)"/>
      <w:numFmt w:val="lowerLetter"/>
      <w:start w:val="4"/>
    </w:lvl>
  </w:abstractNum>
  <w:abstractNum w:abstractNumId="96">
    <w:nsid w:val="5046B5A9"/>
    <w:multiLevelType w:val="hybridMultilevel"/>
    <w:lvl w:ilvl="0">
      <w:lvlJc w:val="left"/>
      <w:lvlText w:val="(%1)"/>
      <w:numFmt w:val="lowerLetter"/>
      <w:start w:val="1"/>
    </w:lvl>
  </w:abstractNum>
  <w:abstractNum w:abstractNumId="97">
    <w:nsid w:val="5D888A08"/>
    <w:multiLevelType w:val="hybridMultilevel"/>
    <w:lvl w:ilvl="0">
      <w:lvlJc w:val="left"/>
      <w:lvlText w:val="(%1)"/>
      <w:numFmt w:val="lowerLetter"/>
      <w:start w:val="2"/>
    </w:lvl>
    <w:lvl w:ilvl="1">
      <w:lvlJc w:val="left"/>
      <w:lvlText w:val="(%2)"/>
      <w:numFmt w:val="lowerLetter"/>
      <w:start w:val="9"/>
    </w:lvl>
  </w:abstractNum>
  <w:abstractNum w:abstractNumId="98">
    <w:nsid w:val="2A082C70"/>
    <w:multiLevelType w:val="hybridMultilevel"/>
    <w:lvl w:ilvl="0">
      <w:lvlJc w:val="left"/>
      <w:lvlText w:val="(%1)"/>
      <w:numFmt w:val="lowerRoman"/>
      <w:start w:val="2"/>
    </w:lvl>
  </w:abstractNum>
  <w:abstractNum w:abstractNumId="99">
    <w:nsid w:val="5EC6AFD4"/>
    <w:multiLevelType w:val="hybridMultilevel"/>
    <w:lvl w:ilvl="0">
      <w:lvlJc w:val="left"/>
      <w:lvlText w:val="(%1)"/>
      <w:numFmt w:val="lowerLetter"/>
      <w:start w:val="2"/>
    </w:lvl>
    <w:lvl w:ilvl="1">
      <w:lvlJc w:val="left"/>
      <w:lvlText w:val="(%2)"/>
      <w:numFmt w:val="lowerRoman"/>
      <w:start w:val="1"/>
    </w:lvl>
  </w:abstractNum>
  <w:abstractNum w:abstractNumId="100">
    <w:nsid w:val="19E21BB2"/>
    <w:multiLevelType w:val="hybridMultilevel"/>
    <w:lvl w:ilvl="0">
      <w:lvlJc w:val="left"/>
      <w:lvlText w:val="(%1)"/>
      <w:numFmt w:val="lowerLetter"/>
      <w:start w:val="1"/>
    </w:lvl>
  </w:abstractNum>
  <w:abstractNum w:abstractNumId="101">
    <w:nsid w:val="75E0858A"/>
    <w:multiLevelType w:val="hybridMultilevel"/>
    <w:lvl w:ilvl="0">
      <w:lvlJc w:val="left"/>
      <w:lvlText w:val="(%1)"/>
      <w:numFmt w:val="lowerLetter"/>
      <w:start w:val="4"/>
    </w:lvl>
  </w:abstractNum>
  <w:abstractNum w:abstractNumId="102">
    <w:nsid w:val="57A61A29"/>
    <w:multiLevelType w:val="hybridMultilevel"/>
    <w:lvl w:ilvl="0">
      <w:lvlJc w:val="left"/>
      <w:lvlText w:val="(%1)"/>
      <w:numFmt w:val="lowerLetter"/>
      <w:start w:val="6"/>
    </w:lvl>
  </w:abstractNum>
  <w:abstractNum w:abstractNumId="103">
    <w:nsid w:val="5399C654"/>
    <w:multiLevelType w:val="hybridMultilevel"/>
    <w:lvl w:ilvl="0">
      <w:lvlJc w:val="left"/>
      <w:lvlText w:val="(%1)"/>
      <w:numFmt w:val="lowerLetter"/>
      <w:start w:val="1"/>
    </w:lvl>
  </w:abstractNum>
  <w:abstractNum w:abstractNumId="104">
    <w:nsid w:val="20EE1348"/>
    <w:multiLevelType w:val="hybridMultilevel"/>
    <w:lvl w:ilvl="0">
      <w:lvlJc w:val="left"/>
      <w:lvlText w:val="(%1)"/>
      <w:numFmt w:val="lowerLetter"/>
      <w:start w:val="1"/>
    </w:lvl>
  </w:abstractNum>
  <w:abstractNum w:abstractNumId="105">
    <w:nsid w:val="4427069A"/>
    <w:multiLevelType w:val="hybridMultilevel"/>
    <w:lvl w:ilvl="0">
      <w:lvlJc w:val="left"/>
      <w:lvlText w:val="(%1)"/>
      <w:numFmt w:val="lowerLetter"/>
      <w:start w:val="2"/>
    </w:lvl>
  </w:abstractNum>
  <w:abstractNum w:abstractNumId="106">
    <w:nsid w:val="B37E80A"/>
    <w:multiLevelType w:val="hybridMultilevel"/>
    <w:lvl w:ilvl="0">
      <w:lvlJc w:val="left"/>
      <w:lvlText w:val="(%1)"/>
      <w:numFmt w:val="lowerLetter"/>
      <w:start w:val="1"/>
    </w:lvl>
  </w:abstractNum>
  <w:abstractNum w:abstractNumId="107">
    <w:nsid w:val="2157F6BC"/>
    <w:multiLevelType w:val="hybridMultilevel"/>
    <w:lvl w:ilvl="0">
      <w:lvlJc w:val="left"/>
      <w:lvlText w:val="(%1)"/>
      <w:numFmt w:val="lowerLetter"/>
      <w:start w:val="3"/>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lowerLetter"/>
      <w:start w:val="2"/>
    </w:lvl>
  </w:abstractNum>
  <w:abstractNum w:abstractNumId="110">
    <w:nsid w:val="BFFAE18"/>
    <w:multiLevelType w:val="hybridMultilevel"/>
    <w:lvl w:ilvl="0">
      <w:lvlJc w:val="left"/>
      <w:lvlText w:val="(%1)"/>
      <w:numFmt w:val="lowerLetter"/>
      <w:start w:val="1"/>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lowerLetter"/>
      <w:start w:val="4"/>
    </w:lvl>
  </w:abstractNum>
  <w:abstractNum w:abstractNumId="113">
    <w:nsid w:val="49D0FEAC"/>
    <w:multiLevelType w:val="hybridMultilevel"/>
    <w:lvl w:ilvl="0">
      <w:lvlJc w:val="left"/>
      <w:lvlText w:val="(%1)"/>
      <w:numFmt w:val="lowerLetter"/>
      <w:start w:val="2"/>
    </w:lvl>
  </w:abstractNum>
  <w:abstractNum w:abstractNumId="114">
    <w:nsid w:val="4BEE5A5B"/>
    <w:multiLevelType w:val="hybridMultilevel"/>
    <w:lvl w:ilvl="0">
      <w:lvlJc w:val="left"/>
      <w:lvlText w:val="(%1)"/>
      <w:numFmt w:val="lowerLetter"/>
      <w:start w:val="25"/>
    </w:lvl>
  </w:abstractNum>
  <w:abstractNum w:abstractNumId="115">
    <w:nsid w:val="5551B9F3"/>
    <w:multiLevelType w:val="hybridMultilevel"/>
    <w:lvl w:ilvl="0">
      <w:lvlJc w:val="left"/>
      <w:lvlText w:val="(%1)"/>
      <w:numFmt w:val="decimal"/>
      <w:start w:val="1"/>
    </w:lvl>
  </w:abstractNum>
  <w:abstractNum w:abstractNumId="116">
    <w:nsid w:val="24F6AB8E"/>
    <w:multiLevelType w:val="hybridMultilevel"/>
    <w:lvl w:ilvl="0">
      <w:lvlJc w:val="left"/>
      <w:lvlText w:val="(%1)"/>
      <w:numFmt w:val="decimal"/>
      <w:start w:val="3"/>
    </w:lvl>
  </w:abstractNum>
  <w:abstractNum w:abstractNumId="117">
    <w:nsid w:val="634C574C"/>
    <w:multiLevelType w:val="hybridMultilevel"/>
    <w:lvl w:ilvl="0">
      <w:lvlJc w:val="left"/>
      <w:lvlText w:val="(%1)"/>
      <w:numFmt w:val="lowerLetter"/>
      <w:start w:val="1"/>
    </w:lvl>
  </w:abstractNum>
  <w:abstractNum w:abstractNumId="118">
    <w:nsid w:val="24E99DD7"/>
    <w:multiLevelType w:val="hybridMultilevel"/>
    <w:lvl w:ilvl="0">
      <w:lvlJc w:val="left"/>
      <w:lvlText w:val="(%1)"/>
      <w:numFmt w:val="lowerLetter"/>
      <w:start w:val="1"/>
    </w:lvl>
    <w:lvl w:ilvl="1">
      <w:lvlJc w:val="left"/>
      <w:lvlText w:val="(%2)"/>
      <w:numFmt w:val="lowerRoman"/>
      <w:start w:val="1"/>
    </w:lvl>
  </w:abstractNum>
  <w:abstractNum w:abstractNumId="119">
    <w:nsid w:val="2A31B62D"/>
    <w:multiLevelType w:val="hybridMultilevel"/>
    <w:lvl w:ilvl="0">
      <w:lvlJc w:val="left"/>
      <w:lvlText w:val="(%1)"/>
      <w:numFmt w:val="lowerLetter"/>
      <w:start w:val="3"/>
    </w:lvl>
  </w:abstractNum>
  <w:abstractNum w:abstractNumId="120">
    <w:nsid w:val="1849C29B"/>
    <w:multiLevelType w:val="hybridMultilevel"/>
    <w:lvl w:ilvl="0">
      <w:lvlJc w:val="left"/>
      <w:lvlText w:val="%1"/>
      <w:numFmt w:val="decimal"/>
      <w:start w:val="1"/>
    </w:lvl>
    <w:lvl w:ilvl="1">
      <w:lvlJc w:val="left"/>
      <w:lvlText w:val="(%2)"/>
      <w:numFmt w:val="lowerLetter"/>
      <w:start w:val="1"/>
    </w:lvl>
  </w:abstractNum>
  <w:abstractNum w:abstractNumId="121">
    <w:nsid w:val="7DFF9D09"/>
    <w:multiLevelType w:val="hybridMultilevel"/>
    <w:lvl w:ilvl="0">
      <w:lvlJc w:val="left"/>
      <w:lvlText w:val="(%1)"/>
      <w:numFmt w:val="decimal"/>
      <w:start w:val="5"/>
    </w:lvl>
    <w:lvl w:ilvl="1">
      <w:lvlJc w:val="left"/>
      <w:lvlText w:val="%2"/>
      <w:numFmt w:val="lowerLetter"/>
      <w:start w:val="1"/>
    </w:lvl>
  </w:abstractNum>
  <w:abstractNum w:abstractNumId="122">
    <w:nsid w:val="754342"/>
    <w:multiLevelType w:val="hybridMultilevel"/>
    <w:lvl w:ilvl="0">
      <w:lvlJc w:val="left"/>
      <w:lvlText w:val="(%1)"/>
      <w:numFmt w:val="lowerLetter"/>
      <w:start w:val="2"/>
    </w:lvl>
  </w:abstractNum>
  <w:abstractNum w:abstractNumId="123">
    <w:nsid w:val="69E7F3E5"/>
    <w:multiLevelType w:val="hybridMultilevel"/>
    <w:lvl w:ilvl="0">
      <w:lvlJc w:val="left"/>
      <w:lvlText w:val="(%1)"/>
      <w:numFmt w:val="lowerLetter"/>
      <w:start w:val="1"/>
    </w:lvl>
    <w:lvl w:ilvl="1">
      <w:lvlJc w:val="left"/>
      <w:lvlText w:val="(%2)"/>
      <w:numFmt w:val="lowerLetter"/>
      <w:start w:val="9"/>
    </w:lvl>
  </w:abstractNum>
  <w:abstractNum w:abstractNumId="124">
    <w:nsid w:val="2A6DE806"/>
    <w:multiLevelType w:val="hybridMultilevel"/>
    <w:lvl w:ilvl="0">
      <w:lvlJc w:val="left"/>
      <w:lvlText w:val="%1"/>
      <w:numFmt w:val="lowerLetter"/>
      <w:start w:val="1"/>
    </w:lvl>
    <w:lvl w:ilvl="1">
      <w:lvlJc w:val="left"/>
      <w:lvlText w:val="(%2)"/>
      <w:numFmt w:val="lowerRoman"/>
      <w:start w:val="2"/>
    </w:lvl>
  </w:abstractNum>
  <w:abstractNum w:abstractNumId="125">
    <w:nsid w:val="1816F8C4"/>
    <w:multiLevelType w:val="hybridMultilevel"/>
    <w:lvl w:ilvl="0">
      <w:lvlJc w:val="left"/>
      <w:lvlText w:val="(%1)"/>
      <w:numFmt w:val="lowerLetter"/>
      <w:start w:val="2"/>
    </w:lvl>
    <w:lvl w:ilvl="1">
      <w:lvlJc w:val="left"/>
      <w:lvlText w:val="%2"/>
      <w:numFmt w:val="lowerRoman"/>
      <w:start w:val="1"/>
    </w:lvl>
  </w:abstractNum>
  <w:abstractNum w:abstractNumId="126">
    <w:nsid w:val="37DF2233"/>
    <w:multiLevelType w:val="hybridMultilevel"/>
    <w:lvl w:ilvl="0">
      <w:lvlJc w:val="left"/>
      <w:lvlText w:val="(%1)"/>
      <w:numFmt w:val="lowerLetter"/>
      <w:start w:val="4"/>
    </w:lvl>
    <w:lvl w:ilvl="1">
      <w:lvlJc w:val="left"/>
      <w:lvlText w:val="(%2)"/>
      <w:numFmt w:val="lowerRoman"/>
      <w:start w:val="1"/>
    </w:lvl>
  </w:abstractNum>
  <w:abstractNum w:abstractNumId="127">
    <w:nsid w:val="7AB49DAF"/>
    <w:multiLevelType w:val="hybridMultilevel"/>
    <w:lvl w:ilvl="0">
      <w:lvlJc w:val="left"/>
      <w:lvlText w:val="(%1)"/>
      <w:numFmt w:val="lowerLetter"/>
      <w:start w:val="5"/>
    </w:lvl>
  </w:abstractNum>
  <w:abstractNum w:abstractNumId="128">
    <w:nsid w:val="759F82CD"/>
    <w:multiLevelType w:val="hybridMultilevel"/>
    <w:lvl w:ilvl="0">
      <w:lvlJc w:val="left"/>
      <w:lvlText w:val="(%1)"/>
      <w:numFmt w:val="lowerLetter"/>
      <w:start w:val="1"/>
    </w:lvl>
    <w:lvl w:ilvl="1">
      <w:lvlJc w:val="left"/>
      <w:lvlText w:val="(%2)"/>
      <w:numFmt w:val="lowerRoman"/>
      <w:start w:val="1"/>
    </w:lvl>
  </w:abstractNum>
  <w:abstractNum w:abstractNumId="129">
    <w:nsid w:val="61E74EA3"/>
    <w:multiLevelType w:val="hybridMultilevel"/>
    <w:lvl w:ilvl="0">
      <w:lvlJc w:val="left"/>
      <w:lvlText w:val="(%1)"/>
      <w:numFmt w:val="lowerRoman"/>
      <w:start w:val="3"/>
    </w:lvl>
  </w:abstractNum>
  <w:abstractNum w:abstractNumId="130">
    <w:nsid w:val="597B4D84"/>
    <w:multiLevelType w:val="hybridMultilevel"/>
    <w:lvl w:ilvl="0">
      <w:lvlJc w:val="left"/>
      <w:lvlText w:val="(%1)"/>
      <w:numFmt w:val="lowerLetter"/>
      <w:start w:val="1"/>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1)"/>
      <w:numFmt w:val="lowerLetter"/>
      <w:start w:val="1"/>
    </w:lvl>
  </w:abstractNum>
  <w:abstractNum w:abstractNumId="133">
    <w:nsid w:val="312167AD"/>
    <w:multiLevelType w:val="hybridMultilevel"/>
    <w:lvl w:ilvl="0">
      <w:lvlJc w:val="left"/>
      <w:lvlText w:val="(%1)"/>
      <w:numFmt w:val="lowerLetter"/>
      <w:start w:val="3"/>
    </w:lvl>
  </w:abstractNum>
  <w:abstractNum w:abstractNumId="134">
    <w:nsid w:val="631B64D4"/>
    <w:multiLevelType w:val="hybridMultilevel"/>
    <w:lvl w:ilvl="0">
      <w:lvlJc w:val="left"/>
      <w:lvlText w:val="(%1)"/>
      <w:numFmt w:val="lowerLetter"/>
      <w:start w:val="1"/>
    </w:lvl>
  </w:abstractNum>
  <w:abstractNum w:abstractNumId="135">
    <w:nsid w:val="78B5E776"/>
    <w:multiLevelType w:val="hybridMultilevel"/>
    <w:lvl w:ilvl="0">
      <w:lvlJc w:val="left"/>
      <w:lvlText w:val="%1"/>
      <w:numFmt w:val="upperLetter"/>
      <w:start w:val="1"/>
    </w:lvl>
    <w:lvl w:ilvl="1">
      <w:lvlJc w:val="left"/>
      <w:lvlText w:val="(%2)"/>
      <w:numFmt w:val="lowerRoman"/>
      <w:start w:val="1"/>
    </w:lvl>
  </w:abstractNum>
  <w:abstractNum w:abstractNumId="136">
    <w:nsid w:val="75486E47"/>
    <w:multiLevelType w:val="hybridMultilevel"/>
    <w:lvl w:ilvl="0">
      <w:lvlJc w:val="left"/>
      <w:lvlText w:val="(%1)"/>
      <w:numFmt w:val="upperLetter"/>
      <w:start w:val="4"/>
    </w:lvl>
    <w:lvl w:ilvl="1">
      <w:lvlJc w:val="left"/>
      <w:lvlText w:val="(%2)"/>
      <w:numFmt w:val="lowerRoman"/>
      <w:start w:val="2"/>
    </w:lvl>
  </w:abstractNum>
  <w:abstractNum w:abstractNumId="137">
    <w:nsid w:val="6E534CDE"/>
    <w:multiLevelType w:val="hybridMultilevel"/>
    <w:lvl w:ilvl="0">
      <w:lvlJc w:val="left"/>
      <w:lvlText w:val="(%1)"/>
      <w:numFmt w:val="lowerLetter"/>
      <w:start w:val="2"/>
    </w:lvl>
  </w:abstractNum>
  <w:abstractNum w:abstractNumId="138">
    <w:nsid w:val="1A0DDE32"/>
    <w:multiLevelType w:val="hybridMultilevel"/>
    <w:lvl w:ilvl="0">
      <w:lvlJc w:val="left"/>
      <w:lvlText w:val="(%1)"/>
      <w:numFmt w:val="lowerLetter"/>
      <w:start w:val="1"/>
    </w:lvl>
  </w:abstractNum>
  <w:abstractNum w:abstractNumId="139">
    <w:nsid w:val="65968C1C"/>
    <w:multiLevelType w:val="hybridMultilevel"/>
    <w:lvl w:ilvl="0">
      <w:lvlJc w:val="left"/>
      <w:lvlText w:val="(%1)"/>
      <w:numFmt w:val="lowerLetter"/>
      <w:start w:val="2"/>
    </w:lvl>
  </w:abstractNum>
  <w:abstractNum w:abstractNumId="140">
    <w:nsid w:val="46263DEC"/>
    <w:multiLevelType w:val="hybridMultilevel"/>
    <w:lvl w:ilvl="0">
      <w:lvlJc w:val="left"/>
      <w:lvlText w:val="%1"/>
      <w:numFmt w:val="upperLetter"/>
      <w:start w:val="1"/>
    </w:lvl>
    <w:lvl w:ilvl="1">
      <w:lvlJc w:val="left"/>
      <w:lvlText w:val="(%2)"/>
      <w:numFmt w:val="lowerLetter"/>
      <w:start w:val="1"/>
    </w:lvl>
  </w:abstractNum>
  <w:abstractNum w:abstractNumId="141">
    <w:nsid w:val="260D8C4A"/>
    <w:multiLevelType w:val="hybridMultilevel"/>
    <w:lvl w:ilvl="0">
      <w:lvlJc w:val="left"/>
      <w:lvlText w:val="(%1)"/>
      <w:numFmt w:val="upperLetter"/>
      <w:start w:val="4"/>
    </w:lvl>
    <w:lvl w:ilvl="1">
      <w:lvlJc w:val="left"/>
      <w:lvlText w:val="%2"/>
      <w:numFmt w:val="lowerLetter"/>
      <w:start w:val="1"/>
    </w:lvl>
  </w:abstractNum>
  <w:abstractNum w:abstractNumId="142">
    <w:nsid w:val="73D4D3C4"/>
    <w:multiLevelType w:val="hybridMultilevel"/>
    <w:lvl w:ilvl="0">
      <w:lvlJc w:val="left"/>
      <w:lvlText w:val="*"/>
      <w:numFmt w:val="bullet"/>
      <w:start w:val="1"/>
    </w:lvl>
  </w:abstractNum>
  <w:abstractNum w:abstractNumId="143">
    <w:nsid w:val="746F2E30"/>
    <w:multiLevelType w:val="hybridMultilevel"/>
    <w:lvl w:ilvl="0">
      <w:lvlJc w:val="left"/>
      <w:lvlText w:val="%1."/>
      <w:numFmt w:val="decimal"/>
      <w:start w:val="1"/>
    </w:lvl>
  </w:abstractNum>
  <w:abstractNum w:abstractNumId="144">
    <w:nsid w:val="6FDE8AF6"/>
    <w:multiLevelType w:val="hybridMultilevel"/>
    <w:lvl w:ilvl="0">
      <w:lvlJc w:val="left"/>
      <w:lvlText w:val="(%1)"/>
      <w:numFmt w:val="lowerLetter"/>
      <w:start w:val="1"/>
    </w:lvl>
  </w:abstractNum>
  <w:abstractNum w:abstractNumId="145">
    <w:nsid w:val="3FC32E20"/>
    <w:multiLevelType w:val="hybridMultilevel"/>
    <w:lvl w:ilvl="0">
      <w:lvlJc w:val="left"/>
      <w:lvlText w:val="(%1)"/>
      <w:numFmt w:val="decimal"/>
      <w:start w:val="1"/>
    </w:lvl>
    <w:lvl w:ilvl="1">
      <w:lvlJc w:val="left"/>
      <w:lvlText w:val="(%2)"/>
      <w:numFmt w:val="lowerLetter"/>
      <w:start w:val="5"/>
    </w:lvl>
  </w:abstractNum>
  <w:abstractNum w:abstractNumId="146">
    <w:nsid w:val="49C0E823"/>
    <w:multiLevelType w:val="hybridMultilevel"/>
    <w:lvl w:ilvl="0">
      <w:lvlJc w:val="left"/>
      <w:lvlText w:val="(%1)"/>
      <w:numFmt w:val="lowerLetter"/>
      <w:start w:val="1"/>
    </w:lvl>
    <w:lvl w:ilvl="1">
      <w:lvlJc w:val="left"/>
      <w:lvlText w:val="(%2)"/>
      <w:numFmt w:val="lowerRoman"/>
      <w:start w:val="1"/>
    </w:lvl>
  </w:abstractNum>
  <w:abstractNum w:abstractNumId="147">
    <w:nsid w:val="14D53685"/>
    <w:multiLevelType w:val="hybridMultilevel"/>
    <w:lvl w:ilvl="0">
      <w:lvlJc w:val="left"/>
      <w:lvlText w:val="(%1)"/>
      <w:numFmt w:val="decimal"/>
      <w:start w:val="1"/>
    </w:lvl>
  </w:abstractNum>
  <w:abstractNum w:abstractNumId="148">
    <w:nsid w:val="230F856C"/>
    <w:multiLevelType w:val="hybridMultilevel"/>
    <w:lvl w:ilvl="0">
      <w:lvlJc w:val="left"/>
      <w:lvlText w:val="(%1)"/>
      <w:numFmt w:val="lowerLetter"/>
      <w:start w:val="9"/>
    </w:lvl>
    <w:lvl w:ilvl="1">
      <w:lvlJc w:val="left"/>
      <w:lvlText w:val="(%2)"/>
      <w:numFmt w:val="lowerLetter"/>
      <w:start w:val="1"/>
    </w:lvl>
  </w:abstractNum>
  <w:abstractNum w:abstractNumId="149">
    <w:nsid w:val="6EAA85FB"/>
    <w:multiLevelType w:val="hybridMultilevel"/>
    <w:lvl w:ilvl="0">
      <w:lvlJc w:val="left"/>
      <w:lvlText w:val="(%1)"/>
      <w:numFmt w:val="lowerLetter"/>
      <w:start w:val="7"/>
    </w:lvl>
  </w:abstractNum>
  <w:abstractNum w:abstractNumId="150">
    <w:nsid w:val="3F06ECB2"/>
    <w:multiLevelType w:val="hybridMultilevel"/>
    <w:lvl w:ilvl="0">
      <w:lvlJc w:val="left"/>
      <w:lvlText w:val="(%1)"/>
      <w:numFmt w:val="lowerLetter"/>
      <w:start w:val="1"/>
    </w:lvl>
  </w:abstractNum>
  <w:abstractNum w:abstractNumId="151">
    <w:nsid w:val="3B594807"/>
    <w:multiLevelType w:val="hybridMultilevel"/>
    <w:lvl w:ilvl="0">
      <w:lvlJc w:val="left"/>
      <w:lvlText w:val="(%1)"/>
      <w:numFmt w:val="lowerLetter"/>
      <w:start w:val="1"/>
    </w:lvl>
  </w:abstractNum>
  <w:abstractNum w:abstractNumId="152">
    <w:nsid w:val="6CAA2304"/>
    <w:multiLevelType w:val="hybridMultilevel"/>
    <w:lvl w:ilvl="0">
      <w:lvlJc w:val="left"/>
      <w:lvlText w:val="(%1)"/>
      <w:numFmt w:val="lowerLetter"/>
      <w:start w:val="1"/>
    </w:lvl>
  </w:abstractNum>
  <w:abstractNum w:abstractNumId="153">
    <w:nsid w:val="3F7C2FF4"/>
    <w:multiLevelType w:val="hybridMultilevel"/>
    <w:lvl w:ilvl="0">
      <w:lvlJc w:val="left"/>
      <w:lvlText w:val="(%1)"/>
      <w:numFmt w:val="lowerLetter"/>
      <w:start w:val="1"/>
    </w:lvl>
  </w:abstractNum>
  <w:abstractNum w:abstractNumId="154">
    <w:nsid w:val="25413BEC"/>
    <w:multiLevelType w:val="hybridMultilevel"/>
    <w:lvl w:ilvl="0">
      <w:lvlJc w:val="left"/>
      <w:lvlText w:val="(%1)"/>
      <w:numFmt w:val="lowerLetter"/>
      <w:start w:val="3"/>
    </w:lvl>
  </w:abstractNum>
  <w:abstractNum w:abstractNumId="155">
    <w:nsid w:val="17180B0B"/>
    <w:multiLevelType w:val="hybridMultilevel"/>
    <w:lvl w:ilvl="0">
      <w:lvlJc w:val="left"/>
      <w:lvlText w:val="(%1)"/>
      <w:numFmt w:val="lowerLetter"/>
      <w:start w:val="2"/>
    </w:lvl>
  </w:abstractNum>
  <w:abstractNum w:abstractNumId="156">
    <w:nsid w:val="579328B9"/>
    <w:multiLevelType w:val="hybridMultilevel"/>
    <w:lvl w:ilvl="0">
      <w:lvlJc w:val="left"/>
      <w:lvlText w:val="(%1)"/>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2020-07-17T12:20:26Z</dcterms:created>
  <dcterms:modified xsi:type="dcterms:W3CDTF">2020-07-17T12:20:26Z</dcterms:modified>
</cp:coreProperties>
</file>