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Timm Alexander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124,151</w:t>
            </w:r>
            <w:r>
              <w:rPr>
                <w:rFonts w:ascii="Arial" w:cs="Arial" w:eastAsia="Arial" w:hAnsi="Arial"/>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124,151</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LLC Interests and associated shares of Class B Common Stock will vest in five equal annual installments beginning on February 17, 2021 and have no expiration date.</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LLC Interests may be redeemed by the Reporting Person at any time on or following the closing of the Initial Public Offering for shares of Class A Common Stock on a 1-to-</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1 basis.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Clinton P. Jones,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4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07/15/2020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3"/>
          </w:tcPr>
          <w:p>
            <w:pPr>
              <w:spacing w:after="0" w:line="220" w:lineRule="exact"/>
              <w:rPr>
                <w:sz w:val="20"/>
                <w:szCs w:val="20"/>
                <w:color w:val="auto"/>
              </w:rPr>
            </w:pPr>
            <w:r>
              <w:rPr>
                <w:rFonts w:ascii="Arial" w:cs="Arial" w:eastAsia="Arial" w:hAnsi="Arial"/>
                <w:sz w:val="20"/>
                <w:szCs w:val="20"/>
                <w:color w:val="0000FF"/>
              </w:rPr>
              <w:t>Alexander E. Timm</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Alexander E. Timm</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ALEXANDER E. TIMM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5994"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2020-07-15T20:46:46Z</dcterms:created>
  <dcterms:modified xsi:type="dcterms:W3CDTF">2020-07-15T20:46:46Z</dcterms:modified>
</cp:coreProperties>
</file>