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6995795" cy="4838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483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Cruz Shane E.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GOCO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51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Operating Officer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60654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04/25/2022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1,714,285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1,807,128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77,602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14.81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77,602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02/11/2031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77,602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77,602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02/11/2031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77,602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-2160905</wp:posOffset>
            </wp:positionV>
            <wp:extent cx="28575" cy="2166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6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which vest in three equal annual installments, with the first such annual installment vesting on April 25, 2023.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in three equal annual installments, with the first such installment vesting on February 11, 2022.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hanging="1"/>
        <w:spacing w:after="0" w:line="24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 accordance with the terms of the GoHealth, Inc. 2020 Incentive Award Plan, the Board of Directors of GoHealth, Inc. approved a stock option repricing pursuant to which option awards were amended to reduce the exercise price to $1.05 per share.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Brian Farley, Attorney-in-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04/28/2022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40" w:type="dxa"/>
            <w:vAlign w:val="bottom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fact</w:t>
            </w: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598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2022-04-27T16:58:57Z</dcterms:created>
  <dcterms:modified xsi:type="dcterms:W3CDTF">2022-04-27T16:58:57Z</dcterms:modified>
</cp:coreProperties>
</file>