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As filed with the Securities and Exchange Commission on March 23, 2022</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REGISTRATION STATEMENT</w:t>
      </w:r>
    </w:p>
    <w:p>
      <w:pPr>
        <w:jc w:val="center"/>
        <w:ind w:right="-1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880"/>
          </w:cols>
          <w:pgMar w:left="440" w:top="229"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31" w:lineRule="exact"/>
        <w:rPr>
          <w:sz w:val="24"/>
          <w:szCs w:val="24"/>
          <w:color w:val="auto"/>
        </w:rPr>
      </w:pPr>
    </w:p>
    <w:p>
      <w:pPr>
        <w:sectPr>
          <w:pgSz w:w="11900" w:h="16838" w:orient="portrait"/>
          <w:cols w:equalWidth="0" w:num="2">
            <w:col w:w="7180" w:space="720"/>
            <w:col w:w="2980"/>
          </w:cols>
          <w:pgMar w:left="440" w:top="229" w:right="579" w:bottom="1440" w:gutter="0" w:footer="0" w:header="0"/>
          <w:type w:val="continuous"/>
        </w:sectPr>
      </w:pPr>
    </w:p>
    <w:p>
      <w:pPr>
        <w:spacing w:after="0" w:line="11"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(IRS Employer</w:t>
      </w:r>
    </w:p>
    <w:p>
      <w:pPr>
        <w:jc w:val="center"/>
        <w:ind w:right="198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00"/>
          </w:cols>
          <w:pgMar w:left="440" w:top="229" w:right="579" w:bottom="144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214 West Huron St., Chicago, Illinois 60654</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0880"/>
          </w:cols>
          <w:pgMar w:left="440" w:top="229" w:right="579" w:bottom="1440" w:gutter="0" w:footer="0" w:header="0"/>
          <w:type w:val="continuous"/>
        </w:sectPr>
      </w:pP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GOHEALTH, INC. 2020 INCENTIVE AWARD PLAN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GOHEALTH, INC. 2020 EMPLOYEE STOCK PURCHASE PLAN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BRIAN FARLEY, ESQ.</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Chief Legal Officer and Corporate Secretary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GoHealth, Inc.</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IAN D. SCHUMAN, ESQ.</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STELIOS G. SAFFOS,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BRITTANY RUIZ,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1271 Avenue of the Americas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sectPr>
          <w:pgSz w:w="11900" w:h="16838" w:orient="portrait"/>
          <w:cols w:equalWidth="0" w:num="1">
            <w:col w:w="10880"/>
          </w:cols>
          <w:pgMar w:left="440" w:top="229" w:right="5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336"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Registration Statement on Form S-8 is being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for the purpose of registering an additional 6,929,407 shares of the Company’s Class A Common Stock issuable under the following employee benefit plans for which registration statement of the Company on Form S-8 (File No. 333-239879) is effective: (i) the 2020 Plan, which, as a result of the operation of an automatic annual increase provision therein, added 5,774,506 shares of Common Stock, and (ii) the 2020 ESPP, which, as a result of the operation of an automatic annual increase provision therein, added 1,154,901 shares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ind w:right="3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Pursuant to Instruction E of Form S-8, the contents of the Registration Statements on Form S-8 filed with the Commission on </w:t>
      </w:r>
      <w:hyperlink r:id="rId18">
        <w:r>
          <w:rPr>
            <w:rFonts w:ascii="Arial" w:cs="Arial" w:eastAsia="Arial" w:hAnsi="Arial"/>
            <w:sz w:val="18"/>
            <w:szCs w:val="18"/>
            <w:u w:val="single" w:color="auto"/>
            <w:color w:val="0000EE"/>
          </w:rPr>
          <w:t>July 15,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333-239879) and </w:t>
      </w:r>
      <w:hyperlink r:id="rId19">
        <w:r>
          <w:rPr>
            <w:rFonts w:ascii="Arial" w:cs="Arial" w:eastAsia="Arial" w:hAnsi="Arial"/>
            <w:sz w:val="18"/>
            <w:szCs w:val="18"/>
            <w:u w:val="single" w:color="auto"/>
            <w:color w:val="0000EE"/>
          </w:rPr>
          <w:t>February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333-252962) is incorporated by reference herein; except for Item 8 which is being updated by this Registration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Exhibits listed on the accompanying Index to Exhibits are filed as part hereof, or incorporated by reference into, this Registration Statement. See Exhibit Index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0" w:type="dxa"/>
            <w:vAlign w:val="bottom"/>
            <w:gridSpan w:val="16"/>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w w:val="97"/>
              </w:rPr>
            </w:pPr>
            <w:hyperlink r:id="rId20">
              <w:r>
                <w:rPr>
                  <w:rFonts w:ascii="Arial" w:cs="Arial" w:eastAsia="Arial" w:hAnsi="Arial"/>
                  <w:sz w:val="18"/>
                  <w:szCs w:val="18"/>
                  <w:color w:val="0000EE"/>
                  <w:w w:val="97"/>
                </w:rPr>
                <w:t>Amended and Restated Certificate of Incorporation of GoHealth, Inc. (incorporated by reference to Exhibit 3.1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Quarterly Report on Form 10-Q (File No. 001-39390), filed on August 20, 2020 with the Commission)</w:t>
              </w:r>
            </w:hyperlink>
          </w:p>
        </w:tc>
        <w:tc>
          <w:tcPr>
            <w:tcW w:w="6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720" w:type="dxa"/>
            <w:vAlign w:val="bottom"/>
            <w:tcBorders>
              <w:bottom w:val="single" w:sz="8" w:color="0000EE"/>
            </w:tcBorders>
            <w:gridSpan w:val="17"/>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Amended and Restated Bylaws of GoHealth, Inc. (incorporated by reference to Exhibit 3.2 to the Quarterly Report on Form 10-Q (File</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No. 001-39390), filed on August 20, 2020 with the Commission)</w:t>
              </w:r>
            </w:hyperlink>
          </w:p>
        </w:tc>
        <w:tc>
          <w:tcPr>
            <w:tcW w:w="5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256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Opinion of Latham &amp; Watkins LLP</w:t>
              </w:r>
            </w:hyperlink>
          </w:p>
        </w:tc>
        <w:tc>
          <w:tcPr>
            <w:tcW w:w="74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23.1*</w:t>
            </w:r>
          </w:p>
        </w:tc>
        <w:tc>
          <w:tcPr>
            <w:tcW w:w="54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Consent of Ernst &amp; Young LLP as to GoHealth,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23.2*</w:t>
            </w:r>
          </w:p>
        </w:tc>
        <w:tc>
          <w:tcPr>
            <w:tcW w:w="54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Latham &amp; Watkins LLP (included in Exhibit 5.1)</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24.1*</w:t>
            </w:r>
          </w:p>
        </w:tc>
        <w:tc>
          <w:tcPr>
            <w:tcW w:w="540" w:type="dxa"/>
            <w:vAlign w:val="bottom"/>
          </w:tcPr>
          <w:p>
            <w:pPr>
              <w:spacing w:after="0"/>
              <w:rPr>
                <w:sz w:val="24"/>
                <w:szCs w:val="24"/>
                <w:color w:val="auto"/>
              </w:rPr>
            </w:pPr>
          </w:p>
        </w:tc>
        <w:tc>
          <w:tcPr>
            <w:tcW w:w="4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Power of Attorney (included on the signature page hereto)</w:t>
              </w:r>
            </w:hyperlink>
          </w:p>
        </w:tc>
        <w:tc>
          <w:tcPr>
            <w:tcW w:w="160" w:type="dxa"/>
            <w:vAlign w:val="bottom"/>
            <w:tcBorders>
              <w:top w:val="single" w:sz="8" w:color="0000EE"/>
            </w:tcBorders>
          </w:tcPr>
          <w:p>
            <w:pPr>
              <w:spacing w:after="0"/>
              <w:rPr>
                <w:sz w:val="24"/>
                <w:szCs w:val="24"/>
                <w:color w:val="auto"/>
              </w:rPr>
            </w:pPr>
          </w:p>
        </w:tc>
        <w:tc>
          <w:tcPr>
            <w:tcW w:w="5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w w:val="95"/>
              </w:rPr>
            </w:pPr>
            <w:hyperlink r:id="rId22">
              <w:r>
                <w:rPr>
                  <w:rFonts w:ascii="Arial" w:cs="Arial" w:eastAsia="Arial" w:hAnsi="Arial"/>
                  <w:sz w:val="18"/>
                  <w:szCs w:val="18"/>
                  <w:color w:val="0000EE"/>
                  <w:w w:val="95"/>
                </w:rPr>
                <w:t>GoHealth, Inc. 2020 Incentive Award Plan (incorporated by reference to Exhibit 10.6 to the Company’s Registration Statement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333-239287), filed on July 8, 2020 with the Commission).</w:t>
              </w:r>
            </w:hyperlink>
          </w:p>
        </w:tc>
        <w:tc>
          <w:tcPr>
            <w:tcW w:w="5060" w:type="dxa"/>
            <w:vAlign w:val="bottom"/>
            <w:tcBorders>
              <w:top w:val="single" w:sz="8" w:color="0000EE"/>
            </w:tcBorders>
            <w:gridSpan w:val="10"/>
          </w:tcPr>
          <w:p>
            <w:pPr>
              <w:spacing w:after="0"/>
              <w:rPr>
                <w:sz w:val="17"/>
                <w:szCs w:val="17"/>
                <w:color w:val="auto"/>
              </w:rPr>
            </w:pPr>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Incentive Award Plan Form of Stock Option Award Grant Notice and Stock Option Agreement (incorporated by reference to Exhibit</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19</w:t>
              </w:r>
              <w:r>
                <w:rPr>
                  <w:rFonts w:ascii="Arial" w:cs="Arial" w:eastAsia="Arial" w:hAnsi="Arial"/>
                  <w:sz w:val="18"/>
                  <w:szCs w:val="18"/>
                  <w:color w:val="0000EE"/>
                  <w:w w:val="91"/>
                </w:rPr>
                <w:t xml:space="preserve"> to the Company’s Registration Statement (File No. 333-239287), filed on July 8, 2020 with the Commission).</w:t>
              </w:r>
            </w:hyperlink>
          </w:p>
        </w:tc>
        <w:tc>
          <w:tcPr>
            <w:tcW w:w="16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99.3</w:t>
            </w:r>
          </w:p>
        </w:tc>
        <w:tc>
          <w:tcPr>
            <w:tcW w:w="540" w:type="dxa"/>
            <w:vAlign w:val="bottom"/>
          </w:tcPr>
          <w:p>
            <w:pPr>
              <w:spacing w:after="0"/>
              <w:rPr>
                <w:sz w:val="24"/>
                <w:szCs w:val="24"/>
                <w:color w:val="auto"/>
              </w:rPr>
            </w:pPr>
          </w:p>
        </w:tc>
        <w:tc>
          <w:tcPr>
            <w:tcW w:w="9960" w:type="dxa"/>
            <w:vAlign w:val="bottom"/>
            <w:tcBorders>
              <w:bottom w:val="single" w:sz="8" w:color="0000EE"/>
            </w:tcBorders>
            <w:gridSpan w:val="19"/>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Incentive Award Plan Form of Restricted Stock Unit Award Grant Notice and Restricted Stock Unit Agreement (incorporated by reference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to Exhibit 10.20 to the Company’s Registration Statement (File No. 333-239287), filed on July 8, 2020 with the Commission).</w:t>
              </w:r>
            </w:hyperlink>
          </w:p>
        </w:tc>
        <w:tc>
          <w:tcPr>
            <w:tcW w:w="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99.4</w:t>
            </w:r>
          </w:p>
        </w:tc>
        <w:tc>
          <w:tcPr>
            <w:tcW w:w="540" w:type="dxa"/>
            <w:vAlign w:val="bottom"/>
          </w:tcPr>
          <w:p>
            <w:pPr>
              <w:spacing w:after="0"/>
              <w:rPr>
                <w:sz w:val="24"/>
                <w:szCs w:val="24"/>
                <w:color w:val="auto"/>
              </w:rPr>
            </w:pPr>
          </w:p>
        </w:tc>
        <w:tc>
          <w:tcPr>
            <w:tcW w:w="9880" w:type="dxa"/>
            <w:vAlign w:val="bottom"/>
            <w:tcBorders>
              <w:bottom w:val="single" w:sz="8" w:color="0000EE"/>
            </w:tcBorders>
            <w:gridSpan w:val="18"/>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GoHealth, Inc. 2020 Employee Stock Purchase Plan (incorporated by reference to Exhibit 10.7 to the Company’s Registration Statement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(File No. 333-239287), filed on July 8, 2020 with the Commission).</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Filing Fee Table</w:t>
              </w:r>
            </w:hyperlink>
          </w:p>
        </w:tc>
        <w:tc>
          <w:tcPr>
            <w:tcW w:w="3700" w:type="dxa"/>
            <w:vAlign w:val="bottom"/>
            <w:tcBorders>
              <w:top w:val="single" w:sz="8" w:color="0000EE"/>
            </w:tcBorders>
            <w:gridSpan w:val="8"/>
          </w:tcPr>
          <w:p>
            <w:pPr>
              <w:spacing w:after="0"/>
              <w:rPr>
                <w:sz w:val="24"/>
                <w:szCs w:val="24"/>
                <w:color w:val="auto"/>
              </w:rPr>
            </w:pPr>
          </w:p>
        </w:tc>
        <w:tc>
          <w:tcPr>
            <w:tcW w:w="5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March 23,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Clinton P. Jones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Each of the undersigned officers and directors of GoHealth, Inc. hereby constitutes and appoints Clinton P. Jones and Travis J.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ind w:left="1800"/>
              <w:spacing w:after="0"/>
              <w:rPr>
                <w:sz w:val="20"/>
                <w:szCs w:val="20"/>
                <w:color w:val="auto"/>
              </w:rPr>
            </w:pPr>
            <w:r>
              <w:rPr>
                <w:rFonts w:ascii="Arial" w:cs="Arial" w:eastAsia="Arial" w:hAnsi="Arial"/>
                <w:sz w:val="14"/>
                <w:szCs w:val="14"/>
                <w:b w:val="1"/>
                <w:bCs w:val="1"/>
                <w:color w:val="auto"/>
              </w:rPr>
              <w:t>Signature</w:t>
            </w:r>
          </w:p>
        </w:tc>
        <w:tc>
          <w:tcPr>
            <w:tcW w:w="500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8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c>
          <w:tcPr>
            <w:tcW w:w="5000" w:type="dxa"/>
            <w:vAlign w:val="bottom"/>
          </w:tcPr>
          <w:p>
            <w:pPr>
              <w:ind w:left="120"/>
              <w:spacing w:after="0"/>
              <w:rPr>
                <w:sz w:val="20"/>
                <w:szCs w:val="20"/>
                <w:color w:val="auto"/>
              </w:rPr>
            </w:pPr>
            <w:r>
              <w:rPr>
                <w:rFonts w:ascii="Arial" w:cs="Arial" w:eastAsia="Arial" w:hAnsi="Arial"/>
                <w:sz w:val="18"/>
                <w:szCs w:val="18"/>
                <w:color w:val="auto"/>
                <w:w w:val="94"/>
              </w:rPr>
              <w:t>Chief Executive Officer and Director (Principal Executive Officer)</w:t>
            </w:r>
          </w:p>
        </w:tc>
        <w:tc>
          <w:tcPr>
            <w:tcW w:w="1220" w:type="dxa"/>
            <w:vAlign w:val="bottom"/>
          </w:tcPr>
          <w:p>
            <w:pPr>
              <w:ind w:left="80"/>
              <w:spacing w:after="0"/>
              <w:rPr>
                <w:sz w:val="20"/>
                <w:szCs w:val="20"/>
                <w:color w:val="auto"/>
              </w:rPr>
            </w:pPr>
            <w:r>
              <w:rPr>
                <w:rFonts w:ascii="Arial" w:cs="Arial" w:eastAsia="Arial" w:hAnsi="Arial"/>
                <w:sz w:val="18"/>
                <w:szCs w:val="18"/>
                <w:color w:val="auto"/>
                <w:w w:val="89"/>
              </w:rPr>
              <w:t>March 23, 2022</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Clinton P. Jones</w:t>
            </w:r>
          </w:p>
        </w:tc>
        <w:tc>
          <w:tcPr>
            <w:tcW w:w="5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180" w:type="dxa"/>
            <w:vAlign w:val="bottom"/>
            <w:vMerge w:val="restart"/>
          </w:tcPr>
          <w:p>
            <w:pPr>
              <w:spacing w:after="0"/>
              <w:rPr>
                <w:sz w:val="20"/>
                <w:szCs w:val="20"/>
                <w:color w:val="auto"/>
              </w:rPr>
            </w:pPr>
            <w:r>
              <w:rPr>
                <w:rFonts w:ascii="Arial" w:cs="Arial" w:eastAsia="Arial" w:hAnsi="Arial"/>
                <w:sz w:val="18"/>
                <w:szCs w:val="18"/>
                <w:color w:val="auto"/>
              </w:rPr>
              <w:t>/s/ Travis J. Matthiesen</w:t>
            </w:r>
          </w:p>
        </w:tc>
        <w:tc>
          <w:tcPr>
            <w:tcW w:w="5000" w:type="dxa"/>
            <w:vAlign w:val="bottom"/>
          </w:tcPr>
          <w:p>
            <w:pPr>
              <w:ind w:left="120"/>
              <w:spacing w:after="0"/>
              <w:rPr>
                <w:sz w:val="20"/>
                <w:szCs w:val="20"/>
                <w:color w:val="auto"/>
              </w:rPr>
            </w:pPr>
            <w:r>
              <w:rPr>
                <w:rFonts w:ascii="Arial" w:cs="Arial" w:eastAsia="Arial" w:hAnsi="Arial"/>
                <w:sz w:val="18"/>
                <w:szCs w:val="18"/>
                <w:color w:val="auto"/>
                <w:w w:val="99"/>
              </w:rPr>
              <w:t>Interim Chief Financial Officer (Principal Financial Officer and</w:t>
            </w:r>
          </w:p>
        </w:tc>
        <w:tc>
          <w:tcPr>
            <w:tcW w:w="1220" w:type="dxa"/>
            <w:vAlign w:val="bottom"/>
          </w:tcPr>
          <w:p>
            <w:pPr>
              <w:ind w:left="80"/>
              <w:spacing w:after="0"/>
              <w:rPr>
                <w:sz w:val="20"/>
                <w:szCs w:val="20"/>
                <w:color w:val="auto"/>
              </w:rPr>
            </w:pPr>
            <w:r>
              <w:rPr>
                <w:rFonts w:ascii="Arial" w:cs="Arial" w:eastAsia="Arial" w:hAnsi="Arial"/>
                <w:sz w:val="18"/>
                <w:szCs w:val="18"/>
                <w:color w:val="auto"/>
                <w:w w:val="89"/>
              </w:rPr>
              <w:t>March 23, 2022</w:t>
            </w:r>
          </w:p>
        </w:tc>
        <w:tc>
          <w:tcPr>
            <w:tcW w:w="0" w:type="dxa"/>
            <w:vAlign w:val="bottom"/>
          </w:tcPr>
          <w:p>
            <w:pPr>
              <w:spacing w:after="0"/>
              <w:rPr>
                <w:sz w:val="1"/>
                <w:szCs w:val="1"/>
                <w:color w:val="auto"/>
              </w:rPr>
            </w:pPr>
          </w:p>
        </w:tc>
      </w:tr>
      <w:tr>
        <w:trPr>
          <w:trHeight w:val="208"/>
        </w:trPr>
        <w:tc>
          <w:tcPr>
            <w:tcW w:w="4180" w:type="dxa"/>
            <w:vAlign w:val="bottom"/>
            <w:tcBorders>
              <w:bottom w:val="single" w:sz="8" w:color="auto"/>
            </w:tcBorders>
            <w:vMerge w:val="continue"/>
          </w:tcPr>
          <w:p>
            <w:pPr>
              <w:spacing w:after="0"/>
              <w:rPr>
                <w:sz w:val="17"/>
                <w:szCs w:val="17"/>
                <w:color w:val="auto"/>
              </w:rPr>
            </w:pPr>
          </w:p>
        </w:tc>
        <w:tc>
          <w:tcPr>
            <w:tcW w:w="5000" w:type="dxa"/>
            <w:vAlign w:val="bottom"/>
          </w:tcPr>
          <w:p>
            <w:pPr>
              <w:ind w:left="120"/>
              <w:spacing w:after="0" w:line="203" w:lineRule="exact"/>
              <w:rPr>
                <w:sz w:val="20"/>
                <w:szCs w:val="20"/>
                <w:color w:val="auto"/>
              </w:rPr>
            </w:pPr>
            <w:r>
              <w:rPr>
                <w:rFonts w:ascii="Arial" w:cs="Arial" w:eastAsia="Arial" w:hAnsi="Arial"/>
                <w:sz w:val="18"/>
                <w:szCs w:val="18"/>
                <w:color w:val="auto"/>
              </w:rPr>
              <w:t>Principal Accounting Officer)</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Travis J. Matthiesen</w:t>
            </w:r>
          </w:p>
        </w:tc>
        <w:tc>
          <w:tcPr>
            <w:tcW w:w="5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80"/>
              <w:spacing w:after="0"/>
              <w:rPr>
                <w:sz w:val="20"/>
                <w:szCs w:val="20"/>
                <w:color w:val="auto"/>
              </w:rPr>
            </w:pPr>
            <w:r>
              <w:rPr>
                <w:rFonts w:ascii="Arial" w:cs="Arial" w:eastAsia="Arial" w:hAnsi="Arial"/>
                <w:sz w:val="18"/>
                <w:szCs w:val="18"/>
                <w:color w:val="auto"/>
                <w:w w:val="89"/>
              </w:rPr>
              <w:t>March 23, 2022</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Brandon M. Cruz</w:t>
            </w:r>
          </w:p>
        </w:tc>
        <w:tc>
          <w:tcPr>
            <w:tcW w:w="5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G. Flanagan</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80"/>
              <w:spacing w:after="0"/>
              <w:rPr>
                <w:sz w:val="20"/>
                <w:szCs w:val="20"/>
                <w:color w:val="auto"/>
              </w:rPr>
            </w:pPr>
            <w:r>
              <w:rPr>
                <w:rFonts w:ascii="Arial" w:cs="Arial" w:eastAsia="Arial" w:hAnsi="Arial"/>
                <w:sz w:val="18"/>
                <w:szCs w:val="18"/>
                <w:color w:val="auto"/>
                <w:w w:val="89"/>
              </w:rPr>
              <w:t>March 23, 2022</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Joseph G. Flanagan</w:t>
            </w:r>
          </w:p>
        </w:tc>
        <w:tc>
          <w:tcPr>
            <w:tcW w:w="5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Helene D. Gayle</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80"/>
              <w:spacing w:after="0"/>
              <w:rPr>
                <w:sz w:val="20"/>
                <w:szCs w:val="20"/>
                <w:color w:val="auto"/>
              </w:rPr>
            </w:pPr>
            <w:r>
              <w:rPr>
                <w:rFonts w:ascii="Arial" w:cs="Arial" w:eastAsia="Arial" w:hAnsi="Arial"/>
                <w:sz w:val="18"/>
                <w:szCs w:val="18"/>
                <w:color w:val="auto"/>
                <w:w w:val="89"/>
              </w:rPr>
              <w:t>March 23, 2022</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Helene D. Gayle</w:t>
            </w:r>
          </w:p>
        </w:tc>
        <w:tc>
          <w:tcPr>
            <w:tcW w:w="5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80"/>
              <w:spacing w:after="0"/>
              <w:rPr>
                <w:sz w:val="20"/>
                <w:szCs w:val="20"/>
                <w:color w:val="auto"/>
              </w:rPr>
            </w:pPr>
            <w:r>
              <w:rPr>
                <w:rFonts w:ascii="Arial" w:cs="Arial" w:eastAsia="Arial" w:hAnsi="Arial"/>
                <w:sz w:val="18"/>
                <w:szCs w:val="18"/>
                <w:color w:val="auto"/>
                <w:w w:val="89"/>
              </w:rPr>
              <w:t>March 23, 2022</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Jeremy W. Gelber</w:t>
            </w:r>
          </w:p>
        </w:tc>
        <w:tc>
          <w:tcPr>
            <w:tcW w:w="50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40" w:top="270" w:right="5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Anita V. Pramoda</w:t>
            </w:r>
          </w:p>
        </w:tc>
        <w:tc>
          <w:tcPr>
            <w:tcW w:w="2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2180"/>
              <w:spacing w:after="0"/>
              <w:rPr>
                <w:sz w:val="20"/>
                <w:szCs w:val="20"/>
                <w:color w:val="auto"/>
              </w:rPr>
            </w:pPr>
            <w:r>
              <w:rPr>
                <w:rFonts w:ascii="Arial" w:cs="Arial" w:eastAsia="Arial" w:hAnsi="Arial"/>
                <w:sz w:val="18"/>
                <w:szCs w:val="18"/>
                <w:color w:val="auto"/>
                <w:w w:val="89"/>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Anita V. Pramoda</w:t>
            </w:r>
          </w:p>
        </w:tc>
        <w:tc>
          <w:tcPr>
            <w:tcW w:w="29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A. Tawil</w:t>
            </w:r>
          </w:p>
        </w:tc>
        <w:tc>
          <w:tcPr>
            <w:tcW w:w="2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2180"/>
              <w:spacing w:after="0"/>
              <w:rPr>
                <w:sz w:val="20"/>
                <w:szCs w:val="20"/>
                <w:color w:val="auto"/>
              </w:rPr>
            </w:pPr>
            <w:r>
              <w:rPr>
                <w:rFonts w:ascii="Arial" w:cs="Arial" w:eastAsia="Arial" w:hAnsi="Arial"/>
                <w:sz w:val="18"/>
                <w:szCs w:val="18"/>
                <w:color w:val="auto"/>
                <w:w w:val="89"/>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Miriam A. Tawil</w:t>
            </w:r>
          </w:p>
        </w:tc>
        <w:tc>
          <w:tcPr>
            <w:tcW w:w="29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E. Timm</w:t>
            </w:r>
          </w:p>
        </w:tc>
        <w:tc>
          <w:tcPr>
            <w:tcW w:w="2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ind w:left="2180"/>
              <w:spacing w:after="0"/>
              <w:rPr>
                <w:sz w:val="20"/>
                <w:szCs w:val="20"/>
                <w:color w:val="auto"/>
              </w:rPr>
            </w:pPr>
            <w:r>
              <w:rPr>
                <w:rFonts w:ascii="Arial" w:cs="Arial" w:eastAsia="Arial" w:hAnsi="Arial"/>
                <w:sz w:val="18"/>
                <w:szCs w:val="18"/>
                <w:color w:val="auto"/>
                <w:w w:val="89"/>
              </w:rPr>
              <w:t>March 23,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Alexander E. Timm</w:t>
            </w:r>
          </w:p>
        </w:tc>
        <w:tc>
          <w:tcPr>
            <w:tcW w:w="290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ectPr>
          <w:pgSz w:w="11900" w:h="16838" w:orient="portrait"/>
          <w:cols w:equalWidth="0" w:num="1">
            <w:col w:w="10400"/>
          </w:cols>
          <w:pgMar w:left="440" w:top="490" w:right="1059" w:bottom="1440" w:gutter="0" w:footer="0" w:header="0"/>
        </w:sectPr>
      </w:pPr>
    </w:p>
    <w:bookmarkStart w:id="5" w:name="page6"/>
    <w:bookmarkEnd w:id="5"/>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1271 Avenue of the Americas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New York, New York 10020-1401</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Tel: +1.212.906.1200 Fax: +1.212.751.4864</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www.lw.com</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March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-1067435</wp:posOffset>
            </wp:positionV>
            <wp:extent cx="209994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099945"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23"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Austin</w:t>
      </w:r>
      <w:r>
        <w:rPr>
          <w:sz w:val="20"/>
          <w:szCs w:val="20"/>
          <w:color w:val="auto"/>
        </w:rPr>
        <w:tab/>
      </w:r>
      <w:r>
        <w:rPr>
          <w:rFonts w:ascii="Arial" w:cs="Arial" w:eastAsia="Arial" w:hAnsi="Arial"/>
          <w:sz w:val="18"/>
          <w:szCs w:val="18"/>
          <w:color w:val="auto"/>
        </w:rPr>
        <w:t>Moscow</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Orange County</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5"/>
          <w:szCs w:val="15"/>
          <w:color w:val="auto"/>
        </w:rPr>
        <w:t>Paris</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Shanghai</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7"/>
          <w:szCs w:val="17"/>
          <w:color w:val="auto"/>
        </w:rPr>
        <w:t>Silicon Valley</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Tel Aviv</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spacing w:after="0"/>
        <w:tabs>
          <w:tab w:leader="none" w:pos="1840" w:val="left"/>
        </w:tabs>
        <w:rPr>
          <w:sz w:val="20"/>
          <w:szCs w:val="20"/>
          <w:color w:val="auto"/>
        </w:rPr>
      </w:pPr>
      <w:r>
        <w:rPr>
          <w:rFonts w:ascii="Arial" w:cs="Arial" w:eastAsia="Arial" w:hAnsi="Arial"/>
          <w:sz w:val="16"/>
          <w:szCs w:val="16"/>
          <w:color w:val="auto"/>
        </w:rPr>
        <w:t>Madrid</w:t>
      </w:r>
      <w:r>
        <w:rPr>
          <w:sz w:val="20"/>
          <w:szCs w:val="20"/>
          <w:color w:val="auto"/>
        </w:rPr>
        <w:tab/>
      </w:r>
      <w:r>
        <w:rPr>
          <w:rFonts w:ascii="Arial" w:cs="Arial" w:eastAsia="Arial" w:hAnsi="Arial"/>
          <w:sz w:val="16"/>
          <w:szCs w:val="16"/>
          <w:color w:val="auto"/>
        </w:rPr>
        <w:t>Washington, D.C.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200" w:lineRule="exact"/>
        <w:rPr>
          <w:sz w:val="20"/>
          <w:szCs w:val="20"/>
          <w:color w:val="auto"/>
        </w:rPr>
      </w:pPr>
    </w:p>
    <w:p>
      <w:pPr>
        <w:sectPr>
          <w:pgSz w:w="11900" w:h="16838" w:orient="portrait"/>
          <w:cols w:equalWidth="0" w:num="2">
            <w:col w:w="6680" w:space="720"/>
            <w:col w:w="3620"/>
          </w:cols>
          <w:pgMar w:left="440" w:top="121"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60654</w:t>
      </w:r>
    </w:p>
    <w:p>
      <w:pPr>
        <w:spacing w:after="0" w:line="238"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 with respect to 6,929,407 shares of Class A common stock,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 set forth above:</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have acted as special counsel to GoHealth,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preparation and filing by the Company on the date hereof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a Registration Statement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on Form S-8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relating to the issuance of up to 6,929,407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of the Company,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which may be issued pursuant to the Company’s 2020 Incentive Award Plan (the “</w:t>
      </w:r>
      <w:r>
        <w:rPr>
          <w:rFonts w:ascii="Arial" w:cs="Arial" w:eastAsia="Arial" w:hAnsi="Arial"/>
          <w:sz w:val="18"/>
          <w:szCs w:val="18"/>
          <w:b w:val="1"/>
          <w:bCs w:val="1"/>
          <w:i w:val="1"/>
          <w:iCs w:val="1"/>
          <w:color w:val="auto"/>
        </w:rPr>
        <w:t>2020 Plan</w:t>
      </w:r>
      <w:r>
        <w:rPr>
          <w:rFonts w:ascii="Arial" w:cs="Arial" w:eastAsia="Arial" w:hAnsi="Arial"/>
          <w:sz w:val="18"/>
          <w:szCs w:val="18"/>
          <w:color w:val="auto"/>
        </w:rPr>
        <w:t>”) and the Company’s 2020 Employee Stock Purchase Plan (the “</w:t>
      </w:r>
      <w:r>
        <w:rPr>
          <w:rFonts w:ascii="Arial" w:cs="Arial" w:eastAsia="Arial" w:hAnsi="Arial"/>
          <w:sz w:val="18"/>
          <w:szCs w:val="18"/>
          <w:b w:val="1"/>
          <w:bCs w:val="1"/>
          <w:i w:val="1"/>
          <w:iCs w:val="1"/>
          <w:color w:val="auto"/>
        </w:rPr>
        <w:t>2020 ESPP</w:t>
      </w:r>
      <w:r>
        <w:rPr>
          <w:rFonts w:ascii="Arial" w:cs="Arial" w:eastAsia="Arial" w:hAnsi="Arial"/>
          <w:sz w:val="18"/>
          <w:szCs w:val="18"/>
          <w:color w:val="auto"/>
        </w:rPr>
        <w:t>,” and, together with the 2020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spacing w:after="0" w:line="19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Plans, assuming in each case that the individual issuances, grants or awards under the Plans</w:t>
      </w:r>
    </w:p>
    <w:p>
      <w:pPr>
        <w:sectPr>
          <w:pgSz w:w="11900" w:h="16838" w:orient="portrait"/>
          <w:cols w:equalWidth="0" w:num="1">
            <w:col w:w="11020"/>
          </w:cols>
          <w:pgMar w:left="440" w:top="121"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March 23,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7447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47447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are duly authorized by all necessary corporate action and duly issued, granted or awarded and exercised in accordance with the requirements of law and the Plans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Latham &amp; Watkins LLP</w:t>
      </w:r>
    </w:p>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Incentive Award Plan and the 2020 Employee Stock Purchase Plan of GoHealth, Inc. of our reports dated March 16, 2022, with respect to the consolidated financial statements of GoHealth, Inc. and the effectiveness of internal control over financial reporting of GoHealth, Inc. included in its Annual Report (Form 10-K) for the year ended December 31, 2021,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9" w:lineRule="exact"/>
        <w:rPr>
          <w:sz w:val="20"/>
          <w:szCs w:val="20"/>
          <w:color w:val="auto"/>
        </w:rPr>
      </w:pPr>
    </w:p>
    <w:p>
      <w:pPr>
        <w:ind w:left="5104"/>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GOHEALTH</w:t>
      </w:r>
      <w:r>
        <w:rPr>
          <w:rFonts w:ascii="Arial" w:cs="Arial" w:eastAsia="Arial" w:hAnsi="Arial"/>
          <w:sz w:val="18"/>
          <w:szCs w:val="18"/>
          <w:b w:val="1"/>
          <w:bCs w:val="1"/>
          <w:color w:val="auto"/>
        </w:rPr>
        <w:t>,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I: Newly Registered Securities</w:t>
      </w:r>
    </w:p>
    <w:p>
      <w:pPr>
        <w:spacing w:after="0" w:line="246" w:lineRule="exact"/>
        <w:rPr>
          <w:sz w:val="20"/>
          <w:szCs w:val="20"/>
          <w:color w:val="auto"/>
        </w:rPr>
      </w:pPr>
    </w:p>
    <w:tbl>
      <w:tblPr>
        <w:tblLayout w:type="fixed"/>
        <w:tblInd w:w="1334" w:type="dxa"/>
        <w:tblCellMar>
          <w:top w:w="0" w:type="dxa"/>
          <w:left w:w="0" w:type="dxa"/>
          <w:bottom w:w="0" w:type="dxa"/>
          <w:right w:w="0" w:type="dxa"/>
        </w:tblCellMar>
      </w:tblPr>
      <w:tr>
        <w:trPr>
          <w:trHeight w:val="148"/>
        </w:trPr>
        <w:tc>
          <w:tcPr>
            <w:tcW w:w="1200" w:type="dxa"/>
            <w:vAlign w:val="bottom"/>
            <w:tcBorders>
              <w:top w:val="single" w:sz="8" w:color="auto"/>
              <w:lef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2"/>
              </w:rPr>
              <w:t>Maximum</w:t>
            </w:r>
          </w:p>
        </w:tc>
        <w:tc>
          <w:tcPr>
            <w:tcW w:w="6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2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0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6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0" w:type="dxa"/>
            <w:vAlign w:val="bottom"/>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Registration</w:t>
            </w:r>
          </w:p>
        </w:tc>
        <w:tc>
          <w:tcPr>
            <w:tcW w:w="0" w:type="dxa"/>
            <w:vAlign w:val="bottom"/>
          </w:tcPr>
          <w:p>
            <w:pPr>
              <w:spacing w:after="0"/>
              <w:rPr>
                <w:sz w:val="1"/>
                <w:szCs w:val="1"/>
                <w:color w:val="auto"/>
              </w:rPr>
            </w:pPr>
          </w:p>
        </w:tc>
      </w:tr>
      <w:tr>
        <w:trPr>
          <w:trHeight w:val="174"/>
        </w:trPr>
        <w:tc>
          <w:tcPr>
            <w:tcW w:w="1200" w:type="dxa"/>
            <w:vAlign w:val="bottom"/>
            <w:tcBorders>
              <w:left w:val="single" w:sz="8" w:color="auto"/>
              <w:bottom w:val="single" w:sz="8" w:color="auto"/>
            </w:tcBorders>
          </w:tcPr>
          <w:p>
            <w:pPr>
              <w:jc w:val="center"/>
              <w:ind w:left="735"/>
              <w:spacing w:after="0"/>
              <w:rPr>
                <w:sz w:val="20"/>
                <w:szCs w:val="20"/>
                <w:color w:val="auto"/>
              </w:rPr>
            </w:pPr>
            <w:r>
              <w:rPr>
                <w:rFonts w:ascii="Arial" w:cs="Arial" w:eastAsia="Arial" w:hAnsi="Arial"/>
                <w:sz w:val="13"/>
                <w:szCs w:val="13"/>
                <w:color w:val="auto"/>
                <w:w w:val="84"/>
              </w:rPr>
              <w:t>Plan</w:t>
            </w:r>
          </w:p>
        </w:tc>
        <w:tc>
          <w:tcPr>
            <w:tcW w:w="66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Registered</w:t>
            </w:r>
            <w:r>
              <w:rPr>
                <w:rFonts w:ascii="Arial" w:cs="Arial" w:eastAsia="Arial" w:hAnsi="Arial"/>
                <w:sz w:val="10"/>
                <w:szCs w:val="10"/>
                <w:color w:val="auto"/>
                <w:w w:val="87"/>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Fee</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gridSpan w:val="2"/>
          </w:tcPr>
          <w:p>
            <w:pPr>
              <w:jc w:val="center"/>
              <w:ind w:left="55"/>
              <w:spacing w:after="0"/>
              <w:rPr>
                <w:sz w:val="20"/>
                <w:szCs w:val="20"/>
                <w:color w:val="auto"/>
              </w:rPr>
            </w:pPr>
            <w:r>
              <w:rPr>
                <w:rFonts w:ascii="Arial" w:cs="Arial" w:eastAsia="Arial" w:hAnsi="Arial"/>
                <w:sz w:val="18"/>
                <w:szCs w:val="18"/>
                <w:color w:val="auto"/>
                <w:w w:val="92"/>
              </w:rPr>
              <w:t>2020 Incentive Award</w:t>
            </w: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Class A</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tcPr>
          <w:p>
            <w:pPr>
              <w:jc w:val="center"/>
              <w:ind w:left="715"/>
              <w:spacing w:after="0"/>
              <w:rPr>
                <w:sz w:val="20"/>
                <w:szCs w:val="20"/>
                <w:color w:val="auto"/>
              </w:rPr>
            </w:pPr>
            <w:r>
              <w:rPr>
                <w:rFonts w:ascii="Arial" w:cs="Arial" w:eastAsia="Arial" w:hAnsi="Arial"/>
                <w:sz w:val="18"/>
                <w:szCs w:val="18"/>
                <w:color w:val="auto"/>
                <w:w w:val="88"/>
              </w:rPr>
              <w:t>Plan</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par</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$92.70</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value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457(c)</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million</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5,774,506</w:t>
            </w:r>
            <w:r>
              <w:rPr>
                <w:rFonts w:ascii="Arial" w:cs="Arial" w:eastAsia="Arial" w:hAnsi="Arial"/>
                <w:sz w:val="15"/>
                <w:szCs w:val="15"/>
                <w:color w:val="auto"/>
                <w:w w:val="91"/>
              </w:rPr>
              <w:t>(2)</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$1.23</w:t>
            </w:r>
            <w:r>
              <w:rPr>
                <w:rFonts w:ascii="Arial" w:cs="Arial" w:eastAsia="Arial" w:hAnsi="Arial"/>
                <w:sz w:val="15"/>
                <w:szCs w:val="15"/>
                <w:color w:val="auto"/>
                <w:w w:val="91"/>
              </w:rPr>
              <w:t>(4)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$7,102,642.38</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dollars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$658.42</w:t>
            </w:r>
          </w:p>
        </w:tc>
        <w:tc>
          <w:tcPr>
            <w:tcW w:w="0" w:type="dxa"/>
            <w:vAlign w:val="bottom"/>
          </w:tcPr>
          <w:p>
            <w:pPr>
              <w:spacing w:after="0"/>
              <w:rPr>
                <w:sz w:val="1"/>
                <w:szCs w:val="1"/>
                <w:color w:val="auto"/>
              </w:rPr>
            </w:pPr>
          </w:p>
        </w:tc>
      </w:tr>
      <w:tr>
        <w:trPr>
          <w:trHeight w:val="215"/>
        </w:trPr>
        <w:tc>
          <w:tcPr>
            <w:tcW w:w="1860" w:type="dxa"/>
            <w:vAlign w:val="bottom"/>
            <w:tcBorders>
              <w:left w:val="single" w:sz="8" w:color="auto"/>
              <w:right w:val="single" w:sz="8" w:color="auto"/>
            </w:tcBorders>
            <w:gridSpan w:val="2"/>
          </w:tcPr>
          <w:p>
            <w:pPr>
              <w:jc w:val="center"/>
              <w:ind w:left="55"/>
              <w:spacing w:after="0"/>
              <w:rPr>
                <w:sz w:val="20"/>
                <w:szCs w:val="20"/>
                <w:color w:val="auto"/>
              </w:rPr>
            </w:pPr>
            <w:r>
              <w:rPr>
                <w:rFonts w:ascii="Arial" w:cs="Arial" w:eastAsia="Arial" w:hAnsi="Arial"/>
                <w:sz w:val="18"/>
                <w:szCs w:val="18"/>
                <w:color w:val="auto"/>
                <w:w w:val="91"/>
              </w:rPr>
              <w:t>2020 Employee Stock</w:t>
            </w: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Class A</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gridSpan w:val="2"/>
          </w:tcPr>
          <w:p>
            <w:pPr>
              <w:jc w:val="center"/>
              <w:ind w:left="55"/>
              <w:spacing w:after="0"/>
              <w:rPr>
                <w:sz w:val="20"/>
                <w:szCs w:val="20"/>
                <w:color w:val="auto"/>
              </w:rPr>
            </w:pPr>
            <w:r>
              <w:rPr>
                <w:rFonts w:ascii="Arial" w:cs="Arial" w:eastAsia="Arial" w:hAnsi="Arial"/>
                <w:sz w:val="18"/>
                <w:szCs w:val="18"/>
                <w:color w:val="auto"/>
                <w:w w:val="85"/>
              </w:rPr>
              <w:t>Purchase Plan</w:t>
            </w: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par</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$92.70</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value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457(c)</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$0.0001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c>
          <w:tcPr>
            <w:tcW w:w="10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million</w:t>
            </w: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1,154,901</w:t>
            </w:r>
            <w:r>
              <w:rPr>
                <w:rFonts w:ascii="Arial" w:cs="Arial" w:eastAsia="Arial" w:hAnsi="Arial"/>
                <w:sz w:val="15"/>
                <w:szCs w:val="15"/>
                <w:color w:val="auto"/>
                <w:w w:val="91"/>
              </w:rPr>
              <w:t>(3)</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$1.23</w:t>
            </w:r>
            <w:r>
              <w:rPr>
                <w:rFonts w:ascii="Arial" w:cs="Arial" w:eastAsia="Arial" w:hAnsi="Arial"/>
                <w:sz w:val="15"/>
                <w:szCs w:val="15"/>
                <w:color w:val="auto"/>
                <w:w w:val="91"/>
              </w:rPr>
              <w:t>(4)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$1,420,528.23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dollars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$131.69</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8"/>
                <w:szCs w:val="18"/>
                <w:color w:val="auto"/>
                <w:w w:val="92"/>
              </w:rPr>
              <w:t>Total Offering Amounts</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$8,523,170.61</w:t>
            </w:r>
          </w:p>
        </w:tc>
        <w:tc>
          <w:tcPr>
            <w:tcW w:w="6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$790.11</w:t>
            </w:r>
          </w:p>
        </w:tc>
        <w:tc>
          <w:tcPr>
            <w:tcW w:w="0" w:type="dxa"/>
            <w:vAlign w:val="bottom"/>
          </w:tcPr>
          <w:p>
            <w:pPr>
              <w:spacing w:after="0"/>
              <w:rPr>
                <w:sz w:val="1"/>
                <w:szCs w:val="1"/>
                <w:color w:val="auto"/>
              </w:rPr>
            </w:pPr>
          </w:p>
        </w:tc>
      </w:tr>
      <w:tr>
        <w:trPr>
          <w:trHeight w:val="236"/>
        </w:trPr>
        <w:tc>
          <w:tcPr>
            <w:tcW w:w="1200" w:type="dxa"/>
            <w:vAlign w:val="bottom"/>
            <w:tcBorders>
              <w:left w:val="single" w:sz="8" w:color="auto"/>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8"/>
                <w:szCs w:val="18"/>
                <w:color w:val="auto"/>
                <w:w w:val="89"/>
              </w:rPr>
              <w:t>Total Fee Offsets</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90"/>
              </w:rPr>
              <w:t>Net Fee Due</w:t>
            </w: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$790.11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6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“Securities Act”), this Registration Statement shall also cover any additional shares of Class A Common Stock, par value $0.0001 per share (“Common Stock”), of GoHealth, Inc. (the “Company”) that become issuable under the Company’s 2020 Incentive Award Plan (the “2020 Plan”) and the Company’s 2020 Employee Stock Purchase Plan (the “2020 ESPP”) by reason of any stock dividend, stock split, recapitalization or other similar transaction effected without receipt of consideration that increases the number of outstanding shares of Common Stock.</w:t>
      </w:r>
    </w:p>
    <w:p>
      <w:pPr>
        <w:spacing w:after="0" w:line="2" w:lineRule="exact"/>
        <w:rPr>
          <w:rFonts w:ascii="Arial" w:cs="Arial" w:eastAsia="Arial" w:hAnsi="Arial"/>
          <w:sz w:val="17"/>
          <w:szCs w:val="17"/>
          <w:color w:val="auto"/>
        </w:rPr>
      </w:pPr>
    </w:p>
    <w:p>
      <w:pPr>
        <w:ind w:left="424" w:right="2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5,774,506 additional shares of the Company’s Common Stock that became available for issuance on January 1, 2022 under the 2020 Plan, pursuant to the terms of the 2020 Plan.</w:t>
      </w:r>
    </w:p>
    <w:p>
      <w:pPr>
        <w:ind w:left="424" w:right="2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1,154,901 additional shares of the Company’s Common Stock that became available for issuance on January 1, 2022 under the 2020 ESPP, pursuant to the terms of the 2020 ESPP.</w:t>
      </w:r>
    </w:p>
    <w:p>
      <w:pPr>
        <w:ind w:left="424" w:right="3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estimate is made pursuant to Rule 457(c) and Rule 457(h) of the Securities Act solely for purposes of calculating the registration fee. The Proposed Maximum Offering Price Per Unit for shares available for future grant is the average of the high and low prices for the registrant’s Common Stock as reported on The Nasdaq Global Select Market on March 16, 2022.</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png"/><Relationship Id="rId32" Type="http://schemas.openxmlformats.org/officeDocument/2006/relationships/image" Target="media/image17.jpeg"/><Relationship Id="rId18" Type="http://schemas.openxmlformats.org/officeDocument/2006/relationships/hyperlink" Target="http://www.sec.gov/Archives/edgar/data/0001808220/000119312520193438/d16231ds8.htm" TargetMode="External"/><Relationship Id="rId19" Type="http://schemas.openxmlformats.org/officeDocument/2006/relationships/hyperlink" Target="http://www.sec.gov/Archives/edgar/data/0001808220/000119312521036470/d86815ds8.htm" TargetMode="External"/><Relationship Id="rId20" Type="http://schemas.openxmlformats.org/officeDocument/2006/relationships/hyperlink" Target="http://www.sec.gov/Archives/edgar/data/1808220/000119312520224832/d935246dex31.htm" TargetMode="External"/><Relationship Id="rId21" Type="http://schemas.openxmlformats.org/officeDocument/2006/relationships/hyperlink" Target="http://www.sec.gov/Archives/edgar/data/1808220/000119312520224832/d935246dex32.htm" TargetMode="External"/><Relationship Id="rId22" Type="http://schemas.openxmlformats.org/officeDocument/2006/relationships/hyperlink" Target="http://www.sec.gov/Archives/edgar/data/1808220/000119312520189225/d797183dex106.htm" TargetMode="External"/><Relationship Id="rId23" Type="http://schemas.openxmlformats.org/officeDocument/2006/relationships/hyperlink" Target="http://www.sec.gov/Archives/edgar/data/1808220/000119312520189225/d797183dex1019.htm" TargetMode="External"/><Relationship Id="rId24" Type="http://schemas.openxmlformats.org/officeDocument/2006/relationships/hyperlink" Target="http://www.sec.gov/Archives/edgar/data/1808220/000119312520189225/d797183dex1020.htm" TargetMode="External"/><Relationship Id="rId25" Type="http://schemas.openxmlformats.org/officeDocument/2006/relationships/hyperlink" Target="http://www.sec.gov/Archives/edgar/data/1808220/000119312520189225/d797183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2022-03-23T15:14:30Z</dcterms:created>
  <dcterms:modified xsi:type="dcterms:W3CDTF">2022-03-23T15:14:30Z</dcterms:modified>
</cp:coreProperties>
</file>