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46"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FORM 8-K</w:t>
      </w:r>
    </w:p>
    <w:p>
      <w:pPr>
        <w:spacing w:after="0" w:line="293"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CURRENT REPORT</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35"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Date of Report (Date of earliest event reported): February 27, 2025</w:t>
      </w:r>
    </w:p>
    <w:p>
      <w:pPr>
        <w:spacing w:after="0" w:line="28"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GoHealth, Inc.</w:t>
      </w:r>
    </w:p>
    <w:p>
      <w:pPr>
        <w:spacing w:after="0" w:line="12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26"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200"/>
          </w:cols>
          <w:pgMar w:left="320" w:top="1432" w:right="379" w:bottom="1440" w:gutter="0" w:footer="0" w:header="0"/>
        </w:sectPr>
      </w:pPr>
    </w:p>
    <w:p>
      <w:pPr>
        <w:spacing w:after="0" w:line="149" w:lineRule="exact"/>
        <w:rPr>
          <w:sz w:val="24"/>
          <w:szCs w:val="24"/>
          <w:color w:val="auto"/>
        </w:rPr>
      </w:pPr>
    </w:p>
    <w:p>
      <w:pPr>
        <w:ind w:left="15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jc w:val="center"/>
        <w:ind w:right="2300"/>
        <w:spacing w:after="0"/>
        <w:rPr>
          <w:sz w:val="20"/>
          <w:szCs w:val="20"/>
          <w:color w:val="auto"/>
        </w:rPr>
      </w:pPr>
      <w:r>
        <w:rPr>
          <w:rFonts w:ascii="Arial" w:cs="Arial" w:eastAsia="Arial" w:hAnsi="Arial"/>
          <w:sz w:val="14"/>
          <w:szCs w:val="14"/>
          <w:b w:val="1"/>
          <w:bCs w:val="1"/>
          <w:color w:val="auto"/>
        </w:rPr>
        <w:t>001-39390</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85-0563805</w:t>
      </w:r>
    </w:p>
    <w:p>
      <w:pPr>
        <w:spacing w:after="0" w:line="69" w:lineRule="exact"/>
        <w:rPr>
          <w:sz w:val="24"/>
          <w:szCs w:val="24"/>
          <w:color w:val="auto"/>
        </w:rPr>
      </w:pPr>
    </w:p>
    <w:p>
      <w:pPr>
        <w:sectPr>
          <w:pgSz w:w="11900" w:h="16838" w:orient="portrait"/>
          <w:cols w:equalWidth="0" w:num="3">
            <w:col w:w="4540" w:space="720"/>
            <w:col w:w="3000" w:space="720"/>
            <w:col w:w="2220"/>
          </w:cols>
          <w:pgMar w:left="320" w:top="1432" w:right="379" w:bottom="1440" w:gutter="0" w:footer="0" w:header="0"/>
          <w:type w:val="continuous"/>
        </w:sectPr>
      </w:pPr>
    </w:p>
    <w:p>
      <w:pPr>
        <w:ind w:left="520"/>
        <w:spacing w:after="0"/>
        <w:rPr>
          <w:sz w:val="20"/>
          <w:szCs w:val="20"/>
          <w:color w:val="auto"/>
        </w:rPr>
      </w:pPr>
      <w:r>
        <w:rPr>
          <w:rFonts w:ascii="Arial" w:cs="Arial" w:eastAsia="Arial" w:hAnsi="Arial"/>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80" w:space="720"/>
            <w:col w:w="2940"/>
          </w:cols>
          <w:pgMar w:left="320" w:top="1432" w:right="379" w:bottom="1440" w:gutter="0" w:footer="0" w:header="0"/>
          <w:type w:val="continuous"/>
        </w:sectPr>
      </w:pPr>
    </w:p>
    <w:p>
      <w:pPr>
        <w:spacing w:after="0" w:line="98" w:lineRule="exact"/>
        <w:rPr>
          <w:sz w:val="24"/>
          <w:szCs w:val="24"/>
          <w:color w:val="auto"/>
        </w:rPr>
      </w:pPr>
    </w:p>
    <w:p>
      <w:pPr>
        <w:ind w:left="560"/>
        <w:spacing w:after="0"/>
        <w:rPr>
          <w:sz w:val="20"/>
          <w:szCs w:val="20"/>
          <w:color w:val="auto"/>
        </w:rPr>
      </w:pPr>
      <w:r>
        <w:rPr>
          <w:rFonts w:ascii="Arial" w:cs="Arial" w:eastAsia="Arial" w:hAnsi="Arial"/>
          <w:sz w:val="14"/>
          <w:szCs w:val="14"/>
          <w:b w:val="1"/>
          <w:bCs w:val="1"/>
          <w:color w:val="auto"/>
        </w:rPr>
        <w:t>222 W Merchandise Mart Plaza Suite 1750</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60654</w:t>
      </w:r>
    </w:p>
    <w:p>
      <w:pPr>
        <w:spacing w:after="0" w:line="69" w:lineRule="exact"/>
        <w:rPr>
          <w:sz w:val="24"/>
          <w:szCs w:val="24"/>
          <w:color w:val="auto"/>
        </w:rPr>
      </w:pPr>
    </w:p>
    <w:p>
      <w:pPr>
        <w:sectPr>
          <w:pgSz w:w="11900" w:h="16838" w:orient="portrait"/>
          <w:cols w:equalWidth="0" w:num="2">
            <w:col w:w="8340" w:space="720"/>
            <w:col w:w="2140"/>
          </w:cols>
          <w:pgMar w:left="320" w:top="1432" w:right="379" w:bottom="1440" w:gutter="0" w:footer="0" w:header="0"/>
          <w:type w:val="continuous"/>
        </w:sectPr>
      </w:pPr>
    </w:p>
    <w:p>
      <w:pPr>
        <w:ind w:left="1360"/>
        <w:spacing w:after="0"/>
        <w:rPr>
          <w:sz w:val="20"/>
          <w:szCs w:val="20"/>
          <w:color w:val="auto"/>
        </w:rPr>
      </w:pPr>
      <w:r>
        <w:rPr>
          <w:rFonts w:ascii="Arial" w:cs="Arial" w:eastAsia="Arial" w:hAnsi="Arial"/>
          <w:sz w:val="14"/>
          <w:szCs w:val="14"/>
          <w:b w:val="1"/>
          <w:bCs w:val="1"/>
          <w:color w:val="auto"/>
        </w:rPr>
        <w:t>Chicago, Illinois</w:t>
      </w:r>
    </w:p>
    <w:p>
      <w:pPr>
        <w:sectPr>
          <w:pgSz w:w="11900" w:h="16838" w:orient="portrait"/>
          <w:cols w:equalWidth="0" w:num="1">
            <w:col w:w="11200"/>
          </w:cols>
          <w:pgMar w:left="320" w:top="1432" w:right="379" w:bottom="1440" w:gutter="0" w:footer="0" w:header="0"/>
          <w:type w:val="continuous"/>
        </w:sectPr>
      </w:pPr>
    </w:p>
    <w:p>
      <w:pPr>
        <w:spacing w:after="0" w:line="69" w:lineRule="exact"/>
        <w:rPr>
          <w:sz w:val="24"/>
          <w:szCs w:val="24"/>
          <w:color w:val="auto"/>
        </w:rPr>
      </w:pPr>
    </w:p>
    <w:p>
      <w:pPr>
        <w:ind w:left="74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838" w:orient="portrait"/>
          <w:cols w:equalWidth="0" w:num="2">
            <w:col w:w="8200" w:space="720"/>
            <w:col w:w="2280"/>
          </w:cols>
          <w:pgMar w:left="320" w:top="1432" w:right="379" w:bottom="1440" w:gutter="0" w:footer="0" w:header="0"/>
          <w:type w:val="continuous"/>
        </w:sectPr>
      </w:pP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(312) 386-8200</w:t>
      </w:r>
    </w:p>
    <w:p>
      <w:pPr>
        <w:spacing w:after="0" w:line="113"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pacing w:after="0" w:line="11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N/A</w:t>
      </w:r>
    </w:p>
    <w:p>
      <w:pPr>
        <w:sectPr>
          <w:pgSz w:w="11900" w:h="16838" w:orient="portrait"/>
          <w:cols w:equalWidth="0" w:num="1">
            <w:col w:w="11200"/>
          </w:cols>
          <w:pgMar w:left="320" w:top="1432" w:right="379" w:bottom="1440" w:gutter="0" w:footer="0" w:header="0"/>
          <w:type w:val="continuous"/>
        </w:sectPr>
      </w:pPr>
    </w:p>
    <w:p>
      <w:pPr>
        <w:spacing w:after="0" w:line="12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6"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95"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63" w:lineRule="exact"/>
        <w:rPr>
          <w:sz w:val="24"/>
          <w:szCs w:val="24"/>
          <w:color w:val="auto"/>
        </w:rPr>
      </w:pPr>
    </w:p>
    <w:p>
      <w:pPr>
        <w:ind w:left="520" w:hanging="330"/>
        <w:spacing w:after="0"/>
        <w:tabs>
          <w:tab w:leader="none" w:pos="5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49" w:lineRule="exact"/>
        <w:rPr>
          <w:rFonts w:ascii="MS PGothic" w:cs="MS PGothic" w:eastAsia="MS PGothic" w:hAnsi="MS PGothic"/>
          <w:sz w:val="14"/>
          <w:szCs w:val="14"/>
          <w:color w:val="auto"/>
        </w:rPr>
      </w:pPr>
    </w:p>
    <w:p>
      <w:pPr>
        <w:ind w:left="520" w:hanging="330"/>
        <w:spacing w:after="0"/>
        <w:tabs>
          <w:tab w:leader="none" w:pos="5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41" w:lineRule="exact"/>
        <w:rPr>
          <w:rFonts w:ascii="MS PGothic" w:cs="MS PGothic" w:eastAsia="MS PGothic" w:hAnsi="MS PGothic"/>
          <w:sz w:val="14"/>
          <w:szCs w:val="14"/>
          <w:color w:val="auto"/>
        </w:rPr>
      </w:pPr>
    </w:p>
    <w:p>
      <w:pPr>
        <w:ind w:left="520" w:hanging="330"/>
        <w:spacing w:after="0"/>
        <w:tabs>
          <w:tab w:leader="none" w:pos="5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41" w:lineRule="exact"/>
        <w:rPr>
          <w:rFonts w:ascii="MS PGothic" w:cs="MS PGothic" w:eastAsia="MS PGothic" w:hAnsi="MS PGothic"/>
          <w:sz w:val="14"/>
          <w:szCs w:val="14"/>
          <w:color w:val="auto"/>
        </w:rPr>
      </w:pPr>
    </w:p>
    <w:p>
      <w:pPr>
        <w:ind w:left="520" w:hanging="330"/>
        <w:spacing w:after="0"/>
        <w:tabs>
          <w:tab w:leader="none" w:pos="5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760" w:type="dxa"/>
            <w:vAlign w:val="bottom"/>
            <w:gridSpan w:val="2"/>
          </w:tcPr>
          <w:p>
            <w:pPr>
              <w:jc w:val="center"/>
              <w:ind w:right="100"/>
              <w:spacing w:after="0"/>
              <w:rPr>
                <w:sz w:val="20"/>
                <w:szCs w:val="20"/>
                <w:color w:val="auto"/>
              </w:rPr>
            </w:pPr>
            <w:r>
              <w:rPr>
                <w:rFonts w:ascii="Arial" w:cs="Arial" w:eastAsia="Arial" w:hAnsi="Arial"/>
                <w:sz w:val="14"/>
                <w:szCs w:val="14"/>
                <w:color w:val="auto"/>
              </w:rPr>
              <w:t>Securities registered pursuant to Section 12(b) of the Act:</w:t>
            </w:r>
          </w:p>
        </w:tc>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r>
        <w:trPr>
          <w:trHeight w:val="309"/>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219"/>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9"/>
                <w:szCs w:val="19"/>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9"/>
                <w:szCs w:val="19"/>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180"/>
        </w:trPr>
        <w:tc>
          <w:tcPr>
            <w:tcW w:w="3760" w:type="dxa"/>
            <w:vAlign w:val="bottom"/>
            <w:gridSpan w:val="2"/>
          </w:tcPr>
          <w:p>
            <w:pPr>
              <w:jc w:val="center"/>
              <w:ind w:right="80"/>
              <w:spacing w:after="0"/>
              <w:rPr>
                <w:sz w:val="20"/>
                <w:szCs w:val="20"/>
                <w:color w:val="auto"/>
              </w:rPr>
            </w:pPr>
            <w:r>
              <w:rPr>
                <w:rFonts w:ascii="Arial" w:cs="Arial" w:eastAsia="Arial" w:hAnsi="Arial"/>
                <w:sz w:val="14"/>
                <w:szCs w:val="14"/>
                <w:color w:val="auto"/>
              </w:rPr>
              <w:t>Class A Common Stock,</w:t>
            </w:r>
          </w:p>
        </w:tc>
        <w:tc>
          <w:tcPr>
            <w:tcW w:w="3760" w:type="dxa"/>
            <w:vAlign w:val="bottom"/>
            <w:gridSpan w:val="2"/>
          </w:tcPr>
          <w:p>
            <w:pPr>
              <w:jc w:val="center"/>
              <w:ind w:right="80"/>
              <w:spacing w:after="0"/>
              <w:rPr>
                <w:sz w:val="20"/>
                <w:szCs w:val="20"/>
                <w:color w:val="auto"/>
              </w:rPr>
            </w:pPr>
            <w:r>
              <w:rPr>
                <w:rFonts w:ascii="Arial" w:cs="Arial" w:eastAsia="Arial" w:hAnsi="Arial"/>
                <w:sz w:val="14"/>
                <w:szCs w:val="14"/>
                <w:color w:val="auto"/>
              </w:rPr>
              <w:t>GOCO</w:t>
            </w:r>
          </w:p>
        </w:tc>
        <w:tc>
          <w:tcPr>
            <w:tcW w:w="3680" w:type="dxa"/>
            <w:vAlign w:val="bottom"/>
          </w:tcPr>
          <w:p>
            <w:pPr>
              <w:jc w:val="center"/>
              <w:spacing w:after="0"/>
              <w:rPr>
                <w:sz w:val="20"/>
                <w:szCs w:val="20"/>
                <w:color w:val="auto"/>
              </w:rPr>
            </w:pPr>
            <w:r>
              <w:rPr>
                <w:rFonts w:ascii="Arial" w:cs="Arial" w:eastAsia="Arial" w:hAnsi="Arial"/>
                <w:sz w:val="14"/>
                <w:szCs w:val="14"/>
                <w:color w:val="auto"/>
              </w:rPr>
              <w:t>The Nasdaq Global Market</w:t>
            </w:r>
          </w:p>
        </w:tc>
      </w:tr>
      <w:tr>
        <w:trPr>
          <w:trHeight w:val="190"/>
        </w:trPr>
        <w:tc>
          <w:tcPr>
            <w:tcW w:w="3760" w:type="dxa"/>
            <w:vAlign w:val="bottom"/>
            <w:gridSpan w:val="2"/>
          </w:tcPr>
          <w:p>
            <w:pPr>
              <w:jc w:val="center"/>
              <w:ind w:right="80"/>
              <w:spacing w:after="0"/>
              <w:rPr>
                <w:sz w:val="20"/>
                <w:szCs w:val="20"/>
                <w:color w:val="auto"/>
              </w:rPr>
            </w:pPr>
            <w:r>
              <w:rPr>
                <w:rFonts w:ascii="Arial" w:cs="Arial" w:eastAsia="Arial" w:hAnsi="Arial"/>
                <w:sz w:val="14"/>
                <w:szCs w:val="14"/>
                <w:color w:val="auto"/>
              </w:rPr>
              <w:t>$0.0001 par value per share</w:t>
            </w:r>
          </w:p>
        </w:tc>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bl>
    <w:p>
      <w:pPr>
        <w:spacing w:after="0" w:line="215" w:lineRule="exact"/>
        <w:rPr>
          <w:sz w:val="24"/>
          <w:szCs w:val="24"/>
          <w:color w:val="auto"/>
        </w:rPr>
      </w:pPr>
    </w:p>
    <w:p>
      <w:pPr>
        <w:ind w:right="140"/>
        <w:spacing w:after="0" w:line="305"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54" w:lineRule="exact"/>
        <w:rPr>
          <w:sz w:val="24"/>
          <w:szCs w:val="24"/>
          <w:color w:val="auto"/>
        </w:rPr>
      </w:pPr>
    </w:p>
    <w:p>
      <w:pPr>
        <w:ind w:right="26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717550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00"/>
          </w:cols>
          <w:pgMar w:left="320" w:top="1432" w:right="379" w:bottom="1440" w:gutter="0" w:footer="0" w:header="0"/>
          <w:type w:val="continuous"/>
        </w:sectPr>
      </w:pPr>
    </w:p>
    <w:bookmarkStart w:id="1" w:name="page2"/>
    <w:bookmarkEnd w:id="1"/>
    <w:p>
      <w:pPr>
        <w:spacing w:after="0"/>
        <w:tabs>
          <w:tab w:leader="none" w:pos="900" w:val="left"/>
        </w:tabs>
        <w:rPr>
          <w:sz w:val="20"/>
          <w:szCs w:val="20"/>
          <w:color w:val="auto"/>
        </w:rPr>
      </w:pPr>
      <w:r>
        <w:rPr>
          <w:rFonts w:ascii="Arial" w:cs="Arial" w:eastAsia="Arial" w:hAnsi="Arial"/>
          <w:sz w:val="16"/>
          <w:szCs w:val="16"/>
          <w:b w:val="1"/>
          <w:bCs w:val="1"/>
          <w:color w:val="auto"/>
        </w:rPr>
        <w:t>Item 2.02.</w:t>
        <w:tab/>
        <w:t>Results of Operations and Financial Condition.</w:t>
      </w:r>
    </w:p>
    <w:p>
      <w:pPr>
        <w:spacing w:after="0" w:line="113"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On February 27, 2025, GoHealth, Inc. issued a press release announcing its financial results for the three and twelve months ended December 31, 2024. A copy of the press release is furnished as Exhibit 99.1 to this Current Report on Form 8-K.</w:t>
      </w:r>
    </w:p>
    <w:p>
      <w:pPr>
        <w:spacing w:after="0" w:line="33"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information furnished pursuant to this Item 2.02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9.01.</w:t>
        <w:tab/>
        <w:t>Financial Statements and Exhibits.</w:t>
      </w:r>
    </w:p>
    <w:p>
      <w:pPr>
        <w:spacing w:after="0" w:line="113"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Exhibit Number</w:t>
            </w:r>
          </w:p>
        </w:tc>
        <w:tc>
          <w:tcPr>
            <w:tcW w:w="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6"/>
                <w:szCs w:val="16"/>
                <w:b w:val="1"/>
                <w:bCs w:val="1"/>
                <w:color w:val="auto"/>
              </w:rPr>
              <w:t>Exhibit Description</w:t>
            </w:r>
          </w:p>
        </w:tc>
      </w:tr>
      <w:tr>
        <w:trPr>
          <w:trHeight w:val="169"/>
        </w:trPr>
        <w:tc>
          <w:tcPr>
            <w:tcW w:w="1300" w:type="dxa"/>
            <w:vAlign w:val="bottom"/>
            <w:tcBorders>
              <w:top w:val="single" w:sz="8" w:color="auto"/>
            </w:tcBorders>
          </w:tcPr>
          <w:p>
            <w:pPr>
              <w:jc w:val="right"/>
              <w:ind w:right="419"/>
              <w:spacing w:after="0" w:line="169" w:lineRule="exact"/>
              <w:rPr>
                <w:sz w:val="20"/>
                <w:szCs w:val="20"/>
                <w:color w:val="auto"/>
              </w:rPr>
            </w:pPr>
            <w:r>
              <w:rPr>
                <w:rFonts w:ascii="Arial" w:cs="Arial" w:eastAsia="Arial" w:hAnsi="Arial"/>
                <w:sz w:val="16"/>
                <w:szCs w:val="16"/>
                <w:color w:val="auto"/>
              </w:rPr>
              <w:t>99.1</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860" w:type="dxa"/>
            <w:vAlign w:val="bottom"/>
            <w:tcBorders>
              <w:top w:val="single" w:sz="8" w:color="auto"/>
              <w:bottom w:val="single" w:sz="8" w:color="0000FF"/>
            </w:tcBorders>
          </w:tcPr>
          <w:p>
            <w:pPr>
              <w:spacing w:after="0" w:line="169" w:lineRule="exact"/>
              <w:rPr>
                <w:sz w:val="20"/>
                <w:szCs w:val="20"/>
                <w:color w:val="auto"/>
              </w:rPr>
            </w:pPr>
            <w:r>
              <w:rPr>
                <w:rFonts w:ascii="Arial" w:cs="Arial" w:eastAsia="Arial" w:hAnsi="Arial"/>
                <w:sz w:val="16"/>
                <w:szCs w:val="16"/>
                <w:color w:val="0000FF"/>
              </w:rPr>
              <w:t>Press release, dated February 27, 2025</w:t>
            </w:r>
          </w:p>
        </w:tc>
        <w:tc>
          <w:tcPr>
            <w:tcW w:w="6980" w:type="dxa"/>
            <w:vAlign w:val="bottom"/>
            <w:tcBorders>
              <w:top w:val="single" w:sz="8" w:color="auto"/>
            </w:tcBorders>
          </w:tcPr>
          <w:p>
            <w:pPr>
              <w:spacing w:after="0"/>
              <w:rPr>
                <w:sz w:val="14"/>
                <w:szCs w:val="14"/>
                <w:color w:val="auto"/>
              </w:rPr>
            </w:pPr>
          </w:p>
        </w:tc>
      </w:tr>
      <w:tr>
        <w:trPr>
          <w:trHeight w:val="234"/>
        </w:trPr>
        <w:tc>
          <w:tcPr>
            <w:tcW w:w="1300" w:type="dxa"/>
            <w:vAlign w:val="bottom"/>
          </w:tcPr>
          <w:p>
            <w:pPr>
              <w:jc w:val="right"/>
              <w:ind w:right="439"/>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40" w:type="dxa"/>
            <w:vAlign w:val="bottom"/>
            <w:gridSpan w:val="2"/>
          </w:tcPr>
          <w:p>
            <w:pPr>
              <w:spacing w:after="0"/>
              <w:rPr>
                <w:sz w:val="20"/>
                <w:szCs w:val="20"/>
                <w:color w:val="auto"/>
              </w:rPr>
            </w:pPr>
            <w:r>
              <w:rPr>
                <w:rFonts w:ascii="Arial" w:cs="Arial" w:eastAsia="Arial" w:hAnsi="Arial"/>
                <w:sz w:val="16"/>
                <w:szCs w:val="16"/>
                <w:color w:val="auto"/>
              </w:rPr>
              <w:t>Cover Page Interactive Data File (the cover page XBRL tags are embedded within the Inline XBRL document)</w:t>
            </w:r>
          </w:p>
        </w:tc>
      </w:tr>
      <w:tr>
        <w:trPr>
          <w:trHeight w:val="968"/>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6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1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87"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35"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(Registrant)</w:t>
      </w:r>
    </w:p>
    <w:p>
      <w:pPr>
        <w:spacing w:after="0" w:line="192"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February 27, 2025</w:t>
      </w:r>
      <w:r>
        <w:rPr>
          <w:sz w:val="20"/>
          <w:szCs w:val="20"/>
          <w:color w:val="auto"/>
        </w:rPr>
        <w:tab/>
      </w:r>
      <w:r>
        <w:rPr>
          <w:rFonts w:ascii="Arial" w:cs="Arial" w:eastAsia="Arial" w:hAnsi="Arial"/>
          <w:sz w:val="16"/>
          <w:szCs w:val="16"/>
          <w:color w:val="auto"/>
        </w:rPr>
        <w:t>By: /s/ Brendan Shanahan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29210</wp:posOffset>
            </wp:positionV>
            <wp:extent cx="3326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3"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Brendan Shanahan</w:t>
      </w:r>
    </w:p>
    <w:p>
      <w:pPr>
        <w:spacing w:after="0" w:line="31"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Financial Officer</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6"/>
          <w:szCs w:val="16"/>
          <w:i w:val="1"/>
          <w:iCs w:val="1"/>
          <w:color w:val="auto"/>
        </w:rPr>
        <w:t>(Principal Financial and Accounting Officer)</w:t>
      </w:r>
    </w:p>
    <w:p>
      <w:pPr>
        <w:sectPr>
          <w:pgSz w:w="11900" w:h="16838" w:orient="portrait"/>
          <w:cols w:equalWidth="0" w:num="1">
            <w:col w:w="11220"/>
          </w:cols>
          <w:pgMar w:left="320" w:top="1003" w:right="359" w:bottom="1440" w:gutter="0" w:footer="0" w:header="0"/>
        </w:sectPr>
      </w:pPr>
    </w:p>
    <w:bookmarkStart w:id="3" w:name="page4"/>
    <w:bookmarkEnd w:id="3"/>
    <w:p>
      <w:pPr>
        <w:ind w:left="10560"/>
        <w:spacing w:after="0"/>
        <w:rPr>
          <w:sz w:val="20"/>
          <w:szCs w:val="20"/>
          <w:color w:val="auto"/>
        </w:rPr>
      </w:pPr>
      <w:r>
        <w:rPr>
          <w:rFonts w:ascii="Arial" w:cs="Arial" w:eastAsia="Arial" w:hAnsi="Arial"/>
          <w:sz w:val="13"/>
          <w:szCs w:val="13"/>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19050</wp:posOffset>
            </wp:positionV>
            <wp:extent cx="1080135" cy="5657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0135" cy="565785"/>
                    </a:xfrm>
                    <a:prstGeom prst="rect">
                      <a:avLst/>
                    </a:prstGeom>
                    <a:noFill/>
                  </pic:spPr>
                </pic:pic>
              </a:graphicData>
            </a:graphic>
          </wp:anchor>
        </w:drawing>
      </w:r>
    </w:p>
    <w:p>
      <w:pPr>
        <w:spacing w:after="0" w:line="184" w:lineRule="exact"/>
        <w:rPr>
          <w:sz w:val="20"/>
          <w:szCs w:val="20"/>
          <w:color w:val="auto"/>
        </w:rPr>
      </w:pPr>
    </w:p>
    <w:p>
      <w:pPr>
        <w:ind w:left="20" w:right="3280"/>
        <w:spacing w:after="0" w:line="275" w:lineRule="auto"/>
        <w:rPr>
          <w:sz w:val="20"/>
          <w:szCs w:val="20"/>
          <w:color w:val="auto"/>
        </w:rPr>
      </w:pPr>
      <w:r>
        <w:rPr>
          <w:rFonts w:ascii="Arial" w:cs="Arial" w:eastAsia="Arial" w:hAnsi="Arial"/>
          <w:sz w:val="26"/>
          <w:szCs w:val="26"/>
          <w:b w:val="1"/>
          <w:bCs w:val="1"/>
          <w:color w:val="0A2299"/>
        </w:rPr>
        <w:t>GoHealth Reports Strong Fourth Quarter and Fiscal Year 2024 Results, Driven by a Successful Annual Enrollment Period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i w:val="1"/>
          <w:iCs w:val="1"/>
          <w:color w:val="auto"/>
        </w:rPr>
        <w:t xml:space="preserve">CHICAGO, February 27, 2025 </w:t>
      </w:r>
      <w:r>
        <w:rPr>
          <w:rFonts w:ascii="Arial" w:cs="Arial" w:eastAsia="Arial" w:hAnsi="Arial"/>
          <w:sz w:val="16"/>
          <w:szCs w:val="16"/>
          <w:color w:val="auto"/>
        </w:rPr>
        <w:t>— GoHealth, Inc. (NASDAQ: GOCO) (“GoHealth” or the “Company”), a leading health insurance marketplace and Medicare-focused digital health company, today announced financial results for the three and twelve months ended December 31, 2024.</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Fourth Quarter Highlights</w:t>
      </w:r>
    </w:p>
    <w:p>
      <w:pPr>
        <w:spacing w:after="0" w:line="235"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Achieved net revenues of $389.1 million, a substantial 41% increase compared to the prior year period.</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Submissions grew to 481,445, representing a 67% increase compared to the prior year period.</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income of $58.0 million, a substantial improvement of $60.3 million compared to the prior year period.</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surged to $117.8 million, a significant 107% increase compared to the prior year period.</w:t>
      </w:r>
    </w:p>
    <w:p>
      <w:pPr>
        <w:spacing w:after="0" w:line="177"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Compared to the prior year period, Direct Operating Cost per Submission</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improved 27%, to an industry leading $501.</w:t>
      </w:r>
    </w:p>
    <w:p>
      <w:pPr>
        <w:spacing w:after="0" w:line="177" w:lineRule="exact"/>
        <w:rPr>
          <w:rFonts w:ascii="Arial" w:cs="Arial" w:eastAsia="Arial" w:hAnsi="Arial"/>
          <w:sz w:val="16"/>
          <w:szCs w:val="16"/>
          <w:color w:val="auto"/>
        </w:rPr>
      </w:pPr>
    </w:p>
    <w:p>
      <w:pPr>
        <w:ind w:left="660" w:right="420" w:hanging="328"/>
        <w:spacing w:after="0" w:line="268"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integration and transformation of e-TeleQuote Insurance, Inc. (“e-TeleQuote”) has driven growth and efficiency gains, delivering significant performance improvements in the 2024 Annual Enrollment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Full-Year 2024 Highlights</w:t>
      </w:r>
    </w:p>
    <w:p>
      <w:pPr>
        <w:spacing w:after="0" w:line="235"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Full-year net revenues reached $798.9 million, reflecting 9% growth compared to the prior year.</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Submissions were 1,016,182, a 23% increase compared to the prior year.</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Net loss of $7.3 million, an improvement of $144.0 million compared to the prior year.</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$120.3 million, a 60% increase compared to the prior year.</w:t>
      </w:r>
    </w:p>
    <w:p>
      <w:pPr>
        <w:spacing w:after="0" w:line="177"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Successfully refinanced our credit facility with new five-year term and lender group.</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Supported nearly 3 million Medicare consumers in assessing benefit options in 2024.</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Implemented the PlanFit Save initiative and began receiving health plan compensation for membership retention.</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Remained top partner to health plans based on Submission volume.</w:t>
      </w:r>
    </w:p>
    <w:p>
      <w:pPr>
        <w:spacing w:after="0" w:line="235"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“GoHealth’s strong 2024 performance highlights our market-leading, technology-driven approach in the digital Medicare marketplace. While we predicted favorable market dynamics, we were even more pleased by the velocity of our efficiency improvements and the immediate impact of our technology initiatives on profitability. We are energized by the opportunities ahead and are already executing on them," said Vijay Kotte, CEO of GoHealth. "The successful onboarding and optimization of e-TeleQuote, expansion of our health plan partnerships, and continued investment in artificial intelligence and advanced analytics have further strengthened GoHealth’s position as a leading digital Medicare marketplace. As we move into 2025, we continue to focus on driving sustainable, profitable growth, enhancing the consumer experience, and reinforcing our market leadership through continued innovation and operational excellence."</w:t>
      </w:r>
    </w:p>
    <w:p>
      <w:pPr>
        <w:spacing w:after="0" w:line="219" w:lineRule="exact"/>
        <w:rPr>
          <w:sz w:val="20"/>
          <w:szCs w:val="20"/>
          <w:color w:val="auto"/>
        </w:rPr>
      </w:pPr>
    </w:p>
    <w:p>
      <w:pPr>
        <w:ind w:right="60"/>
        <w:spacing w:after="0" w:line="231" w:lineRule="auto"/>
        <w:rPr>
          <w:sz w:val="20"/>
          <w:szCs w:val="20"/>
          <w:color w:val="auto"/>
        </w:rPr>
      </w:pPr>
      <w:r>
        <w:rPr>
          <w:rFonts w:ascii="Arial" w:cs="Arial" w:eastAsia="Arial" w:hAnsi="Arial"/>
          <w:sz w:val="16"/>
          <w:szCs w:val="16"/>
          <w:color w:val="auto"/>
        </w:rPr>
        <w:t>“Our 2024 financial results demonstrate GoHealth’s capacity to achieve exceptional performance through disciplined execution and strategic investment,” said Brendan Shanahan, CFO of GoHealth. “The substantial year-over-year growth in net income and the 107% year-over-year growth in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during Q4, coupled with significant gains in operating efficiency, reinforces the strength of our strategy. As we begin 2025, we are optimistic that the favorable market dynamics we experienced will persist through at least the first three quarters with cautious optimism for similar favorable dynamics for the fourth quarter, enabling us to build on this solid financial foundation.”</w:t>
      </w:r>
    </w:p>
    <w:p>
      <w:pPr>
        <w:spacing w:after="0" w:line="326"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Adjusted EBITDA is a non-GAAP measure. For a definition of Adjusted EBITDA and a reconciliation to the most comparable GAAP measure, please see below.</w:t>
      </w:r>
    </w:p>
    <w:p>
      <w:pPr>
        <w:spacing w:after="0" w:line="9" w:lineRule="exact"/>
        <w:rPr>
          <w:rFonts w:ascii="Arial" w:cs="Arial" w:eastAsia="Arial" w:hAnsi="Arial"/>
          <w:sz w:val="13"/>
          <w:szCs w:val="13"/>
          <w:i w:val="1"/>
          <w:iCs w:val="1"/>
          <w:color w:val="auto"/>
        </w:rPr>
      </w:pPr>
    </w:p>
    <w:p>
      <w:pPr>
        <w:ind w:left="320" w:hanging="312"/>
        <w:spacing w:after="0"/>
        <w:tabs>
          <w:tab w:leader="none" w:pos="32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Direct Operating Cost per Submission is an operating metric. For a definition of Direct Operating Cost per Submission and an explanation of its calculation, please see below.</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62"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0A2299"/>
        </w:rPr>
        <w:t>Conference Call Details</w:t>
      </w:r>
    </w:p>
    <w:p>
      <w:pPr>
        <w:spacing w:after="0" w:line="235"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The Company will host a conference call today, Thursday, February 27, 2025 at 8:00 a.m. (ET) to discuss its financial results. A live audio webcast of the conference call will be available via GoHealth's Investor Relations website, https://investors.gohealth.com/. A replay of the call will be available via webcast for on-demand listening shortly after the completion of the call.</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About GoHealth, Inc.</w:t>
      </w:r>
    </w:p>
    <w:p>
      <w:pPr>
        <w:spacing w:after="0" w:line="235"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GoHealth is a leading health insurance marketplace and Medicare-focused digital health company whose purpose is to compassionately ensure consumers’ peace of mind when making healthcare decisions so they can focus on living life. For many of these consumers, enrolling in a health insurance plan is confusing and difficult, and seemingly small differences between health plans may lead to significant out-of-pocket costs or lack of access to critical providers and medicines. GoHealth’s proprietary technology platform leverages modern machine-learning algorithms, powered by over two decades of insurance purchasing behavior, to reimagine the process of matching a health plan to a consumer’s specific needs. Its unbiased, technology-driven marketplace coupled with highly skilled licensed agents has facilitated the enrollment of millions of consumers in Medicare plans since GoHealth’s inception. For more information, visit https://www.gohealth.com.</w:t>
      </w:r>
    </w:p>
    <w:p>
      <w:pPr>
        <w:spacing w:after="0" w:line="36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Investor Relations: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John Shave</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JShave@gohealth.com</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Media Relations: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Pressinquiries@gohealth.com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881"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0A2299"/>
        </w:rPr>
        <w:t>Forward-Looking Statements</w:t>
      </w:r>
    </w:p>
    <w:p>
      <w:pPr>
        <w:spacing w:after="0" w:line="248"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(the “Securities Act”) and Section 21E of the Securities Exchange Act of 1934, as amended (the “Exchange Act”). These forward-looking statements are made in reliance upon the safe harbor provision of the Private Securities Litigation Reform Act of 1995. All statements other than statements of historical facts contained in this press release may be forward-looking statements. Statements regarding our future results of operations and financial position, business strategy and plans and objectives of management for future operations, including, among others, statements regarding our expected growth, future capital expenditures, debt service obligations, adoption and use of artificial intelligence technologies, the impact on our business from the acquisition of e-TeleQuote and our ability to successfully integrate e-TeleQuote’s operations, technologies and employees into our business, are forward-looking statements.</w:t>
      </w:r>
    </w:p>
    <w:p>
      <w:pPr>
        <w:spacing w:after="0" w:line="201"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In some cases, you can identify forward-looking statements by terms such as “may,” “will,” “should,” “aims,” “expects,” “plans,” “anticipates,” “could,” “intends,” “targets,” “projects,” “contemplates,” “believes,” “estimates,” “predicts,” “potential,” “likely,” “future” or “continue” or the negative of these terms or other similar expressions. The forward-looking statements in this press release are only predictions, projections and other statements about future events that are based on current expectations and assumptions.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217"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These forward-looking statements speak only as of the date of this press release and are subject to a number of important factors that could cause actual results to differ materially from those in the forward-looking statements, including the factors described in the sections titled “Summary Risk Factors,” “Risk Factors” and “Management’s Discussion and Analysis of Financial Condition and Results of Operations” in our Annual Report on Form 10-K for the fiscal year ended December 31, 2023 (“2023 Annual Report on Form 10-K”) and our forthcoming Annual Report on Form 10-K for the fiscal year ended December 31, 2024 (“2024 Annual Report on Form 10-K”), as well as our other filings with the Securities and Exchange Commission. The factors described in our 2023 Annual Report on Form 10-K and our forthcoming 2024 Annual Report on Form 10-K should not be construed as exhaustive and should be read together with the other cautionary statements included in this press release, as well as the cautionary statements and other risk factors set forth in the Quarterly Report on Form 10-Q for the first fiscal quarter ended March 31, 2024, the Quarterly Report on Form 10-Q for the second fiscal quarter ended June 30, 2024, the Quarterly Report on Form 10-Q for the third quarter ended September 30, 2024 and in our other filings with the Securities and Exchange Commission.</w:t>
      </w:r>
    </w:p>
    <w:p>
      <w:pPr>
        <w:spacing w:after="0" w:line="200" w:lineRule="exact"/>
        <w:rPr>
          <w:sz w:val="20"/>
          <w:szCs w:val="20"/>
          <w:color w:val="auto"/>
        </w:rPr>
      </w:pPr>
    </w:p>
    <w:p>
      <w:pPr>
        <w:spacing w:after="0" w:line="214"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You should read this press release and the documents that we reference in this press release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Non-GAAP Financial Measures</w:t>
      </w:r>
    </w:p>
    <w:p>
      <w:pPr>
        <w:spacing w:after="0" w:line="127"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Throughout this press release, we use a number of non-GAAP financial measures. Non-GAAP financial measures are supplemental measures of our performance that are derived from our consolidated financial information, but which are not presented in our Consolidated Financial Statements prepared in accordance with U.S. generally accepted accounting principles (“GAAP”). We define these non-GAAP financial measures as follows:</w:t>
      </w:r>
    </w:p>
    <w:p>
      <w:pPr>
        <w:spacing w:after="0" w:line="191" w:lineRule="exact"/>
        <w:rPr>
          <w:sz w:val="20"/>
          <w:szCs w:val="20"/>
          <w:color w:val="auto"/>
        </w:rPr>
      </w:pPr>
    </w:p>
    <w:p>
      <w:pPr>
        <w:ind w:left="660" w:right="180" w:hanging="328"/>
        <w:spacing w:after="0" w:line="286"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represents, as applicable for the period, EBITDA as further adjusted for certain items summarized in the table furnished below</w:t>
      </w:r>
      <w:r>
        <w:rPr>
          <w:rFonts w:ascii="Arial" w:cs="Arial" w:eastAsia="Arial" w:hAnsi="Arial"/>
          <w:sz w:val="16"/>
          <w:szCs w:val="16"/>
          <w:i w:val="1"/>
          <w:iCs w:val="1"/>
          <w:color w:val="auto"/>
        </w:rPr>
        <w:t xml:space="preserve"> </w:t>
      </w:r>
      <w:r>
        <w:rPr>
          <w:rFonts w:ascii="Arial" w:cs="Arial" w:eastAsia="Arial" w:hAnsi="Arial"/>
          <w:sz w:val="16"/>
          <w:szCs w:val="16"/>
          <w:color w:val="auto"/>
        </w:rPr>
        <w:t>in this press release.</w:t>
      </w:r>
    </w:p>
    <w:p>
      <w:pPr>
        <w:spacing w:after="0" w:line="196"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“Adjusted EBITDA Margin” </w:t>
      </w:r>
      <w:r>
        <w:rPr>
          <w:rFonts w:ascii="Arial" w:cs="Arial" w:eastAsia="Arial" w:hAnsi="Arial"/>
          <w:sz w:val="16"/>
          <w:szCs w:val="16"/>
          <w:color w:val="auto"/>
        </w:rPr>
        <w:t>refers to Adjusted EBITDA divided by net revenues.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“EBITDA” </w:t>
      </w:r>
      <w:r>
        <w:rPr>
          <w:rFonts w:ascii="Arial" w:cs="Arial" w:eastAsia="Arial" w:hAnsi="Arial"/>
          <w:sz w:val="16"/>
          <w:szCs w:val="16"/>
          <w:color w:val="auto"/>
        </w:rPr>
        <w:t>represents net income (loss) before interest expense, income tax expense (benefit) and depreciation and amortization expense.</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Adjusted EBITDA is the primary financial performance measure used by management to evaluate the business and monitor the results of operations, as well as a basis for certain compensation programs sponsored by the Company. There are limitations to the use of the non-GAAP financial measures presented in this press release. For example, our non-GAAP financial measures may not be comparable to similarly titled measures of other companies. Other companies,</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881" w:right="339" w:bottom="1440" w:gutter="0" w:footer="0" w:header="0"/>
        </w:sectPr>
      </w:pPr>
    </w:p>
    <w:bookmarkStart w:id="6" w:name="page7"/>
    <w:bookmarkEnd w:id="6"/>
    <w:p>
      <w:pPr>
        <w:ind w:right="540"/>
        <w:spacing w:after="0" w:line="286" w:lineRule="auto"/>
        <w:rPr>
          <w:sz w:val="20"/>
          <w:szCs w:val="20"/>
          <w:color w:val="auto"/>
        </w:rPr>
      </w:pPr>
      <w:r>
        <w:rPr>
          <w:rFonts w:ascii="Arial" w:cs="Arial" w:eastAsia="Arial" w:hAnsi="Arial"/>
          <w:sz w:val="16"/>
          <w:szCs w:val="16"/>
          <w:color w:val="auto"/>
        </w:rPr>
        <w:t>including companies in our industry, may calculate non-GAAP financial measures differently than we do, limiting the usefulness of those measures for comparative purposes.</w:t>
      </w:r>
    </w:p>
    <w:p>
      <w:pPr>
        <w:spacing w:after="0" w:line="196"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The non-GAAP financial measures are not meant to be considered as indicators of performance in isolation from or as a substitute for the most directly comparable financial measures prepared in accordance with GAAP and should be read only in conjunction with financial information presented on a GAAP basis. Reconciliations of each of EBITDA, Adjusted EBITDA and Adjusted EBITDA Margin to its most directly comparable GAAP financial measure are presented in the tables furnished below in this press release. We encourage you to review the reconciliations in conjunction with the presentation of the non-GAAP financial measures for each of the periods presented. In future periods, we may exclude similar items, may incur income and expenses similar to these excluded items and may include other expenses, costs and non-routine items.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151D8E"/>
        </w:rPr>
        <w:t>Key Business Performance and Operating Metrics</w:t>
      </w:r>
    </w:p>
    <w:p>
      <w:pPr>
        <w:spacing w:after="0" w:line="262"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In addition to traditional financial metrics, we rely upon certain business and operating metrics to evaluate our business performance and facilitate our operations. The most relevant business and operating metrics are as follows:</w:t>
      </w:r>
    </w:p>
    <w:p>
      <w:pPr>
        <w:spacing w:after="0" w:line="183" w:lineRule="exact"/>
        <w:rPr>
          <w:sz w:val="20"/>
          <w:szCs w:val="20"/>
          <w:color w:val="auto"/>
        </w:rPr>
      </w:pPr>
    </w:p>
    <w:p>
      <w:pPr>
        <w:ind w:left="660" w:right="40" w:hanging="328"/>
        <w:spacing w:after="0" w:line="265"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“Direct Operating Cost of Submission” </w:t>
      </w:r>
      <w:r>
        <w:rPr>
          <w:rFonts w:ascii="Arial" w:cs="Arial" w:eastAsia="Arial" w:hAnsi="Arial"/>
          <w:sz w:val="16"/>
          <w:szCs w:val="16"/>
          <w:color w:val="auto"/>
        </w:rPr>
        <w:t>is an operating metric that represents costs directly attributable to Submissions generated during a particular</w:t>
      </w:r>
      <w:r>
        <w:rPr>
          <w:rFonts w:ascii="Arial" w:cs="Arial" w:eastAsia="Arial" w:hAnsi="Arial"/>
          <w:sz w:val="16"/>
          <w:szCs w:val="16"/>
          <w:i w:val="1"/>
          <w:iCs w:val="1"/>
          <w:color w:val="auto"/>
        </w:rPr>
        <w:t xml:space="preserve"> </w:t>
      </w:r>
      <w:r>
        <w:rPr>
          <w:rFonts w:ascii="Arial" w:cs="Arial" w:eastAsia="Arial" w:hAnsi="Arial"/>
          <w:sz w:val="16"/>
          <w:szCs w:val="16"/>
          <w:color w:val="auto"/>
        </w:rPr>
        <w:t>period and excludes costs that are indirect or fixed. Direct Operating Cost of Submission is comprised of the portion of the respective operating expenses for revenue share, marketing and advertising and consumer care and enrollment that are directly related to the Submissions generated in the particular period. Direct Operating Cost of Submission, previously referred to as “Direct Cost of Submission,” reflects a name change only.</w:t>
      </w:r>
    </w:p>
    <w:p>
      <w:pPr>
        <w:spacing w:after="0" w:line="213" w:lineRule="exact"/>
        <w:rPr>
          <w:rFonts w:ascii="Arial" w:cs="Arial" w:eastAsia="Arial" w:hAnsi="Arial"/>
          <w:sz w:val="16"/>
          <w:szCs w:val="16"/>
          <w:color w:val="auto"/>
        </w:rPr>
      </w:pPr>
    </w:p>
    <w:p>
      <w:pPr>
        <w:ind w:left="660" w:right="220" w:hanging="328"/>
        <w:spacing w:after="0" w:line="265"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“Direct Operating Cost per Submission” </w:t>
      </w:r>
      <w:r>
        <w:rPr>
          <w:rFonts w:ascii="Arial" w:cs="Arial" w:eastAsia="Arial" w:hAnsi="Arial"/>
          <w:sz w:val="16"/>
          <w:szCs w:val="16"/>
          <w:color w:val="auto"/>
        </w:rPr>
        <w:t>is an operating metric that represents the average performance of Submissions generated during a</w:t>
      </w:r>
      <w:r>
        <w:rPr>
          <w:rFonts w:ascii="Arial" w:cs="Arial" w:eastAsia="Arial" w:hAnsi="Arial"/>
          <w:sz w:val="16"/>
          <w:szCs w:val="16"/>
          <w:i w:val="1"/>
          <w:iCs w:val="1"/>
          <w:color w:val="auto"/>
        </w:rPr>
        <w:t xml:space="preserve"> </w:t>
      </w:r>
      <w:r>
        <w:rPr>
          <w:rFonts w:ascii="Arial" w:cs="Arial" w:eastAsia="Arial" w:hAnsi="Arial"/>
          <w:sz w:val="16"/>
          <w:szCs w:val="16"/>
          <w:color w:val="auto"/>
        </w:rPr>
        <w:t>particular period. Direct Operating Cost per Submission refers to (x) Direct Operating Cost of Submission for a particular period divided by (y) the number of Submissions generated for such period. Direct Operating Cost per Submission, previously referred to as “Direct Cost per Submission” reflects a name change only.</w:t>
      </w:r>
    </w:p>
    <w:p>
      <w:pPr>
        <w:spacing w:after="0" w:line="199" w:lineRule="exact"/>
        <w:rPr>
          <w:rFonts w:ascii="Arial" w:cs="Arial" w:eastAsia="Arial" w:hAnsi="Arial"/>
          <w:sz w:val="16"/>
          <w:szCs w:val="16"/>
          <w:color w:val="auto"/>
        </w:rPr>
      </w:pPr>
    </w:p>
    <w:p>
      <w:pPr>
        <w:ind w:left="660" w:right="280" w:hanging="328"/>
        <w:spacing w:after="0" w:line="275"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“Sales/Direct Operating Cost of Submission” </w:t>
      </w:r>
      <w:r>
        <w:rPr>
          <w:rFonts w:ascii="Arial" w:cs="Arial" w:eastAsia="Arial" w:hAnsi="Arial"/>
          <w:sz w:val="16"/>
          <w:szCs w:val="16"/>
          <w:color w:val="auto"/>
        </w:rPr>
        <w:t>represents (x) the numerator of Sales per Submission, as defined below, divided by (y) Direct</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Cost of Submission. Sales/Direct Operating Cost of Submission, previously referred to as “Sales/Direct Cost of Submission” reflects a name change only.</w:t>
      </w:r>
    </w:p>
    <w:p>
      <w:pPr>
        <w:spacing w:after="0" w:line="204" w:lineRule="exact"/>
        <w:rPr>
          <w:rFonts w:ascii="Arial" w:cs="Arial" w:eastAsia="Arial" w:hAnsi="Arial"/>
          <w:sz w:val="16"/>
          <w:szCs w:val="16"/>
          <w:color w:val="auto"/>
        </w:rPr>
      </w:pPr>
    </w:p>
    <w:p>
      <w:pPr>
        <w:ind w:left="660" w:right="20" w:hanging="328"/>
        <w:spacing w:after="0" w:line="257"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“Sales per Submission” </w:t>
      </w:r>
      <w:r>
        <w:rPr>
          <w:rFonts w:ascii="Arial" w:cs="Arial" w:eastAsia="Arial" w:hAnsi="Arial"/>
          <w:sz w:val="16"/>
          <w:szCs w:val="16"/>
          <w:color w:val="auto"/>
        </w:rPr>
        <w:t>is an operating metric that represents the average performance of Submissions generated during a particular period. Sales</w:t>
      </w:r>
      <w:r>
        <w:rPr>
          <w:rFonts w:ascii="Arial" w:cs="Arial" w:eastAsia="Arial" w:hAnsi="Arial"/>
          <w:sz w:val="16"/>
          <w:szCs w:val="16"/>
          <w:i w:val="1"/>
          <w:iCs w:val="1"/>
          <w:color w:val="auto"/>
        </w:rPr>
        <w:t xml:space="preserve"> </w:t>
      </w:r>
      <w:r>
        <w:rPr>
          <w:rFonts w:ascii="Arial" w:cs="Arial" w:eastAsia="Arial" w:hAnsi="Arial"/>
          <w:sz w:val="16"/>
          <w:szCs w:val="16"/>
          <w:color w:val="auto"/>
        </w:rPr>
        <w:t>per Submission measures revenues only from the Submissions generated in the period and excludes items that are unrelated to such Submissions, including any impact of revenue adjustments recorded in the period, but relating to performance obligations satisfied in prior periods. Sales per Submission equals (x) the sum of (i) agency revenues, comprised of the expected amount of initial commission revenue and any renewal commissions to be paid from the health plan partners on such placement as long as the policyholder remains with the same insurance product, as well as partner marketing and other revenue and (ii) non-agency revenues, comprised of the enrollment and engagement services for which cash is collected in advance or in close proximity to the point in time revenue is recognized, divided by (y) the number of Submissions generated for such period.</w:t>
      </w:r>
    </w:p>
    <w:p>
      <w:pPr>
        <w:spacing w:after="0" w:line="219" w:lineRule="exact"/>
        <w:rPr>
          <w:rFonts w:ascii="Arial" w:cs="Arial" w:eastAsia="Arial" w:hAnsi="Arial"/>
          <w:sz w:val="16"/>
          <w:szCs w:val="16"/>
          <w:color w:val="auto"/>
        </w:rPr>
      </w:pPr>
    </w:p>
    <w:p>
      <w:pPr>
        <w:ind w:left="660" w:right="80" w:hanging="328"/>
        <w:spacing w:after="0" w:line="275"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“Submission” </w:t>
      </w:r>
      <w:r>
        <w:rPr>
          <w:rFonts w:ascii="Arial" w:cs="Arial" w:eastAsia="Arial" w:hAnsi="Arial"/>
          <w:sz w:val="16"/>
          <w:szCs w:val="16"/>
          <w:color w:val="auto"/>
        </w:rPr>
        <w:t>refers to either (i) a completed application with our licensed agent that is submitted to the health plan partner and subsequently</w:t>
      </w:r>
      <w:r>
        <w:rPr>
          <w:rFonts w:ascii="Arial" w:cs="Arial" w:eastAsia="Arial" w:hAnsi="Arial"/>
          <w:sz w:val="16"/>
          <w:szCs w:val="16"/>
          <w:i w:val="1"/>
          <w:iCs w:val="1"/>
          <w:color w:val="auto"/>
        </w:rPr>
        <w:t xml:space="preserve"> </w:t>
      </w:r>
      <w:r>
        <w:rPr>
          <w:rFonts w:ascii="Arial" w:cs="Arial" w:eastAsia="Arial" w:hAnsi="Arial"/>
          <w:sz w:val="16"/>
          <w:szCs w:val="16"/>
          <w:color w:val="auto"/>
        </w:rPr>
        <w:t>approved by the health plan partner during the indicated period, excluding applications through our Non-Encompass BPO Services or (ii) a transfer by our agent to the health plan partner through the Encompass operating model during the indicated period.</w:t>
      </w:r>
    </w:p>
    <w:p>
      <w:pPr>
        <w:spacing w:after="0" w:line="191"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color w:val="auto"/>
        </w:rPr>
        <w:t>Direct Operating Cost of Submission, Direct Operating Cost per Submission, Sales/Direct Operating Cost of Submission, Sales per Submission and Submissions are key operating metrics we use to understand our underlying financial performance and trends.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151D8E"/>
        </w:rPr>
        <w:t>Certain Definitions and Key Terms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As used in this press release, unless the context otherwise requires:</w:t>
      </w:r>
    </w:p>
    <w:p>
      <w:pPr>
        <w:spacing w:after="0" w:line="248" w:lineRule="exact"/>
        <w:rPr>
          <w:sz w:val="20"/>
          <w:szCs w:val="20"/>
          <w:color w:val="auto"/>
        </w:rPr>
      </w:pPr>
    </w:p>
    <w:p>
      <w:pPr>
        <w:jc w:val="both"/>
        <w:ind w:left="660" w:right="140" w:hanging="328"/>
        <w:spacing w:after="0" w:line="275" w:lineRule="auto"/>
        <w:tabs>
          <w:tab w:leader="none" w:pos="649"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“LTV” </w:t>
      </w:r>
      <w:r>
        <w:rPr>
          <w:rFonts w:ascii="Arial" w:cs="Arial" w:eastAsia="Arial" w:hAnsi="Arial"/>
          <w:sz w:val="16"/>
          <w:szCs w:val="16"/>
          <w:color w:val="auto"/>
        </w:rPr>
        <w:t>refers to the Lifetime Value of Commissions, which we define as aggregate commissions estimated to be collected over the estimated life of</w:t>
      </w:r>
      <w:r>
        <w:rPr>
          <w:rFonts w:ascii="Arial" w:cs="Arial" w:eastAsia="Arial" w:hAnsi="Arial"/>
          <w:sz w:val="16"/>
          <w:szCs w:val="16"/>
          <w:i w:val="1"/>
          <w:iCs w:val="1"/>
          <w:color w:val="auto"/>
        </w:rPr>
        <w:t xml:space="preserve"> </w:t>
      </w:r>
      <w:r>
        <w:rPr>
          <w:rFonts w:ascii="Arial" w:cs="Arial" w:eastAsia="Arial" w:hAnsi="Arial"/>
          <w:sz w:val="16"/>
          <w:szCs w:val="16"/>
          <w:color w:val="auto"/>
        </w:rPr>
        <w:t>all commissionable Submissions for the relevant period based on multiple factors, including but not limited to, contracted commission rates, health plan partner mix and expected policy persistency with applied constraints.</w:t>
      </w:r>
    </w:p>
    <w:p>
      <w:pPr>
        <w:spacing w:after="0" w:line="204" w:lineRule="exact"/>
        <w:rPr>
          <w:rFonts w:ascii="Arial" w:cs="Arial" w:eastAsia="Arial" w:hAnsi="Arial"/>
          <w:sz w:val="16"/>
          <w:szCs w:val="16"/>
          <w:i w:val="1"/>
          <w:iCs w:val="1"/>
          <w:color w:val="auto"/>
        </w:rPr>
      </w:pPr>
    </w:p>
    <w:p>
      <w:pPr>
        <w:ind w:left="660" w:right="380" w:hanging="328"/>
        <w:spacing w:after="0" w:line="286" w:lineRule="auto"/>
        <w:tabs>
          <w:tab w:leader="none" w:pos="649"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“Non-Encompass BPO Services” </w:t>
      </w:r>
      <w:r>
        <w:rPr>
          <w:rFonts w:ascii="Arial" w:cs="Arial" w:eastAsia="Arial" w:hAnsi="Arial"/>
          <w:sz w:val="16"/>
          <w:szCs w:val="16"/>
          <w:color w:val="auto"/>
        </w:rPr>
        <w:t>refer to programs in which GoHealth-employed agents are dedicated to certain health plans and agencies we</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with outside of the Encompass operating model.</w:t>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773"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The following tables set forth the components of our results of operations for the periods indicated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100" w:type="dxa"/>
            <w:vAlign w:val="bottom"/>
            <w:shd w:val="clear" w:color="auto" w:fill="B6B6B6"/>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gridSpan w:val="6"/>
          </w:tcPr>
          <w:p>
            <w:pPr>
              <w:ind w:left="80"/>
              <w:spacing w:after="0"/>
              <w:rPr>
                <w:sz w:val="20"/>
                <w:szCs w:val="20"/>
                <w:color w:val="auto"/>
              </w:rPr>
            </w:pPr>
            <w:r>
              <w:rPr>
                <w:rFonts w:ascii="Arial" w:cs="Arial" w:eastAsia="Arial" w:hAnsi="Arial"/>
                <w:sz w:val="13"/>
                <w:szCs w:val="13"/>
                <w:b w:val="1"/>
                <w:bCs w:val="1"/>
                <w:color w:val="auto"/>
              </w:rPr>
              <w:t>Three months ended Dec. 31,</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400" w:type="dxa"/>
            <w:vAlign w:val="bottom"/>
          </w:tcPr>
          <w:p>
            <w:pPr>
              <w:spacing w:after="0"/>
              <w:rPr>
                <w:sz w:val="15"/>
                <w:szCs w:val="15"/>
                <w:color w:val="auto"/>
              </w:rPr>
            </w:pPr>
          </w:p>
        </w:tc>
        <w:tc>
          <w:tcPr>
            <w:tcW w:w="100" w:type="dxa"/>
            <w:vAlign w:val="bottom"/>
            <w:tcBorders>
              <w:bottom w:val="single" w:sz="8" w:color="B6B6B6"/>
            </w:tcBorders>
            <w:shd w:val="clear" w:color="auto" w:fill="B6B6B6"/>
          </w:tcPr>
          <w:p>
            <w:pPr>
              <w:spacing w:after="0"/>
              <w:rPr>
                <w:sz w:val="15"/>
                <w:szCs w:val="15"/>
                <w:color w:val="auto"/>
              </w:rPr>
            </w:pPr>
          </w:p>
        </w:tc>
        <w:tc>
          <w:tcPr>
            <w:tcW w:w="220" w:type="dxa"/>
            <w:vAlign w:val="bottom"/>
            <w:tcBorders>
              <w:bottom w:val="single" w:sz="8" w:color="B6B6B6"/>
            </w:tcBorders>
          </w:tcPr>
          <w:p>
            <w:pPr>
              <w:spacing w:after="0"/>
              <w:rPr>
                <w:sz w:val="15"/>
                <w:szCs w:val="15"/>
                <w:color w:val="auto"/>
              </w:rPr>
            </w:pPr>
          </w:p>
        </w:tc>
        <w:tc>
          <w:tcPr>
            <w:tcW w:w="1100" w:type="dxa"/>
            <w:vAlign w:val="bottom"/>
            <w:tcBorders>
              <w:bottom w:val="single" w:sz="8" w:color="B6B6B6"/>
            </w:tcBorders>
            <w:gridSpan w:val="3"/>
          </w:tcPr>
          <w:p>
            <w:pPr>
              <w:jc w:val="right"/>
              <w:ind w:right="60"/>
              <w:spacing w:after="0"/>
              <w:rPr>
                <w:sz w:val="20"/>
                <w:szCs w:val="20"/>
                <w:color w:val="auto"/>
              </w:rPr>
            </w:pPr>
            <w:r>
              <w:rPr>
                <w:rFonts w:ascii="Arial" w:cs="Arial" w:eastAsia="Arial" w:hAnsi="Arial"/>
                <w:sz w:val="13"/>
                <w:szCs w:val="13"/>
                <w:b w:val="1"/>
                <w:bCs w:val="1"/>
                <w:color w:val="auto"/>
              </w:rPr>
              <w:t>2024</w:t>
            </w:r>
          </w:p>
        </w:tc>
        <w:tc>
          <w:tcPr>
            <w:tcW w:w="900" w:type="dxa"/>
            <w:vAlign w:val="bottom"/>
            <w:tcBorders>
              <w:bottom w:val="single" w:sz="8" w:color="B6B6B6"/>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B6B6B6"/>
            </w:tcBorders>
          </w:tcPr>
          <w:p>
            <w:pPr>
              <w:spacing w:after="0"/>
              <w:rPr>
                <w:sz w:val="15"/>
                <w:szCs w:val="15"/>
                <w:color w:val="auto"/>
              </w:rPr>
            </w:pPr>
          </w:p>
        </w:tc>
        <w:tc>
          <w:tcPr>
            <w:tcW w:w="1120" w:type="dxa"/>
            <w:vAlign w:val="bottom"/>
            <w:tcBorders>
              <w:bottom w:val="single" w:sz="8" w:color="B6B6B6"/>
            </w:tcBorders>
            <w:gridSpan w:val="3"/>
          </w:tcPr>
          <w:p>
            <w:pPr>
              <w:jc w:val="right"/>
              <w:ind w:right="80"/>
              <w:spacing w:after="0"/>
              <w:rPr>
                <w:sz w:val="20"/>
                <w:szCs w:val="20"/>
                <w:color w:val="auto"/>
              </w:rPr>
            </w:pPr>
            <w:r>
              <w:rPr>
                <w:rFonts w:ascii="Arial" w:cs="Arial" w:eastAsia="Arial" w:hAnsi="Arial"/>
                <w:sz w:val="13"/>
                <w:szCs w:val="13"/>
                <w:b w:val="1"/>
                <w:bCs w:val="1"/>
                <w:color w:val="auto"/>
              </w:rPr>
              <w:t>2023</w:t>
            </w:r>
          </w:p>
        </w:tc>
        <w:tc>
          <w:tcPr>
            <w:tcW w:w="900" w:type="dxa"/>
            <w:vAlign w:val="bottom"/>
            <w:tcBorders>
              <w:bottom w:val="single" w:sz="8" w:color="B6B6B6"/>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400" w:type="dxa"/>
            <w:vAlign w:val="bottom"/>
          </w:tcPr>
          <w:p>
            <w:pPr>
              <w:spacing w:after="0"/>
              <w:rPr>
                <w:sz w:val="11"/>
                <w:szCs w:val="11"/>
                <w:color w:val="auto"/>
              </w:rPr>
            </w:pPr>
          </w:p>
        </w:tc>
        <w:tc>
          <w:tcPr>
            <w:tcW w:w="100" w:type="dxa"/>
            <w:vAlign w:val="bottom"/>
            <w:shd w:val="clear" w:color="auto" w:fill="B6B6B6"/>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3"/>
            <w:vMerge w:val="restart"/>
          </w:tcPr>
          <w:p>
            <w:pPr>
              <w:jc w:val="right"/>
              <w:ind w:right="560"/>
              <w:spacing w:after="0"/>
              <w:rPr>
                <w:sz w:val="20"/>
                <w:szCs w:val="20"/>
                <w:color w:val="auto"/>
              </w:rPr>
            </w:pPr>
            <w:r>
              <w:rPr>
                <w:rFonts w:ascii="Arial" w:cs="Arial" w:eastAsia="Arial" w:hAnsi="Arial"/>
                <w:sz w:val="13"/>
                <w:szCs w:val="13"/>
                <w:b w:val="1"/>
                <w:bCs w:val="1"/>
                <w:color w:val="auto"/>
              </w:rPr>
              <w:t>Dollars</w:t>
            </w:r>
          </w:p>
        </w:tc>
        <w:tc>
          <w:tcPr>
            <w:tcW w:w="900" w:type="dxa"/>
            <w:vAlign w:val="bottom"/>
          </w:tcPr>
          <w:p>
            <w:pPr>
              <w:jc w:val="right"/>
              <w:ind w:right="197"/>
              <w:spacing w:after="0" w:line="128" w:lineRule="exact"/>
              <w:rPr>
                <w:sz w:val="20"/>
                <w:szCs w:val="20"/>
                <w:color w:val="auto"/>
              </w:rPr>
            </w:pPr>
            <w:r>
              <w:rPr>
                <w:rFonts w:ascii="Arial" w:cs="Arial" w:eastAsia="Arial" w:hAnsi="Arial"/>
                <w:sz w:val="13"/>
                <w:szCs w:val="13"/>
                <w:b w:val="1"/>
                <w:bCs w:val="1"/>
                <w:color w:val="auto"/>
              </w:rPr>
              <w:t>% of Net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vMerge w:val="restart"/>
          </w:tcPr>
          <w:p>
            <w:pPr>
              <w:jc w:val="right"/>
              <w:ind w:right="560"/>
              <w:spacing w:after="0"/>
              <w:rPr>
                <w:sz w:val="20"/>
                <w:szCs w:val="20"/>
                <w:color w:val="auto"/>
              </w:rPr>
            </w:pPr>
            <w:r>
              <w:rPr>
                <w:rFonts w:ascii="Arial" w:cs="Arial" w:eastAsia="Arial" w:hAnsi="Arial"/>
                <w:sz w:val="13"/>
                <w:szCs w:val="13"/>
                <w:b w:val="1"/>
                <w:bCs w:val="1"/>
                <w:color w:val="auto"/>
              </w:rPr>
              <w:t>Dollars</w:t>
            </w:r>
          </w:p>
        </w:tc>
        <w:tc>
          <w:tcPr>
            <w:tcW w:w="900" w:type="dxa"/>
            <w:vAlign w:val="bottom"/>
          </w:tcPr>
          <w:p>
            <w:pPr>
              <w:jc w:val="center"/>
              <w:ind w:right="57"/>
              <w:spacing w:after="0" w:line="128" w:lineRule="exact"/>
              <w:rPr>
                <w:sz w:val="20"/>
                <w:szCs w:val="20"/>
                <w:color w:val="auto"/>
              </w:rPr>
            </w:pPr>
            <w:r>
              <w:rPr>
                <w:rFonts w:ascii="Arial" w:cs="Arial" w:eastAsia="Arial" w:hAnsi="Arial"/>
                <w:sz w:val="13"/>
                <w:szCs w:val="13"/>
                <w:b w:val="1"/>
                <w:bCs w:val="1"/>
                <w:color w:val="auto"/>
                <w:w w:val="96"/>
              </w:rPr>
              <w:t>% of Net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 Change</w:t>
            </w:r>
          </w:p>
        </w:tc>
        <w:tc>
          <w:tcPr>
            <w:tcW w:w="102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96"/>
        </w:trPr>
        <w:tc>
          <w:tcPr>
            <w:tcW w:w="4400" w:type="dxa"/>
            <w:vAlign w:val="bottom"/>
          </w:tcPr>
          <w:p>
            <w:pPr>
              <w:ind w:left="20"/>
              <w:spacing w:after="0"/>
              <w:rPr>
                <w:sz w:val="20"/>
                <w:szCs w:val="20"/>
                <w:color w:val="auto"/>
              </w:rPr>
            </w:pPr>
            <w:r>
              <w:rPr>
                <w:rFonts w:ascii="Arial" w:cs="Arial" w:eastAsia="Arial" w:hAnsi="Arial"/>
                <w:sz w:val="13"/>
                <w:szCs w:val="13"/>
                <w:color w:val="auto"/>
              </w:rPr>
              <w:t>(in thousands, except percentages and per share amounts)</w:t>
            </w:r>
          </w:p>
        </w:tc>
        <w:tc>
          <w:tcPr>
            <w:tcW w:w="100" w:type="dxa"/>
            <w:vAlign w:val="bottom"/>
            <w:shd w:val="clear" w:color="auto" w:fill="B6B6B6"/>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3"/>
            <w:vMerge w:val="continue"/>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Arial" w:cs="Arial" w:eastAsia="Arial" w:hAnsi="Arial"/>
                <w:sz w:val="13"/>
                <w:szCs w:val="13"/>
                <w:b w:val="1"/>
                <w:bCs w:val="1"/>
                <w:color w:val="auto"/>
              </w:rPr>
              <w:t>Revenues</w:t>
            </w:r>
          </w:p>
        </w:tc>
        <w:tc>
          <w:tcPr>
            <w:tcW w:w="20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Revenues</w:t>
            </w:r>
          </w:p>
        </w:tc>
        <w:tc>
          <w:tcPr>
            <w:tcW w:w="1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400" w:type="dxa"/>
            <w:vAlign w:val="bottom"/>
            <w:tcBorders>
              <w:top w:val="single" w:sz="8" w:color="B6B6B6"/>
            </w:tcBorders>
          </w:tcPr>
          <w:p>
            <w:pPr>
              <w:ind w:left="20"/>
              <w:spacing w:after="0" w:line="144" w:lineRule="exact"/>
              <w:rPr>
                <w:sz w:val="20"/>
                <w:szCs w:val="20"/>
                <w:color w:val="auto"/>
              </w:rPr>
            </w:pPr>
            <w:r>
              <w:rPr>
                <w:rFonts w:ascii="Arial" w:cs="Arial" w:eastAsia="Arial" w:hAnsi="Arial"/>
                <w:sz w:val="13"/>
                <w:szCs w:val="13"/>
                <w:color w:val="auto"/>
              </w:rPr>
              <w:t>Net revenues</w:t>
            </w:r>
          </w:p>
        </w:tc>
        <w:tc>
          <w:tcPr>
            <w:tcW w:w="100" w:type="dxa"/>
            <w:vAlign w:val="bottom"/>
            <w:tcBorders>
              <w:top w:val="single" w:sz="8" w:color="B6B6B6"/>
            </w:tcBorders>
            <w:shd w:val="clear" w:color="auto" w:fill="B6B6B6"/>
          </w:tcPr>
          <w:p>
            <w:pPr>
              <w:spacing w:after="0"/>
              <w:rPr>
                <w:sz w:val="12"/>
                <w:szCs w:val="12"/>
                <w:color w:val="auto"/>
              </w:rPr>
            </w:pPr>
          </w:p>
        </w:tc>
        <w:tc>
          <w:tcPr>
            <w:tcW w:w="220" w:type="dxa"/>
            <w:vAlign w:val="bottom"/>
            <w:tcBorders>
              <w:top w:val="single" w:sz="8" w:color="B6B6B6"/>
            </w:tcBorders>
          </w:tcPr>
          <w:p>
            <w:pPr>
              <w:jc w:val="right"/>
              <w:ind w:right="57"/>
              <w:spacing w:after="0" w:line="144" w:lineRule="exact"/>
              <w:rPr>
                <w:sz w:val="20"/>
                <w:szCs w:val="20"/>
                <w:color w:val="auto"/>
              </w:rPr>
            </w:pPr>
            <w:r>
              <w:rPr>
                <w:rFonts w:ascii="Arial" w:cs="Arial" w:eastAsia="Arial" w:hAnsi="Arial"/>
                <w:sz w:val="13"/>
                <w:szCs w:val="13"/>
                <w:color w:val="auto"/>
              </w:rPr>
              <w:t>$</w:t>
            </w:r>
          </w:p>
        </w:tc>
        <w:tc>
          <w:tcPr>
            <w:tcW w:w="880" w:type="dxa"/>
            <w:vAlign w:val="bottom"/>
            <w:tcBorders>
              <w:top w:val="single" w:sz="8" w:color="B6B6B6"/>
            </w:tcBorders>
          </w:tcPr>
          <w:p>
            <w:pPr>
              <w:jc w:val="right"/>
              <w:ind w:right="117"/>
              <w:spacing w:after="0" w:line="144" w:lineRule="exact"/>
              <w:rPr>
                <w:sz w:val="20"/>
                <w:szCs w:val="20"/>
                <w:color w:val="auto"/>
              </w:rPr>
            </w:pPr>
            <w:r>
              <w:rPr>
                <w:rFonts w:ascii="Arial" w:cs="Arial" w:eastAsia="Arial" w:hAnsi="Arial"/>
                <w:sz w:val="13"/>
                <w:szCs w:val="13"/>
                <w:color w:val="auto"/>
              </w:rPr>
              <w:t>389,132</w:t>
            </w:r>
          </w:p>
        </w:tc>
        <w:tc>
          <w:tcPr>
            <w:tcW w:w="100" w:type="dxa"/>
            <w:vAlign w:val="bottom"/>
          </w:tcPr>
          <w:p>
            <w:pPr>
              <w:spacing w:after="0"/>
              <w:rPr>
                <w:sz w:val="12"/>
                <w:szCs w:val="12"/>
                <w:color w:val="auto"/>
              </w:rPr>
            </w:pPr>
          </w:p>
        </w:tc>
        <w:tc>
          <w:tcPr>
            <w:tcW w:w="120" w:type="dxa"/>
            <w:vAlign w:val="bottom"/>
            <w:tcBorders>
              <w:top w:val="single" w:sz="8" w:color="B6B6B6"/>
            </w:tcBorders>
          </w:tcPr>
          <w:p>
            <w:pPr>
              <w:spacing w:after="0"/>
              <w:rPr>
                <w:sz w:val="12"/>
                <w:szCs w:val="12"/>
                <w:color w:val="auto"/>
              </w:rPr>
            </w:pPr>
          </w:p>
        </w:tc>
        <w:tc>
          <w:tcPr>
            <w:tcW w:w="900" w:type="dxa"/>
            <w:vAlign w:val="bottom"/>
            <w:tcBorders>
              <w:top w:val="single" w:sz="8" w:color="B6B6B6"/>
            </w:tcBorders>
          </w:tcPr>
          <w:p>
            <w:pPr>
              <w:jc w:val="right"/>
              <w:spacing w:after="0" w:line="144" w:lineRule="exact"/>
              <w:rPr>
                <w:sz w:val="20"/>
                <w:szCs w:val="20"/>
                <w:color w:val="auto"/>
              </w:rPr>
            </w:pPr>
            <w:r>
              <w:rPr>
                <w:rFonts w:ascii="Arial" w:cs="Arial" w:eastAsia="Arial" w:hAnsi="Arial"/>
                <w:sz w:val="13"/>
                <w:szCs w:val="13"/>
                <w:color w:val="auto"/>
              </w:rPr>
              <w:t>100.0 %</w:t>
            </w:r>
          </w:p>
        </w:tc>
        <w:tc>
          <w:tcPr>
            <w:tcW w:w="100" w:type="dxa"/>
            <w:vAlign w:val="bottom"/>
          </w:tcPr>
          <w:p>
            <w:pPr>
              <w:spacing w:after="0"/>
              <w:rPr>
                <w:sz w:val="12"/>
                <w:szCs w:val="12"/>
                <w:color w:val="auto"/>
              </w:rPr>
            </w:pPr>
          </w:p>
        </w:tc>
        <w:tc>
          <w:tcPr>
            <w:tcW w:w="200" w:type="dxa"/>
            <w:vAlign w:val="bottom"/>
            <w:tcBorders>
              <w:top w:val="single" w:sz="8" w:color="B6B6B6"/>
            </w:tcBorders>
          </w:tcPr>
          <w:p>
            <w:pPr>
              <w:jc w:val="right"/>
              <w:ind w:right="57"/>
              <w:spacing w:after="0" w:line="144" w:lineRule="exact"/>
              <w:rPr>
                <w:sz w:val="20"/>
                <w:szCs w:val="20"/>
                <w:color w:val="auto"/>
              </w:rPr>
            </w:pPr>
            <w:r>
              <w:rPr>
                <w:rFonts w:ascii="Arial" w:cs="Arial" w:eastAsia="Arial" w:hAnsi="Arial"/>
                <w:sz w:val="13"/>
                <w:szCs w:val="13"/>
                <w:color w:val="auto"/>
                <w:w w:val="82"/>
              </w:rPr>
              <w:t>$</w:t>
            </w:r>
          </w:p>
        </w:tc>
        <w:tc>
          <w:tcPr>
            <w:tcW w:w="900" w:type="dxa"/>
            <w:vAlign w:val="bottom"/>
            <w:tcBorders>
              <w:top w:val="single" w:sz="8" w:color="B6B6B6"/>
            </w:tcBorders>
          </w:tcPr>
          <w:p>
            <w:pPr>
              <w:jc w:val="right"/>
              <w:ind w:right="117"/>
              <w:spacing w:after="0" w:line="144" w:lineRule="exact"/>
              <w:rPr>
                <w:sz w:val="20"/>
                <w:szCs w:val="20"/>
                <w:color w:val="auto"/>
              </w:rPr>
            </w:pPr>
            <w:r>
              <w:rPr>
                <w:rFonts w:ascii="Arial" w:cs="Arial" w:eastAsia="Arial" w:hAnsi="Arial"/>
                <w:sz w:val="13"/>
                <w:szCs w:val="13"/>
                <w:color w:val="auto"/>
              </w:rPr>
              <w:t>276,697</w:t>
            </w:r>
          </w:p>
        </w:tc>
        <w:tc>
          <w:tcPr>
            <w:tcW w:w="100" w:type="dxa"/>
            <w:vAlign w:val="bottom"/>
          </w:tcPr>
          <w:p>
            <w:pPr>
              <w:spacing w:after="0"/>
              <w:rPr>
                <w:sz w:val="12"/>
                <w:szCs w:val="12"/>
                <w:color w:val="auto"/>
              </w:rPr>
            </w:pPr>
          </w:p>
        </w:tc>
        <w:tc>
          <w:tcPr>
            <w:tcW w:w="120" w:type="dxa"/>
            <w:vAlign w:val="bottom"/>
            <w:tcBorders>
              <w:top w:val="single" w:sz="8" w:color="B6B6B6"/>
            </w:tcBorders>
          </w:tcPr>
          <w:p>
            <w:pPr>
              <w:spacing w:after="0"/>
              <w:rPr>
                <w:sz w:val="12"/>
                <w:szCs w:val="12"/>
                <w:color w:val="auto"/>
              </w:rPr>
            </w:pPr>
          </w:p>
        </w:tc>
        <w:tc>
          <w:tcPr>
            <w:tcW w:w="900" w:type="dxa"/>
            <w:vAlign w:val="bottom"/>
            <w:tcBorders>
              <w:top w:val="single" w:sz="8" w:color="B6B6B6"/>
            </w:tcBorders>
          </w:tcPr>
          <w:p>
            <w:pPr>
              <w:jc w:val="right"/>
              <w:spacing w:after="0" w:line="144" w:lineRule="exact"/>
              <w:rPr>
                <w:sz w:val="20"/>
                <w:szCs w:val="20"/>
                <w:color w:val="auto"/>
              </w:rPr>
            </w:pPr>
            <w:r>
              <w:rPr>
                <w:rFonts w:ascii="Arial" w:cs="Arial" w:eastAsia="Arial" w:hAnsi="Arial"/>
                <w:sz w:val="13"/>
                <w:szCs w:val="13"/>
                <w:color w:val="auto"/>
              </w:rPr>
              <w:t>100.0 %</w:t>
            </w:r>
          </w:p>
        </w:tc>
        <w:tc>
          <w:tcPr>
            <w:tcW w:w="100" w:type="dxa"/>
            <w:vAlign w:val="bottom"/>
          </w:tcPr>
          <w:p>
            <w:pPr>
              <w:spacing w:after="0"/>
              <w:rPr>
                <w:sz w:val="12"/>
                <w:szCs w:val="12"/>
                <w:color w:val="auto"/>
              </w:rPr>
            </w:pPr>
          </w:p>
        </w:tc>
        <w:tc>
          <w:tcPr>
            <w:tcW w:w="140" w:type="dxa"/>
            <w:vAlign w:val="bottom"/>
            <w:tcBorders>
              <w:top w:val="single" w:sz="8" w:color="B6B6B6"/>
            </w:tcBorders>
          </w:tcPr>
          <w:p>
            <w:pPr>
              <w:jc w:val="right"/>
              <w:spacing w:after="0" w:line="144" w:lineRule="exact"/>
              <w:rPr>
                <w:sz w:val="20"/>
                <w:szCs w:val="20"/>
                <w:color w:val="auto"/>
              </w:rPr>
            </w:pPr>
            <w:r>
              <w:rPr>
                <w:rFonts w:ascii="Arial" w:cs="Arial" w:eastAsia="Arial" w:hAnsi="Arial"/>
                <w:sz w:val="13"/>
                <w:szCs w:val="13"/>
                <w:color w:val="auto"/>
                <w:w w:val="82"/>
              </w:rPr>
              <w:t>$</w:t>
            </w:r>
          </w:p>
        </w:tc>
        <w:tc>
          <w:tcPr>
            <w:tcW w:w="860" w:type="dxa"/>
            <w:vAlign w:val="bottom"/>
            <w:tcBorders>
              <w:top w:val="single" w:sz="8" w:color="B6B6B6"/>
            </w:tcBorders>
          </w:tcPr>
          <w:p>
            <w:pPr>
              <w:jc w:val="right"/>
              <w:spacing w:after="0" w:line="144" w:lineRule="exact"/>
              <w:rPr>
                <w:sz w:val="20"/>
                <w:szCs w:val="20"/>
                <w:color w:val="auto"/>
              </w:rPr>
            </w:pPr>
            <w:r>
              <w:rPr>
                <w:rFonts w:ascii="Arial" w:cs="Arial" w:eastAsia="Arial" w:hAnsi="Arial"/>
                <w:sz w:val="13"/>
                <w:szCs w:val="13"/>
                <w:color w:val="auto"/>
              </w:rPr>
              <w:t>112,435</w:t>
            </w:r>
          </w:p>
        </w:tc>
        <w:tc>
          <w:tcPr>
            <w:tcW w:w="80" w:type="dxa"/>
            <w:vAlign w:val="bottom"/>
          </w:tcPr>
          <w:p>
            <w:pPr>
              <w:spacing w:after="0"/>
              <w:rPr>
                <w:sz w:val="12"/>
                <w:szCs w:val="12"/>
                <w:color w:val="auto"/>
              </w:rPr>
            </w:pPr>
          </w:p>
        </w:tc>
        <w:tc>
          <w:tcPr>
            <w:tcW w:w="1020" w:type="dxa"/>
            <w:vAlign w:val="bottom"/>
            <w:tcBorders>
              <w:top w:val="single" w:sz="8" w:color="B6B6B6"/>
            </w:tcBorders>
          </w:tcPr>
          <w:p>
            <w:pPr>
              <w:jc w:val="right"/>
              <w:spacing w:after="0" w:line="144" w:lineRule="exact"/>
              <w:rPr>
                <w:sz w:val="20"/>
                <w:szCs w:val="20"/>
                <w:color w:val="auto"/>
              </w:rPr>
            </w:pPr>
            <w:r>
              <w:rPr>
                <w:rFonts w:ascii="Arial" w:cs="Arial" w:eastAsia="Arial" w:hAnsi="Arial"/>
                <w:sz w:val="13"/>
                <w:szCs w:val="13"/>
                <w:color w:val="auto"/>
              </w:rPr>
              <w:t>40.6 %</w:t>
            </w:r>
          </w:p>
        </w:tc>
        <w:tc>
          <w:tcPr>
            <w:tcW w:w="0" w:type="dxa"/>
            <w:vAlign w:val="bottom"/>
          </w:tcPr>
          <w:p>
            <w:pPr>
              <w:spacing w:after="0"/>
              <w:rPr>
                <w:sz w:val="1"/>
                <w:szCs w:val="1"/>
                <w:color w:val="auto"/>
              </w:rPr>
            </w:pPr>
          </w:p>
        </w:tc>
      </w:tr>
      <w:tr>
        <w:trPr>
          <w:trHeight w:val="171"/>
        </w:trPr>
        <w:tc>
          <w:tcPr>
            <w:tcW w:w="4400" w:type="dxa"/>
            <w:vAlign w:val="bottom"/>
          </w:tcPr>
          <w:p>
            <w:pPr>
              <w:ind w:left="20"/>
              <w:spacing w:after="0"/>
              <w:rPr>
                <w:sz w:val="20"/>
                <w:szCs w:val="20"/>
                <w:color w:val="auto"/>
              </w:rPr>
            </w:pPr>
            <w:r>
              <w:rPr>
                <w:rFonts w:ascii="Arial" w:cs="Arial" w:eastAsia="Arial" w:hAnsi="Arial"/>
                <w:sz w:val="13"/>
                <w:szCs w:val="13"/>
                <w:i w:val="1"/>
                <w:iCs w:val="1"/>
                <w:color w:val="auto"/>
              </w:rPr>
              <w:t>Operating expenses:</w:t>
            </w:r>
          </w:p>
        </w:tc>
        <w:tc>
          <w:tcPr>
            <w:tcW w:w="100" w:type="dxa"/>
            <w:vAlign w:val="bottom"/>
            <w:shd w:val="clear" w:color="auto" w:fill="B6B6B6"/>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00" w:type="dxa"/>
            <w:vAlign w:val="bottom"/>
          </w:tcPr>
          <w:p>
            <w:pPr>
              <w:ind w:left="240"/>
              <w:spacing w:after="0"/>
              <w:rPr>
                <w:sz w:val="20"/>
                <w:szCs w:val="20"/>
                <w:color w:val="auto"/>
              </w:rPr>
            </w:pPr>
            <w:r>
              <w:rPr>
                <w:rFonts w:ascii="Arial" w:cs="Arial" w:eastAsia="Arial" w:hAnsi="Arial"/>
                <w:sz w:val="13"/>
                <w:szCs w:val="13"/>
                <w:color w:val="auto"/>
              </w:rPr>
              <w:t>Revenue share</w:t>
            </w:r>
          </w:p>
        </w:tc>
        <w:tc>
          <w:tcPr>
            <w:tcW w:w="100" w:type="dxa"/>
            <w:vAlign w:val="bottom"/>
            <w:shd w:val="clear" w:color="auto" w:fill="B6B6B6"/>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52,236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13.4 %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41,085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14.8 %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11,151</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27.1 %</w:t>
            </w:r>
          </w:p>
        </w:tc>
        <w:tc>
          <w:tcPr>
            <w:tcW w:w="0" w:type="dxa"/>
            <w:vAlign w:val="bottom"/>
          </w:tcPr>
          <w:p>
            <w:pPr>
              <w:spacing w:after="0"/>
              <w:rPr>
                <w:sz w:val="1"/>
                <w:szCs w:val="1"/>
                <w:color w:val="auto"/>
              </w:rPr>
            </w:pPr>
          </w:p>
        </w:tc>
      </w:tr>
      <w:tr>
        <w:trPr>
          <w:trHeight w:val="176"/>
        </w:trPr>
        <w:tc>
          <w:tcPr>
            <w:tcW w:w="4400" w:type="dxa"/>
            <w:vAlign w:val="bottom"/>
          </w:tcPr>
          <w:p>
            <w:pPr>
              <w:ind w:left="240"/>
              <w:spacing w:after="0"/>
              <w:rPr>
                <w:sz w:val="20"/>
                <w:szCs w:val="20"/>
                <w:color w:val="auto"/>
              </w:rPr>
            </w:pPr>
            <w:r>
              <w:rPr>
                <w:rFonts w:ascii="Arial" w:cs="Arial" w:eastAsia="Arial" w:hAnsi="Arial"/>
                <w:sz w:val="13"/>
                <w:szCs w:val="13"/>
                <w:color w:val="auto"/>
              </w:rPr>
              <w:t>Marketing and advertising expense</w:t>
            </w:r>
          </w:p>
        </w:tc>
        <w:tc>
          <w:tcPr>
            <w:tcW w:w="100" w:type="dxa"/>
            <w:vAlign w:val="bottom"/>
            <w:shd w:val="clear" w:color="auto" w:fill="B6B6B6"/>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99,647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25.6 %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80,614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29.1 %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19,033</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23.6 %</w:t>
            </w:r>
          </w:p>
        </w:tc>
        <w:tc>
          <w:tcPr>
            <w:tcW w:w="0" w:type="dxa"/>
            <w:vAlign w:val="bottom"/>
          </w:tcPr>
          <w:p>
            <w:pPr>
              <w:spacing w:after="0"/>
              <w:rPr>
                <w:sz w:val="1"/>
                <w:szCs w:val="1"/>
                <w:color w:val="auto"/>
              </w:rPr>
            </w:pPr>
          </w:p>
        </w:tc>
      </w:tr>
      <w:tr>
        <w:trPr>
          <w:trHeight w:val="175"/>
        </w:trPr>
        <w:tc>
          <w:tcPr>
            <w:tcW w:w="4400" w:type="dxa"/>
            <w:vAlign w:val="bottom"/>
          </w:tcPr>
          <w:p>
            <w:pPr>
              <w:ind w:left="240"/>
              <w:spacing w:after="0"/>
              <w:rPr>
                <w:sz w:val="20"/>
                <w:szCs w:val="20"/>
                <w:color w:val="auto"/>
              </w:rPr>
            </w:pPr>
            <w:r>
              <w:rPr>
                <w:rFonts w:ascii="Arial" w:cs="Arial" w:eastAsia="Arial" w:hAnsi="Arial"/>
                <w:sz w:val="13"/>
                <w:szCs w:val="13"/>
                <w:color w:val="auto"/>
              </w:rPr>
              <w:t>Consumer care and enrollment</w:t>
            </w:r>
          </w:p>
        </w:tc>
        <w:tc>
          <w:tcPr>
            <w:tcW w:w="100" w:type="dxa"/>
            <w:vAlign w:val="bottom"/>
            <w:shd w:val="clear" w:color="auto" w:fill="B6B6B6"/>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89,683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23.0 %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75,199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27.2 %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14,484</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19.3 %</w:t>
            </w:r>
          </w:p>
        </w:tc>
        <w:tc>
          <w:tcPr>
            <w:tcW w:w="0" w:type="dxa"/>
            <w:vAlign w:val="bottom"/>
          </w:tcPr>
          <w:p>
            <w:pPr>
              <w:spacing w:after="0"/>
              <w:rPr>
                <w:sz w:val="1"/>
                <w:szCs w:val="1"/>
                <w:color w:val="auto"/>
              </w:rPr>
            </w:pPr>
          </w:p>
        </w:tc>
      </w:tr>
      <w:tr>
        <w:trPr>
          <w:trHeight w:val="176"/>
        </w:trPr>
        <w:tc>
          <w:tcPr>
            <w:tcW w:w="4400" w:type="dxa"/>
            <w:vAlign w:val="bottom"/>
          </w:tcPr>
          <w:p>
            <w:pPr>
              <w:ind w:left="240"/>
              <w:spacing w:after="0"/>
              <w:rPr>
                <w:sz w:val="20"/>
                <w:szCs w:val="20"/>
                <w:color w:val="auto"/>
              </w:rPr>
            </w:pPr>
            <w:r>
              <w:rPr>
                <w:rFonts w:ascii="Arial" w:cs="Arial" w:eastAsia="Arial" w:hAnsi="Arial"/>
                <w:sz w:val="13"/>
                <w:szCs w:val="13"/>
                <w:color w:val="auto"/>
              </w:rPr>
              <w:t>Technology expense</w:t>
            </w:r>
          </w:p>
        </w:tc>
        <w:tc>
          <w:tcPr>
            <w:tcW w:w="100" w:type="dxa"/>
            <w:vAlign w:val="bottom"/>
            <w:shd w:val="clear" w:color="auto" w:fill="B6B6B6"/>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12,125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11,596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4.2 %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529</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4.6 %</w:t>
            </w:r>
          </w:p>
        </w:tc>
        <w:tc>
          <w:tcPr>
            <w:tcW w:w="0" w:type="dxa"/>
            <w:vAlign w:val="bottom"/>
          </w:tcPr>
          <w:p>
            <w:pPr>
              <w:spacing w:after="0"/>
              <w:rPr>
                <w:sz w:val="1"/>
                <w:szCs w:val="1"/>
                <w:color w:val="auto"/>
              </w:rPr>
            </w:pPr>
          </w:p>
        </w:tc>
      </w:tr>
      <w:tr>
        <w:trPr>
          <w:trHeight w:val="176"/>
        </w:trPr>
        <w:tc>
          <w:tcPr>
            <w:tcW w:w="4400" w:type="dxa"/>
            <w:vAlign w:val="bottom"/>
          </w:tcPr>
          <w:p>
            <w:pPr>
              <w:ind w:left="240"/>
              <w:spacing w:after="0"/>
              <w:rPr>
                <w:sz w:val="20"/>
                <w:szCs w:val="20"/>
                <w:color w:val="auto"/>
              </w:rPr>
            </w:pPr>
            <w:r>
              <w:rPr>
                <w:rFonts w:ascii="Arial" w:cs="Arial" w:eastAsia="Arial" w:hAnsi="Arial"/>
                <w:sz w:val="13"/>
                <w:szCs w:val="13"/>
                <w:color w:val="auto"/>
              </w:rPr>
              <w:t>General and administrative</w:t>
            </w:r>
          </w:p>
        </w:tc>
        <w:tc>
          <w:tcPr>
            <w:tcW w:w="100" w:type="dxa"/>
            <w:vAlign w:val="bottom"/>
            <w:shd w:val="clear" w:color="auto" w:fill="B6B6B6"/>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31,659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8.1 %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19,629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7.1 %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12,030</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61.3 %</w:t>
            </w:r>
          </w:p>
        </w:tc>
        <w:tc>
          <w:tcPr>
            <w:tcW w:w="0" w:type="dxa"/>
            <w:vAlign w:val="bottom"/>
          </w:tcPr>
          <w:p>
            <w:pPr>
              <w:spacing w:after="0"/>
              <w:rPr>
                <w:sz w:val="1"/>
                <w:szCs w:val="1"/>
                <w:color w:val="auto"/>
              </w:rPr>
            </w:pPr>
          </w:p>
        </w:tc>
      </w:tr>
      <w:tr>
        <w:trPr>
          <w:trHeight w:val="175"/>
        </w:trPr>
        <w:tc>
          <w:tcPr>
            <w:tcW w:w="4400" w:type="dxa"/>
            <w:vAlign w:val="bottom"/>
          </w:tcPr>
          <w:p>
            <w:pPr>
              <w:ind w:left="240"/>
              <w:spacing w:after="0"/>
              <w:rPr>
                <w:sz w:val="20"/>
                <w:szCs w:val="20"/>
                <w:color w:val="auto"/>
              </w:rPr>
            </w:pPr>
            <w:r>
              <w:rPr>
                <w:rFonts w:ascii="Arial" w:cs="Arial" w:eastAsia="Arial" w:hAnsi="Arial"/>
                <w:sz w:val="13"/>
                <w:szCs w:val="13"/>
                <w:color w:val="auto"/>
              </w:rPr>
              <w:t>Amortization of intangible assets</w:t>
            </w:r>
          </w:p>
        </w:tc>
        <w:tc>
          <w:tcPr>
            <w:tcW w:w="100" w:type="dxa"/>
            <w:vAlign w:val="bottom"/>
            <w:shd w:val="clear" w:color="auto" w:fill="B6B6B6"/>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23,515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6.0 %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23,514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8.5 %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83"/>
        </w:trPr>
        <w:tc>
          <w:tcPr>
            <w:tcW w:w="4400" w:type="dxa"/>
            <w:vAlign w:val="bottom"/>
          </w:tcPr>
          <w:p>
            <w:pPr>
              <w:ind w:left="240"/>
              <w:spacing w:after="0"/>
              <w:rPr>
                <w:sz w:val="20"/>
                <w:szCs w:val="20"/>
                <w:color w:val="auto"/>
              </w:rPr>
            </w:pPr>
            <w:r>
              <w:rPr>
                <w:rFonts w:ascii="Arial" w:cs="Arial" w:eastAsia="Arial" w:hAnsi="Arial"/>
                <w:sz w:val="13"/>
                <w:szCs w:val="13"/>
                <w:color w:val="auto"/>
              </w:rPr>
              <w:t>Intangible asset impairment charges</w:t>
            </w:r>
          </w:p>
        </w:tc>
        <w:tc>
          <w:tcPr>
            <w:tcW w:w="100" w:type="dxa"/>
            <w:vAlign w:val="bottom"/>
            <w:shd w:val="clear" w:color="auto" w:fill="B6B6B6"/>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200" w:type="dxa"/>
            <w:vAlign w:val="bottom"/>
          </w:tcPr>
          <w:p>
            <w:pPr>
              <w:spacing w:after="0"/>
              <w:rPr>
                <w:sz w:val="15"/>
                <w:szCs w:val="15"/>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10,000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3.6 %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(10,000)</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69"/>
        </w:trPr>
        <w:tc>
          <w:tcPr>
            <w:tcW w:w="4400" w:type="dxa"/>
            <w:vAlign w:val="bottom"/>
          </w:tcPr>
          <w:p>
            <w:pPr>
              <w:ind w:left="20"/>
              <w:spacing w:after="0"/>
              <w:rPr>
                <w:sz w:val="20"/>
                <w:szCs w:val="20"/>
                <w:color w:val="auto"/>
              </w:rPr>
            </w:pPr>
            <w:r>
              <w:rPr>
                <w:rFonts w:ascii="Arial" w:cs="Arial" w:eastAsia="Arial" w:hAnsi="Arial"/>
                <w:sz w:val="13"/>
                <w:szCs w:val="13"/>
                <w:color w:val="auto"/>
              </w:rPr>
              <w:t>Total operating expenses</w:t>
            </w:r>
          </w:p>
        </w:tc>
        <w:tc>
          <w:tcPr>
            <w:tcW w:w="100" w:type="dxa"/>
            <w:vAlign w:val="bottom"/>
            <w:tcBorders>
              <w:top w:val="single" w:sz="8" w:color="B6B6B6"/>
              <w:bottom w:val="single" w:sz="8" w:color="B6B6B6"/>
            </w:tcBorders>
            <w:shd w:val="clear" w:color="auto" w:fill="B6B6B6"/>
          </w:tcPr>
          <w:p>
            <w:pPr>
              <w:spacing w:after="0"/>
              <w:rPr>
                <w:sz w:val="14"/>
                <w:szCs w:val="14"/>
                <w:color w:val="auto"/>
              </w:rPr>
            </w:pPr>
          </w:p>
        </w:tc>
        <w:tc>
          <w:tcPr>
            <w:tcW w:w="220" w:type="dxa"/>
            <w:vAlign w:val="bottom"/>
            <w:tcBorders>
              <w:top w:val="single" w:sz="8" w:color="B6B6B6"/>
              <w:bottom w:val="single" w:sz="8" w:color="B6B6B6"/>
            </w:tcBorders>
          </w:tcPr>
          <w:p>
            <w:pPr>
              <w:spacing w:after="0"/>
              <w:rPr>
                <w:sz w:val="14"/>
                <w:szCs w:val="14"/>
                <w:color w:val="auto"/>
              </w:rPr>
            </w:pPr>
          </w:p>
        </w:tc>
        <w:tc>
          <w:tcPr>
            <w:tcW w:w="880" w:type="dxa"/>
            <w:vAlign w:val="bottom"/>
            <w:tcBorders>
              <w:top w:val="single" w:sz="8" w:color="B6B6B6"/>
              <w:bottom w:val="single" w:sz="8" w:color="B6B6B6"/>
            </w:tcBorders>
          </w:tcPr>
          <w:p>
            <w:pPr>
              <w:jc w:val="right"/>
              <w:ind w:right="117"/>
              <w:spacing w:after="0"/>
              <w:rPr>
                <w:sz w:val="20"/>
                <w:szCs w:val="20"/>
                <w:color w:val="auto"/>
              </w:rPr>
            </w:pPr>
            <w:r>
              <w:rPr>
                <w:rFonts w:ascii="Arial" w:cs="Arial" w:eastAsia="Arial" w:hAnsi="Arial"/>
                <w:sz w:val="13"/>
                <w:szCs w:val="13"/>
                <w:color w:val="auto"/>
              </w:rPr>
              <w:t>308,865</w:t>
            </w:r>
          </w:p>
        </w:tc>
        <w:tc>
          <w:tcPr>
            <w:tcW w:w="100" w:type="dxa"/>
            <w:vAlign w:val="bottom"/>
          </w:tcPr>
          <w:p>
            <w:pPr>
              <w:spacing w:after="0"/>
              <w:rPr>
                <w:sz w:val="14"/>
                <w:szCs w:val="14"/>
                <w:color w:val="auto"/>
              </w:rPr>
            </w:pPr>
          </w:p>
        </w:tc>
        <w:tc>
          <w:tcPr>
            <w:tcW w:w="120" w:type="dxa"/>
            <w:vAlign w:val="bottom"/>
            <w:tcBorders>
              <w:top w:val="single" w:sz="8" w:color="B6B6B6"/>
              <w:bottom w:val="single" w:sz="8" w:color="B6B6B6"/>
            </w:tcBorders>
          </w:tcPr>
          <w:p>
            <w:pPr>
              <w:spacing w:after="0"/>
              <w:rPr>
                <w:sz w:val="14"/>
                <w:szCs w:val="14"/>
                <w:color w:val="auto"/>
              </w:rPr>
            </w:pPr>
          </w:p>
        </w:tc>
        <w:tc>
          <w:tcPr>
            <w:tcW w:w="90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3"/>
                <w:szCs w:val="13"/>
                <w:color w:val="auto"/>
              </w:rPr>
              <w:t>79.4 %</w:t>
            </w:r>
          </w:p>
        </w:tc>
        <w:tc>
          <w:tcPr>
            <w:tcW w:w="100" w:type="dxa"/>
            <w:vAlign w:val="bottom"/>
          </w:tcPr>
          <w:p>
            <w:pPr>
              <w:spacing w:after="0"/>
              <w:rPr>
                <w:sz w:val="14"/>
                <w:szCs w:val="14"/>
                <w:color w:val="auto"/>
              </w:rPr>
            </w:pPr>
          </w:p>
        </w:tc>
        <w:tc>
          <w:tcPr>
            <w:tcW w:w="200" w:type="dxa"/>
            <w:vAlign w:val="bottom"/>
            <w:tcBorders>
              <w:top w:val="single" w:sz="8" w:color="B6B6B6"/>
              <w:bottom w:val="single" w:sz="8" w:color="B6B6B6"/>
            </w:tcBorders>
          </w:tcPr>
          <w:p>
            <w:pPr>
              <w:spacing w:after="0"/>
              <w:rPr>
                <w:sz w:val="14"/>
                <w:szCs w:val="14"/>
                <w:color w:val="auto"/>
              </w:rPr>
            </w:pPr>
          </w:p>
        </w:tc>
        <w:tc>
          <w:tcPr>
            <w:tcW w:w="900" w:type="dxa"/>
            <w:vAlign w:val="bottom"/>
            <w:tcBorders>
              <w:top w:val="single" w:sz="8" w:color="B6B6B6"/>
              <w:bottom w:val="single" w:sz="8" w:color="B6B6B6"/>
            </w:tcBorders>
          </w:tcPr>
          <w:p>
            <w:pPr>
              <w:jc w:val="right"/>
              <w:ind w:right="117"/>
              <w:spacing w:after="0"/>
              <w:rPr>
                <w:sz w:val="20"/>
                <w:szCs w:val="20"/>
                <w:color w:val="auto"/>
              </w:rPr>
            </w:pPr>
            <w:r>
              <w:rPr>
                <w:rFonts w:ascii="Arial" w:cs="Arial" w:eastAsia="Arial" w:hAnsi="Arial"/>
                <w:sz w:val="13"/>
                <w:szCs w:val="13"/>
                <w:color w:val="auto"/>
              </w:rPr>
              <w:t>261,637</w:t>
            </w:r>
          </w:p>
        </w:tc>
        <w:tc>
          <w:tcPr>
            <w:tcW w:w="100" w:type="dxa"/>
            <w:vAlign w:val="bottom"/>
          </w:tcPr>
          <w:p>
            <w:pPr>
              <w:spacing w:after="0"/>
              <w:rPr>
                <w:sz w:val="14"/>
                <w:szCs w:val="14"/>
                <w:color w:val="auto"/>
              </w:rPr>
            </w:pPr>
          </w:p>
        </w:tc>
        <w:tc>
          <w:tcPr>
            <w:tcW w:w="120" w:type="dxa"/>
            <w:vAlign w:val="bottom"/>
            <w:tcBorders>
              <w:top w:val="single" w:sz="8" w:color="B6B6B6"/>
              <w:bottom w:val="single" w:sz="8" w:color="B6B6B6"/>
            </w:tcBorders>
          </w:tcPr>
          <w:p>
            <w:pPr>
              <w:spacing w:after="0"/>
              <w:rPr>
                <w:sz w:val="14"/>
                <w:szCs w:val="14"/>
                <w:color w:val="auto"/>
              </w:rPr>
            </w:pPr>
          </w:p>
        </w:tc>
        <w:tc>
          <w:tcPr>
            <w:tcW w:w="90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3"/>
                <w:szCs w:val="13"/>
                <w:color w:val="auto"/>
              </w:rPr>
              <w:t>94.6 %</w:t>
            </w:r>
          </w:p>
        </w:tc>
        <w:tc>
          <w:tcPr>
            <w:tcW w:w="100" w:type="dxa"/>
            <w:vAlign w:val="bottom"/>
          </w:tcPr>
          <w:p>
            <w:pPr>
              <w:spacing w:after="0"/>
              <w:rPr>
                <w:sz w:val="14"/>
                <w:szCs w:val="14"/>
                <w:color w:val="auto"/>
              </w:rPr>
            </w:pPr>
          </w:p>
        </w:tc>
        <w:tc>
          <w:tcPr>
            <w:tcW w:w="140" w:type="dxa"/>
            <w:vAlign w:val="bottom"/>
            <w:tcBorders>
              <w:top w:val="single" w:sz="8" w:color="B6B6B6"/>
              <w:bottom w:val="single" w:sz="8" w:color="B6B6B6"/>
            </w:tcBorders>
          </w:tcPr>
          <w:p>
            <w:pPr>
              <w:spacing w:after="0"/>
              <w:rPr>
                <w:sz w:val="14"/>
                <w:szCs w:val="14"/>
                <w:color w:val="auto"/>
              </w:rPr>
            </w:pPr>
          </w:p>
        </w:tc>
        <w:tc>
          <w:tcPr>
            <w:tcW w:w="86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3"/>
                <w:szCs w:val="13"/>
                <w:color w:val="auto"/>
              </w:rPr>
              <w:t>47,228</w:t>
            </w:r>
          </w:p>
        </w:tc>
        <w:tc>
          <w:tcPr>
            <w:tcW w:w="80" w:type="dxa"/>
            <w:vAlign w:val="bottom"/>
          </w:tcPr>
          <w:p>
            <w:pPr>
              <w:spacing w:after="0"/>
              <w:rPr>
                <w:sz w:val="14"/>
                <w:szCs w:val="14"/>
                <w:color w:val="auto"/>
              </w:rPr>
            </w:pPr>
          </w:p>
        </w:tc>
        <w:tc>
          <w:tcPr>
            <w:tcW w:w="102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3"/>
                <w:szCs w:val="13"/>
                <w:color w:val="auto"/>
              </w:rPr>
              <w:t>18.1 %</w:t>
            </w:r>
          </w:p>
        </w:tc>
        <w:tc>
          <w:tcPr>
            <w:tcW w:w="0" w:type="dxa"/>
            <w:vAlign w:val="bottom"/>
          </w:tcPr>
          <w:p>
            <w:pPr>
              <w:spacing w:after="0"/>
              <w:rPr>
                <w:sz w:val="1"/>
                <w:szCs w:val="1"/>
                <w:color w:val="auto"/>
              </w:rPr>
            </w:pPr>
          </w:p>
        </w:tc>
      </w:tr>
      <w:tr>
        <w:trPr>
          <w:trHeight w:val="166"/>
        </w:trPr>
        <w:tc>
          <w:tcPr>
            <w:tcW w:w="4400" w:type="dxa"/>
            <w:vAlign w:val="bottom"/>
          </w:tcPr>
          <w:p>
            <w:pPr>
              <w:ind w:left="20"/>
              <w:spacing w:after="0"/>
              <w:rPr>
                <w:sz w:val="20"/>
                <w:szCs w:val="20"/>
                <w:color w:val="auto"/>
              </w:rPr>
            </w:pPr>
            <w:r>
              <w:rPr>
                <w:rFonts w:ascii="Arial" w:cs="Arial" w:eastAsia="Arial" w:hAnsi="Arial"/>
                <w:sz w:val="13"/>
                <w:szCs w:val="13"/>
                <w:color w:val="auto"/>
              </w:rPr>
              <w:t>Income (loss) from operations</w:t>
            </w:r>
          </w:p>
        </w:tc>
        <w:tc>
          <w:tcPr>
            <w:tcW w:w="100" w:type="dxa"/>
            <w:vAlign w:val="bottom"/>
            <w:shd w:val="clear" w:color="auto" w:fill="B6B6B6"/>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80,267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20.6 %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15,060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5.4 %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65,207</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433.0 %</w:t>
            </w:r>
          </w:p>
        </w:tc>
        <w:tc>
          <w:tcPr>
            <w:tcW w:w="0" w:type="dxa"/>
            <w:vAlign w:val="bottom"/>
          </w:tcPr>
          <w:p>
            <w:pPr>
              <w:spacing w:after="0"/>
              <w:rPr>
                <w:sz w:val="1"/>
                <w:szCs w:val="1"/>
                <w:color w:val="auto"/>
              </w:rPr>
            </w:pPr>
          </w:p>
        </w:tc>
      </w:tr>
      <w:tr>
        <w:trPr>
          <w:trHeight w:val="171"/>
        </w:trPr>
        <w:tc>
          <w:tcPr>
            <w:tcW w:w="440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100" w:type="dxa"/>
            <w:vAlign w:val="bottom"/>
            <w:shd w:val="clear" w:color="auto" w:fill="B6B6B6"/>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17,735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4.6 %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17,751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6.4 %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6"/>
        </w:trPr>
        <w:tc>
          <w:tcPr>
            <w:tcW w:w="4400" w:type="dxa"/>
            <w:vAlign w:val="bottom"/>
          </w:tcPr>
          <w:p>
            <w:pPr>
              <w:ind w:left="20"/>
              <w:spacing w:after="0"/>
              <w:rPr>
                <w:sz w:val="20"/>
                <w:szCs w:val="20"/>
                <w:color w:val="auto"/>
              </w:rPr>
            </w:pPr>
            <w:r>
              <w:rPr>
                <w:rFonts w:ascii="Arial" w:cs="Arial" w:eastAsia="Arial" w:hAnsi="Arial"/>
                <w:sz w:val="13"/>
                <w:szCs w:val="13"/>
                <w:color w:val="auto"/>
              </w:rPr>
              <w:t>Gain on bargain purchase</w:t>
            </w:r>
          </w:p>
        </w:tc>
        <w:tc>
          <w:tcPr>
            <w:tcW w:w="100" w:type="dxa"/>
            <w:vAlign w:val="bottom"/>
            <w:shd w:val="clear" w:color="auto" w:fill="B6B6B6"/>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(7,129)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(7,129)</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i w:val="1"/>
                <w:iCs w:val="1"/>
                <w:color w:val="auto"/>
              </w:rPr>
              <w:t>NM</w:t>
            </w:r>
          </w:p>
        </w:tc>
        <w:tc>
          <w:tcPr>
            <w:tcW w:w="0" w:type="dxa"/>
            <w:vAlign w:val="bottom"/>
          </w:tcPr>
          <w:p>
            <w:pPr>
              <w:spacing w:after="0"/>
              <w:rPr>
                <w:sz w:val="1"/>
                <w:szCs w:val="1"/>
                <w:color w:val="auto"/>
              </w:rPr>
            </w:pPr>
          </w:p>
        </w:tc>
      </w:tr>
      <w:tr>
        <w:trPr>
          <w:trHeight w:val="175"/>
        </w:trPr>
        <w:tc>
          <w:tcPr>
            <w:tcW w:w="4400" w:type="dxa"/>
            <w:vAlign w:val="bottom"/>
          </w:tcPr>
          <w:p>
            <w:pPr>
              <w:ind w:left="20"/>
              <w:spacing w:after="0"/>
              <w:rPr>
                <w:sz w:val="20"/>
                <w:szCs w:val="20"/>
                <w:color w:val="auto"/>
              </w:rPr>
            </w:pPr>
            <w:r>
              <w:rPr>
                <w:rFonts w:ascii="Arial" w:cs="Arial" w:eastAsia="Arial" w:hAnsi="Arial"/>
                <w:sz w:val="13"/>
                <w:szCs w:val="13"/>
                <w:color w:val="auto"/>
              </w:rPr>
              <w:t>Loss on extinguishment of debt</w:t>
            </w:r>
          </w:p>
        </w:tc>
        <w:tc>
          <w:tcPr>
            <w:tcW w:w="100" w:type="dxa"/>
            <w:vAlign w:val="bottom"/>
            <w:shd w:val="clear" w:color="auto" w:fill="B6B6B6"/>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10,463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2.7 %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10,463</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i w:val="1"/>
                <w:iCs w:val="1"/>
                <w:color w:val="auto"/>
              </w:rPr>
              <w:t>NM</w:t>
            </w: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Arial" w:cs="Arial" w:eastAsia="Arial" w:hAnsi="Arial"/>
                <w:sz w:val="13"/>
                <w:szCs w:val="13"/>
                <w:color w:val="auto"/>
              </w:rPr>
              <w:t>Other (income) expense, net</w:t>
            </w:r>
          </w:p>
        </w:tc>
        <w:tc>
          <w:tcPr>
            <w:tcW w:w="100" w:type="dxa"/>
            <w:vAlign w:val="bottom"/>
            <w:tcBorders>
              <w:bottom w:val="single" w:sz="8" w:color="B6B6B6"/>
            </w:tcBorders>
            <w:shd w:val="clear" w:color="auto" w:fill="B6B6B6"/>
          </w:tcPr>
          <w:p>
            <w:pPr>
              <w:spacing w:after="0"/>
              <w:rPr>
                <w:sz w:val="15"/>
                <w:szCs w:val="15"/>
                <w:color w:val="auto"/>
              </w:rPr>
            </w:pPr>
          </w:p>
        </w:tc>
        <w:tc>
          <w:tcPr>
            <w:tcW w:w="220" w:type="dxa"/>
            <w:vAlign w:val="bottom"/>
            <w:tcBorders>
              <w:bottom w:val="single" w:sz="8" w:color="B6B6B6"/>
            </w:tcBorders>
          </w:tcPr>
          <w:p>
            <w:pPr>
              <w:spacing w:after="0"/>
              <w:rPr>
                <w:sz w:val="15"/>
                <w:szCs w:val="15"/>
                <w:color w:val="auto"/>
              </w:rPr>
            </w:pPr>
          </w:p>
        </w:tc>
        <w:tc>
          <w:tcPr>
            <w:tcW w:w="88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color w:val="auto"/>
              </w:rPr>
              <w:t>(1,166)</w:t>
            </w:r>
          </w:p>
        </w:tc>
        <w:tc>
          <w:tcPr>
            <w:tcW w:w="100" w:type="dxa"/>
            <w:vAlign w:val="bottom"/>
          </w:tcPr>
          <w:p>
            <w:pPr>
              <w:spacing w:after="0"/>
              <w:rPr>
                <w:sz w:val="15"/>
                <w:szCs w:val="15"/>
                <w:color w:val="auto"/>
              </w:rPr>
            </w:pPr>
          </w:p>
        </w:tc>
        <w:tc>
          <w:tcPr>
            <w:tcW w:w="120" w:type="dxa"/>
            <w:vAlign w:val="bottom"/>
            <w:tcBorders>
              <w:bottom w:val="single" w:sz="8" w:color="B6B6B6"/>
            </w:tcBorders>
          </w:tcPr>
          <w:p>
            <w:pPr>
              <w:spacing w:after="0"/>
              <w:rPr>
                <w:sz w:val="15"/>
                <w:szCs w:val="15"/>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5"/>
                <w:szCs w:val="15"/>
                <w:color w:val="auto"/>
              </w:rPr>
            </w:pPr>
          </w:p>
        </w:tc>
        <w:tc>
          <w:tcPr>
            <w:tcW w:w="200" w:type="dxa"/>
            <w:vAlign w:val="bottom"/>
            <w:tcBorders>
              <w:bottom w:val="single" w:sz="8" w:color="B6B6B6"/>
            </w:tcBorders>
          </w:tcPr>
          <w:p>
            <w:pPr>
              <w:spacing w:after="0"/>
              <w:rPr>
                <w:sz w:val="15"/>
                <w:szCs w:val="15"/>
                <w:color w:val="auto"/>
              </w:rPr>
            </w:pPr>
          </w:p>
        </w:tc>
        <w:tc>
          <w:tcPr>
            <w:tcW w:w="90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color w:val="auto"/>
              </w:rPr>
              <w:t>(776)</w:t>
            </w:r>
          </w:p>
        </w:tc>
        <w:tc>
          <w:tcPr>
            <w:tcW w:w="100" w:type="dxa"/>
            <w:vAlign w:val="bottom"/>
          </w:tcPr>
          <w:p>
            <w:pPr>
              <w:spacing w:after="0"/>
              <w:rPr>
                <w:sz w:val="15"/>
                <w:szCs w:val="15"/>
                <w:color w:val="auto"/>
              </w:rPr>
            </w:pPr>
          </w:p>
        </w:tc>
        <w:tc>
          <w:tcPr>
            <w:tcW w:w="120" w:type="dxa"/>
            <w:vAlign w:val="bottom"/>
            <w:tcBorders>
              <w:bottom w:val="single" w:sz="8" w:color="B6B6B6"/>
            </w:tcBorders>
          </w:tcPr>
          <w:p>
            <w:pPr>
              <w:spacing w:after="0"/>
              <w:rPr>
                <w:sz w:val="15"/>
                <w:szCs w:val="15"/>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5"/>
                <w:szCs w:val="15"/>
                <w:color w:val="auto"/>
              </w:rPr>
            </w:pPr>
          </w:p>
        </w:tc>
        <w:tc>
          <w:tcPr>
            <w:tcW w:w="140" w:type="dxa"/>
            <w:vAlign w:val="bottom"/>
            <w:tcBorders>
              <w:bottom w:val="single" w:sz="8" w:color="B6B6B6"/>
            </w:tcBorders>
          </w:tcPr>
          <w:p>
            <w:pPr>
              <w:spacing w:after="0"/>
              <w:rPr>
                <w:sz w:val="15"/>
                <w:szCs w:val="15"/>
                <w:color w:val="auto"/>
              </w:rPr>
            </w:pPr>
          </w:p>
        </w:tc>
        <w:tc>
          <w:tcPr>
            <w:tcW w:w="86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(390)</w:t>
            </w:r>
          </w:p>
        </w:tc>
        <w:tc>
          <w:tcPr>
            <w:tcW w:w="80" w:type="dxa"/>
            <w:vAlign w:val="bottom"/>
          </w:tcPr>
          <w:p>
            <w:pPr>
              <w:spacing w:after="0"/>
              <w:rPr>
                <w:sz w:val="15"/>
                <w:szCs w:val="15"/>
                <w:color w:val="auto"/>
              </w:rPr>
            </w:pP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50.3 %</w:t>
            </w:r>
          </w:p>
        </w:tc>
        <w:tc>
          <w:tcPr>
            <w:tcW w:w="0" w:type="dxa"/>
            <w:vAlign w:val="bottom"/>
          </w:tcPr>
          <w:p>
            <w:pPr>
              <w:spacing w:after="0"/>
              <w:rPr>
                <w:sz w:val="1"/>
                <w:szCs w:val="1"/>
                <w:color w:val="auto"/>
              </w:rPr>
            </w:pPr>
          </w:p>
        </w:tc>
      </w:tr>
      <w:tr>
        <w:trPr>
          <w:trHeight w:val="169"/>
        </w:trPr>
        <w:tc>
          <w:tcPr>
            <w:tcW w:w="4400" w:type="dxa"/>
            <w:vAlign w:val="bottom"/>
          </w:tcPr>
          <w:p>
            <w:pPr>
              <w:ind w:left="20"/>
              <w:spacing w:after="0"/>
              <w:rPr>
                <w:sz w:val="20"/>
                <w:szCs w:val="20"/>
                <w:color w:val="auto"/>
              </w:rPr>
            </w:pPr>
            <w:r>
              <w:rPr>
                <w:rFonts w:ascii="Arial" w:cs="Arial" w:eastAsia="Arial" w:hAnsi="Arial"/>
                <w:sz w:val="13"/>
                <w:szCs w:val="13"/>
                <w:color w:val="auto"/>
              </w:rPr>
              <w:t>Income (loss) before income taxes</w:t>
            </w:r>
          </w:p>
        </w:tc>
        <w:tc>
          <w:tcPr>
            <w:tcW w:w="100" w:type="dxa"/>
            <w:vAlign w:val="bottom"/>
            <w:tcBorders>
              <w:bottom w:val="single" w:sz="8" w:color="B6B6B6"/>
            </w:tcBorders>
            <w:shd w:val="clear" w:color="auto" w:fill="B6B6B6"/>
          </w:tcPr>
          <w:p>
            <w:pPr>
              <w:spacing w:after="0"/>
              <w:rPr>
                <w:sz w:val="14"/>
                <w:szCs w:val="14"/>
                <w:color w:val="auto"/>
              </w:rPr>
            </w:pPr>
          </w:p>
        </w:tc>
        <w:tc>
          <w:tcPr>
            <w:tcW w:w="220" w:type="dxa"/>
            <w:vAlign w:val="bottom"/>
            <w:tcBorders>
              <w:bottom w:val="single" w:sz="8" w:color="B6B6B6"/>
            </w:tcBorders>
          </w:tcPr>
          <w:p>
            <w:pPr>
              <w:spacing w:after="0"/>
              <w:rPr>
                <w:sz w:val="14"/>
                <w:szCs w:val="14"/>
                <w:color w:val="auto"/>
              </w:rPr>
            </w:pPr>
          </w:p>
        </w:tc>
        <w:tc>
          <w:tcPr>
            <w:tcW w:w="88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color w:val="auto"/>
              </w:rPr>
              <w:t>60,364</w:t>
            </w:r>
          </w:p>
        </w:tc>
        <w:tc>
          <w:tcPr>
            <w:tcW w:w="100" w:type="dxa"/>
            <w:vAlign w:val="bottom"/>
          </w:tcPr>
          <w:p>
            <w:pPr>
              <w:spacing w:after="0"/>
              <w:rPr>
                <w:sz w:val="14"/>
                <w:szCs w:val="14"/>
                <w:color w:val="auto"/>
              </w:rPr>
            </w:pPr>
          </w:p>
        </w:tc>
        <w:tc>
          <w:tcPr>
            <w:tcW w:w="120" w:type="dxa"/>
            <w:vAlign w:val="bottom"/>
            <w:tcBorders>
              <w:bottom w:val="single" w:sz="8" w:color="B6B6B6"/>
            </w:tcBorders>
          </w:tcPr>
          <w:p>
            <w:pPr>
              <w:spacing w:after="0"/>
              <w:rPr>
                <w:sz w:val="14"/>
                <w:szCs w:val="14"/>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15.5 %</w:t>
            </w:r>
          </w:p>
        </w:tc>
        <w:tc>
          <w:tcPr>
            <w:tcW w:w="100" w:type="dxa"/>
            <w:vAlign w:val="bottom"/>
          </w:tcPr>
          <w:p>
            <w:pPr>
              <w:spacing w:after="0"/>
              <w:rPr>
                <w:sz w:val="14"/>
                <w:szCs w:val="14"/>
                <w:color w:val="auto"/>
              </w:rPr>
            </w:pPr>
          </w:p>
        </w:tc>
        <w:tc>
          <w:tcPr>
            <w:tcW w:w="200" w:type="dxa"/>
            <w:vAlign w:val="bottom"/>
            <w:tcBorders>
              <w:bottom w:val="single" w:sz="8" w:color="B6B6B6"/>
            </w:tcBorders>
          </w:tcPr>
          <w:p>
            <w:pPr>
              <w:spacing w:after="0"/>
              <w:rPr>
                <w:sz w:val="14"/>
                <w:szCs w:val="14"/>
                <w:color w:val="auto"/>
              </w:rPr>
            </w:pPr>
          </w:p>
        </w:tc>
        <w:tc>
          <w:tcPr>
            <w:tcW w:w="90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color w:val="auto"/>
              </w:rPr>
              <w:t>(1,915)</w:t>
            </w:r>
          </w:p>
        </w:tc>
        <w:tc>
          <w:tcPr>
            <w:tcW w:w="100" w:type="dxa"/>
            <w:vAlign w:val="bottom"/>
          </w:tcPr>
          <w:p>
            <w:pPr>
              <w:spacing w:after="0"/>
              <w:rPr>
                <w:sz w:val="14"/>
                <w:szCs w:val="14"/>
                <w:color w:val="auto"/>
              </w:rPr>
            </w:pPr>
          </w:p>
        </w:tc>
        <w:tc>
          <w:tcPr>
            <w:tcW w:w="120" w:type="dxa"/>
            <w:vAlign w:val="bottom"/>
            <w:tcBorders>
              <w:bottom w:val="single" w:sz="8" w:color="B6B6B6"/>
            </w:tcBorders>
          </w:tcPr>
          <w:p>
            <w:pPr>
              <w:spacing w:after="0"/>
              <w:rPr>
                <w:sz w:val="14"/>
                <w:szCs w:val="14"/>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(0.7)%</w:t>
            </w:r>
          </w:p>
        </w:tc>
        <w:tc>
          <w:tcPr>
            <w:tcW w:w="100" w:type="dxa"/>
            <w:vAlign w:val="bottom"/>
          </w:tcPr>
          <w:p>
            <w:pPr>
              <w:spacing w:after="0"/>
              <w:rPr>
                <w:sz w:val="14"/>
                <w:szCs w:val="14"/>
                <w:color w:val="auto"/>
              </w:rPr>
            </w:pPr>
          </w:p>
        </w:tc>
        <w:tc>
          <w:tcPr>
            <w:tcW w:w="140" w:type="dxa"/>
            <w:vAlign w:val="bottom"/>
            <w:tcBorders>
              <w:bottom w:val="single" w:sz="8" w:color="B6B6B6"/>
            </w:tcBorders>
          </w:tcPr>
          <w:p>
            <w:pPr>
              <w:spacing w:after="0"/>
              <w:rPr>
                <w:sz w:val="14"/>
                <w:szCs w:val="14"/>
                <w:color w:val="auto"/>
              </w:rPr>
            </w:pPr>
          </w:p>
        </w:tc>
        <w:tc>
          <w:tcPr>
            <w:tcW w:w="86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62,279</w:t>
            </w:r>
          </w:p>
        </w:tc>
        <w:tc>
          <w:tcPr>
            <w:tcW w:w="80" w:type="dxa"/>
            <w:vAlign w:val="bottom"/>
          </w:tcPr>
          <w:p>
            <w:pPr>
              <w:spacing w:after="0"/>
              <w:rPr>
                <w:sz w:val="14"/>
                <w:szCs w:val="14"/>
                <w:color w:val="auto"/>
              </w:rPr>
            </w:pP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(3252.2)%</w:t>
            </w:r>
          </w:p>
        </w:tc>
        <w:tc>
          <w:tcPr>
            <w:tcW w:w="0" w:type="dxa"/>
            <w:vAlign w:val="bottom"/>
          </w:tcPr>
          <w:p>
            <w:pPr>
              <w:spacing w:after="0"/>
              <w:rPr>
                <w:sz w:val="1"/>
                <w:szCs w:val="1"/>
                <w:color w:val="auto"/>
              </w:rPr>
            </w:pPr>
          </w:p>
        </w:tc>
      </w:tr>
      <w:tr>
        <w:trPr>
          <w:trHeight w:val="169"/>
        </w:trPr>
        <w:tc>
          <w:tcPr>
            <w:tcW w:w="4400" w:type="dxa"/>
            <w:vAlign w:val="bottom"/>
          </w:tcPr>
          <w:p>
            <w:pPr>
              <w:ind w:left="20"/>
              <w:spacing w:after="0"/>
              <w:rPr>
                <w:sz w:val="20"/>
                <w:szCs w:val="20"/>
                <w:color w:val="auto"/>
              </w:rPr>
            </w:pPr>
            <w:r>
              <w:rPr>
                <w:rFonts w:ascii="Arial" w:cs="Arial" w:eastAsia="Arial" w:hAnsi="Arial"/>
                <w:sz w:val="13"/>
                <w:szCs w:val="13"/>
                <w:color w:val="auto"/>
              </w:rPr>
              <w:t>Income tax expense (benefit)</w:t>
            </w:r>
          </w:p>
        </w:tc>
        <w:tc>
          <w:tcPr>
            <w:tcW w:w="100" w:type="dxa"/>
            <w:vAlign w:val="bottom"/>
            <w:tcBorders>
              <w:bottom w:val="single" w:sz="8" w:color="B6B6B6"/>
            </w:tcBorders>
            <w:shd w:val="clear" w:color="auto" w:fill="B6B6B6"/>
          </w:tcPr>
          <w:p>
            <w:pPr>
              <w:spacing w:after="0"/>
              <w:rPr>
                <w:sz w:val="14"/>
                <w:szCs w:val="14"/>
                <w:color w:val="auto"/>
              </w:rPr>
            </w:pPr>
          </w:p>
        </w:tc>
        <w:tc>
          <w:tcPr>
            <w:tcW w:w="220" w:type="dxa"/>
            <w:vAlign w:val="bottom"/>
            <w:tcBorders>
              <w:bottom w:val="single" w:sz="8" w:color="B6B6B6"/>
            </w:tcBorders>
          </w:tcPr>
          <w:p>
            <w:pPr>
              <w:spacing w:after="0"/>
              <w:rPr>
                <w:sz w:val="14"/>
                <w:szCs w:val="14"/>
                <w:color w:val="auto"/>
              </w:rPr>
            </w:pPr>
          </w:p>
        </w:tc>
        <w:tc>
          <w:tcPr>
            <w:tcW w:w="88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color w:val="auto"/>
              </w:rPr>
              <w:t>2,389</w:t>
            </w:r>
          </w:p>
        </w:tc>
        <w:tc>
          <w:tcPr>
            <w:tcW w:w="100" w:type="dxa"/>
            <w:vAlign w:val="bottom"/>
          </w:tcPr>
          <w:p>
            <w:pPr>
              <w:spacing w:after="0"/>
              <w:rPr>
                <w:sz w:val="14"/>
                <w:szCs w:val="14"/>
                <w:color w:val="auto"/>
              </w:rPr>
            </w:pPr>
          </w:p>
        </w:tc>
        <w:tc>
          <w:tcPr>
            <w:tcW w:w="120" w:type="dxa"/>
            <w:vAlign w:val="bottom"/>
            <w:tcBorders>
              <w:bottom w:val="single" w:sz="8" w:color="B6B6B6"/>
            </w:tcBorders>
          </w:tcPr>
          <w:p>
            <w:pPr>
              <w:spacing w:after="0"/>
              <w:rPr>
                <w:sz w:val="14"/>
                <w:szCs w:val="14"/>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0.6 %</w:t>
            </w:r>
          </w:p>
        </w:tc>
        <w:tc>
          <w:tcPr>
            <w:tcW w:w="100" w:type="dxa"/>
            <w:vAlign w:val="bottom"/>
          </w:tcPr>
          <w:p>
            <w:pPr>
              <w:spacing w:after="0"/>
              <w:rPr>
                <w:sz w:val="14"/>
                <w:szCs w:val="14"/>
                <w:color w:val="auto"/>
              </w:rPr>
            </w:pPr>
          </w:p>
        </w:tc>
        <w:tc>
          <w:tcPr>
            <w:tcW w:w="200" w:type="dxa"/>
            <w:vAlign w:val="bottom"/>
            <w:tcBorders>
              <w:bottom w:val="single" w:sz="8" w:color="B6B6B6"/>
            </w:tcBorders>
          </w:tcPr>
          <w:p>
            <w:pPr>
              <w:spacing w:after="0"/>
              <w:rPr>
                <w:sz w:val="14"/>
                <w:szCs w:val="14"/>
                <w:color w:val="auto"/>
              </w:rPr>
            </w:pPr>
          </w:p>
        </w:tc>
        <w:tc>
          <w:tcPr>
            <w:tcW w:w="90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color w:val="auto"/>
              </w:rPr>
              <w:t>379</w:t>
            </w:r>
          </w:p>
        </w:tc>
        <w:tc>
          <w:tcPr>
            <w:tcW w:w="100" w:type="dxa"/>
            <w:vAlign w:val="bottom"/>
          </w:tcPr>
          <w:p>
            <w:pPr>
              <w:spacing w:after="0"/>
              <w:rPr>
                <w:sz w:val="14"/>
                <w:szCs w:val="14"/>
                <w:color w:val="auto"/>
              </w:rPr>
            </w:pPr>
          </w:p>
        </w:tc>
        <w:tc>
          <w:tcPr>
            <w:tcW w:w="120" w:type="dxa"/>
            <w:vAlign w:val="bottom"/>
            <w:tcBorders>
              <w:bottom w:val="single" w:sz="8" w:color="B6B6B6"/>
            </w:tcBorders>
          </w:tcPr>
          <w:p>
            <w:pPr>
              <w:spacing w:after="0"/>
              <w:rPr>
                <w:sz w:val="14"/>
                <w:szCs w:val="14"/>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0.1 %</w:t>
            </w:r>
          </w:p>
        </w:tc>
        <w:tc>
          <w:tcPr>
            <w:tcW w:w="100" w:type="dxa"/>
            <w:vAlign w:val="bottom"/>
          </w:tcPr>
          <w:p>
            <w:pPr>
              <w:spacing w:after="0"/>
              <w:rPr>
                <w:sz w:val="14"/>
                <w:szCs w:val="14"/>
                <w:color w:val="auto"/>
              </w:rPr>
            </w:pPr>
          </w:p>
        </w:tc>
        <w:tc>
          <w:tcPr>
            <w:tcW w:w="140" w:type="dxa"/>
            <w:vAlign w:val="bottom"/>
            <w:tcBorders>
              <w:bottom w:val="single" w:sz="8" w:color="B6B6B6"/>
            </w:tcBorders>
          </w:tcPr>
          <w:p>
            <w:pPr>
              <w:spacing w:after="0"/>
              <w:rPr>
                <w:sz w:val="14"/>
                <w:szCs w:val="14"/>
                <w:color w:val="auto"/>
              </w:rPr>
            </w:pPr>
          </w:p>
        </w:tc>
        <w:tc>
          <w:tcPr>
            <w:tcW w:w="86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2,010</w:t>
            </w:r>
          </w:p>
        </w:tc>
        <w:tc>
          <w:tcPr>
            <w:tcW w:w="80" w:type="dxa"/>
            <w:vAlign w:val="bottom"/>
          </w:tcPr>
          <w:p>
            <w:pPr>
              <w:spacing w:after="0"/>
              <w:rPr>
                <w:sz w:val="14"/>
                <w:szCs w:val="14"/>
                <w:color w:val="auto"/>
              </w:rPr>
            </w:pP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530.3 %</w:t>
            </w:r>
          </w:p>
        </w:tc>
        <w:tc>
          <w:tcPr>
            <w:tcW w:w="0" w:type="dxa"/>
            <w:vAlign w:val="bottom"/>
          </w:tcPr>
          <w:p>
            <w:pPr>
              <w:spacing w:after="0"/>
              <w:rPr>
                <w:sz w:val="1"/>
                <w:szCs w:val="1"/>
                <w:color w:val="auto"/>
              </w:rPr>
            </w:pPr>
          </w:p>
        </w:tc>
      </w:tr>
      <w:tr>
        <w:trPr>
          <w:trHeight w:val="166"/>
        </w:trPr>
        <w:tc>
          <w:tcPr>
            <w:tcW w:w="440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00" w:type="dxa"/>
            <w:vAlign w:val="bottom"/>
            <w:shd w:val="clear" w:color="auto" w:fill="B6B6B6"/>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57,975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14.9 %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(2,294)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60,269</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(2627.2)%</w:t>
            </w:r>
          </w:p>
        </w:tc>
        <w:tc>
          <w:tcPr>
            <w:tcW w:w="0" w:type="dxa"/>
            <w:vAlign w:val="bottom"/>
          </w:tcPr>
          <w:p>
            <w:pPr>
              <w:spacing w:after="0"/>
              <w:rPr>
                <w:sz w:val="1"/>
                <w:szCs w:val="1"/>
                <w:color w:val="auto"/>
              </w:rPr>
            </w:pPr>
          </w:p>
        </w:tc>
      </w:tr>
      <w:tr>
        <w:trPr>
          <w:trHeight w:val="179"/>
        </w:trPr>
        <w:tc>
          <w:tcPr>
            <w:tcW w:w="4400" w:type="dxa"/>
            <w:vAlign w:val="bottom"/>
          </w:tcPr>
          <w:p>
            <w:pPr>
              <w:ind w:left="20"/>
              <w:spacing w:after="0"/>
              <w:rPr>
                <w:sz w:val="20"/>
                <w:szCs w:val="20"/>
                <w:color w:val="auto"/>
              </w:rPr>
            </w:pPr>
            <w:r>
              <w:rPr>
                <w:rFonts w:ascii="Arial" w:cs="Arial" w:eastAsia="Arial" w:hAnsi="Arial"/>
                <w:sz w:val="13"/>
                <w:szCs w:val="13"/>
                <w:color w:val="auto"/>
              </w:rPr>
              <w:t>Net income (loss) attributable to noncontrolling interests</w:t>
            </w:r>
          </w:p>
        </w:tc>
        <w:tc>
          <w:tcPr>
            <w:tcW w:w="100" w:type="dxa"/>
            <w:vAlign w:val="bottom"/>
            <w:tcBorders>
              <w:bottom w:val="single" w:sz="8" w:color="B6B6B6"/>
            </w:tcBorders>
            <w:shd w:val="clear" w:color="auto" w:fill="B6B6B6"/>
          </w:tcPr>
          <w:p>
            <w:pPr>
              <w:spacing w:after="0"/>
              <w:rPr>
                <w:sz w:val="15"/>
                <w:szCs w:val="15"/>
                <w:color w:val="auto"/>
              </w:rPr>
            </w:pPr>
          </w:p>
        </w:tc>
        <w:tc>
          <w:tcPr>
            <w:tcW w:w="220" w:type="dxa"/>
            <w:vAlign w:val="bottom"/>
            <w:tcBorders>
              <w:bottom w:val="single" w:sz="8" w:color="B6B6B6"/>
            </w:tcBorders>
          </w:tcPr>
          <w:p>
            <w:pPr>
              <w:spacing w:after="0"/>
              <w:rPr>
                <w:sz w:val="15"/>
                <w:szCs w:val="15"/>
                <w:color w:val="auto"/>
              </w:rPr>
            </w:pPr>
          </w:p>
        </w:tc>
        <w:tc>
          <w:tcPr>
            <w:tcW w:w="88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color w:val="auto"/>
              </w:rPr>
              <w:t>32,466</w:t>
            </w:r>
          </w:p>
        </w:tc>
        <w:tc>
          <w:tcPr>
            <w:tcW w:w="100" w:type="dxa"/>
            <w:vAlign w:val="bottom"/>
          </w:tcPr>
          <w:p>
            <w:pPr>
              <w:spacing w:after="0"/>
              <w:rPr>
                <w:sz w:val="15"/>
                <w:szCs w:val="15"/>
                <w:color w:val="auto"/>
              </w:rPr>
            </w:pPr>
          </w:p>
        </w:tc>
        <w:tc>
          <w:tcPr>
            <w:tcW w:w="120" w:type="dxa"/>
            <w:vAlign w:val="bottom"/>
            <w:tcBorders>
              <w:bottom w:val="single" w:sz="8" w:color="B6B6B6"/>
            </w:tcBorders>
          </w:tcPr>
          <w:p>
            <w:pPr>
              <w:spacing w:after="0"/>
              <w:rPr>
                <w:sz w:val="15"/>
                <w:szCs w:val="15"/>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8.3 %</w:t>
            </w:r>
          </w:p>
        </w:tc>
        <w:tc>
          <w:tcPr>
            <w:tcW w:w="100" w:type="dxa"/>
            <w:vAlign w:val="bottom"/>
          </w:tcPr>
          <w:p>
            <w:pPr>
              <w:spacing w:after="0"/>
              <w:rPr>
                <w:sz w:val="15"/>
                <w:szCs w:val="15"/>
                <w:color w:val="auto"/>
              </w:rPr>
            </w:pPr>
          </w:p>
        </w:tc>
        <w:tc>
          <w:tcPr>
            <w:tcW w:w="200" w:type="dxa"/>
            <w:vAlign w:val="bottom"/>
            <w:tcBorders>
              <w:bottom w:val="single" w:sz="8" w:color="B6B6B6"/>
            </w:tcBorders>
          </w:tcPr>
          <w:p>
            <w:pPr>
              <w:spacing w:after="0"/>
              <w:rPr>
                <w:sz w:val="15"/>
                <w:szCs w:val="15"/>
                <w:color w:val="auto"/>
              </w:rPr>
            </w:pPr>
          </w:p>
        </w:tc>
        <w:tc>
          <w:tcPr>
            <w:tcW w:w="90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color w:val="auto"/>
              </w:rPr>
              <w:t>(1,068)</w:t>
            </w:r>
          </w:p>
        </w:tc>
        <w:tc>
          <w:tcPr>
            <w:tcW w:w="100" w:type="dxa"/>
            <w:vAlign w:val="bottom"/>
          </w:tcPr>
          <w:p>
            <w:pPr>
              <w:spacing w:after="0"/>
              <w:rPr>
                <w:sz w:val="15"/>
                <w:szCs w:val="15"/>
                <w:color w:val="auto"/>
              </w:rPr>
            </w:pPr>
          </w:p>
        </w:tc>
        <w:tc>
          <w:tcPr>
            <w:tcW w:w="120" w:type="dxa"/>
            <w:vAlign w:val="bottom"/>
            <w:tcBorders>
              <w:bottom w:val="single" w:sz="8" w:color="B6B6B6"/>
            </w:tcBorders>
          </w:tcPr>
          <w:p>
            <w:pPr>
              <w:spacing w:after="0"/>
              <w:rPr>
                <w:sz w:val="15"/>
                <w:szCs w:val="15"/>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5"/>
                <w:szCs w:val="15"/>
                <w:color w:val="auto"/>
              </w:rPr>
            </w:pPr>
          </w:p>
        </w:tc>
        <w:tc>
          <w:tcPr>
            <w:tcW w:w="140" w:type="dxa"/>
            <w:vAlign w:val="bottom"/>
            <w:tcBorders>
              <w:bottom w:val="single" w:sz="8" w:color="B6B6B6"/>
            </w:tcBorders>
          </w:tcPr>
          <w:p>
            <w:pPr>
              <w:spacing w:after="0"/>
              <w:rPr>
                <w:sz w:val="15"/>
                <w:szCs w:val="15"/>
                <w:color w:val="auto"/>
              </w:rPr>
            </w:pPr>
          </w:p>
        </w:tc>
        <w:tc>
          <w:tcPr>
            <w:tcW w:w="86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33,534</w:t>
            </w:r>
          </w:p>
        </w:tc>
        <w:tc>
          <w:tcPr>
            <w:tcW w:w="80" w:type="dxa"/>
            <w:vAlign w:val="bottom"/>
          </w:tcPr>
          <w:p>
            <w:pPr>
              <w:spacing w:after="0"/>
              <w:rPr>
                <w:sz w:val="15"/>
                <w:szCs w:val="15"/>
                <w:color w:val="auto"/>
              </w:rPr>
            </w:pP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(3139.9)%</w:t>
            </w:r>
          </w:p>
        </w:tc>
        <w:tc>
          <w:tcPr>
            <w:tcW w:w="0" w:type="dxa"/>
            <w:vAlign w:val="bottom"/>
          </w:tcPr>
          <w:p>
            <w:pPr>
              <w:spacing w:after="0"/>
              <w:rPr>
                <w:sz w:val="1"/>
                <w:szCs w:val="1"/>
                <w:color w:val="auto"/>
              </w:rPr>
            </w:pPr>
          </w:p>
        </w:tc>
      </w:tr>
      <w:tr>
        <w:trPr>
          <w:trHeight w:val="175"/>
        </w:trPr>
        <w:tc>
          <w:tcPr>
            <w:tcW w:w="4400" w:type="dxa"/>
            <w:vAlign w:val="bottom"/>
          </w:tcPr>
          <w:p>
            <w:pPr>
              <w:ind w:left="20"/>
              <w:spacing w:after="0"/>
              <w:rPr>
                <w:sz w:val="20"/>
                <w:szCs w:val="20"/>
                <w:color w:val="auto"/>
              </w:rPr>
            </w:pPr>
            <w:r>
              <w:rPr>
                <w:rFonts w:ascii="Arial" w:cs="Arial" w:eastAsia="Arial" w:hAnsi="Arial"/>
                <w:sz w:val="13"/>
                <w:szCs w:val="13"/>
                <w:b w:val="1"/>
                <w:bCs w:val="1"/>
                <w:color w:val="auto"/>
              </w:rPr>
              <w:t>Net income (loss) attributable to GoHealth, Inc.</w:t>
            </w:r>
          </w:p>
        </w:tc>
        <w:tc>
          <w:tcPr>
            <w:tcW w:w="100" w:type="dxa"/>
            <w:vAlign w:val="bottom"/>
            <w:tcBorders>
              <w:bottom w:val="single" w:sz="8" w:color="B6B6B6"/>
            </w:tcBorders>
            <w:shd w:val="clear" w:color="auto" w:fill="B6B6B6"/>
          </w:tcPr>
          <w:p>
            <w:pPr>
              <w:spacing w:after="0"/>
              <w:rPr>
                <w:sz w:val="15"/>
                <w:szCs w:val="15"/>
                <w:color w:val="auto"/>
              </w:rPr>
            </w:pPr>
          </w:p>
        </w:tc>
        <w:tc>
          <w:tcPr>
            <w:tcW w:w="220" w:type="dxa"/>
            <w:vAlign w:val="bottom"/>
            <w:tcBorders>
              <w:bottom w:val="single" w:sz="8" w:color="B6B6B6"/>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b w:val="1"/>
                <w:bCs w:val="1"/>
                <w:color w:val="auto"/>
              </w:rPr>
              <w:t>25,509</w:t>
            </w:r>
          </w:p>
        </w:tc>
        <w:tc>
          <w:tcPr>
            <w:tcW w:w="100" w:type="dxa"/>
            <w:vAlign w:val="bottom"/>
          </w:tcPr>
          <w:p>
            <w:pPr>
              <w:spacing w:after="0"/>
              <w:rPr>
                <w:sz w:val="15"/>
                <w:szCs w:val="15"/>
                <w:color w:val="auto"/>
              </w:rPr>
            </w:pPr>
          </w:p>
        </w:tc>
        <w:tc>
          <w:tcPr>
            <w:tcW w:w="120" w:type="dxa"/>
            <w:vAlign w:val="bottom"/>
            <w:tcBorders>
              <w:bottom w:val="single" w:sz="8" w:color="B6B6B6"/>
            </w:tcBorders>
          </w:tcPr>
          <w:p>
            <w:pPr>
              <w:spacing w:after="0"/>
              <w:rPr>
                <w:sz w:val="15"/>
                <w:szCs w:val="15"/>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3"/>
                <w:szCs w:val="13"/>
                <w:b w:val="1"/>
                <w:bCs w:val="1"/>
                <w:color w:val="auto"/>
              </w:rPr>
              <w:t>6.6 %</w:t>
            </w:r>
          </w:p>
        </w:tc>
        <w:tc>
          <w:tcPr>
            <w:tcW w:w="100" w:type="dxa"/>
            <w:vAlign w:val="bottom"/>
          </w:tcPr>
          <w:p>
            <w:pPr>
              <w:spacing w:after="0"/>
              <w:rPr>
                <w:sz w:val="15"/>
                <w:szCs w:val="15"/>
                <w:color w:val="auto"/>
              </w:rPr>
            </w:pPr>
          </w:p>
        </w:tc>
        <w:tc>
          <w:tcPr>
            <w:tcW w:w="200" w:type="dxa"/>
            <w:vAlign w:val="bottom"/>
            <w:tcBorders>
              <w:bottom w:val="single" w:sz="8" w:color="B6B6B6"/>
            </w:tcBorders>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b w:val="1"/>
                <w:bCs w:val="1"/>
                <w:color w:val="auto"/>
              </w:rPr>
              <w:t>(1,226)</w:t>
            </w:r>
          </w:p>
        </w:tc>
        <w:tc>
          <w:tcPr>
            <w:tcW w:w="100" w:type="dxa"/>
            <w:vAlign w:val="bottom"/>
          </w:tcPr>
          <w:p>
            <w:pPr>
              <w:spacing w:after="0"/>
              <w:rPr>
                <w:sz w:val="15"/>
                <w:szCs w:val="15"/>
                <w:color w:val="auto"/>
              </w:rPr>
            </w:pPr>
          </w:p>
        </w:tc>
        <w:tc>
          <w:tcPr>
            <w:tcW w:w="120" w:type="dxa"/>
            <w:vAlign w:val="bottom"/>
            <w:tcBorders>
              <w:bottom w:val="single" w:sz="8" w:color="B6B6B6"/>
            </w:tcBorders>
          </w:tcPr>
          <w:p>
            <w:pPr>
              <w:spacing w:after="0"/>
              <w:rPr>
                <w:sz w:val="15"/>
                <w:szCs w:val="15"/>
                <w:color w:val="auto"/>
              </w:rPr>
            </w:pPr>
          </w:p>
        </w:tc>
        <w:tc>
          <w:tcPr>
            <w:tcW w:w="900" w:type="dxa"/>
            <w:vAlign w:val="bottom"/>
            <w:tcBorders>
              <w:bottom w:val="single" w:sz="8" w:color="B6B6B6"/>
            </w:tcBorders>
          </w:tcPr>
          <w:p>
            <w:pPr>
              <w:jc w:val="right"/>
              <w:spacing w:after="0"/>
              <w:rPr>
                <w:sz w:val="20"/>
                <w:szCs w:val="20"/>
                <w:color w:val="auto"/>
              </w:rPr>
            </w:pPr>
            <w:r>
              <w:rPr>
                <w:rFonts w:ascii="Arial" w:cs="Arial" w:eastAsia="Arial" w:hAnsi="Arial"/>
                <w:sz w:val="13"/>
                <w:szCs w:val="13"/>
                <w:b w:val="1"/>
                <w:bCs w:val="1"/>
                <w:color w:val="auto"/>
              </w:rPr>
              <w:t>(0.4)%</w:t>
            </w:r>
          </w:p>
        </w:tc>
        <w:tc>
          <w:tcPr>
            <w:tcW w:w="100" w:type="dxa"/>
            <w:vAlign w:val="bottom"/>
          </w:tcPr>
          <w:p>
            <w:pPr>
              <w:spacing w:after="0"/>
              <w:rPr>
                <w:sz w:val="15"/>
                <w:szCs w:val="15"/>
                <w:color w:val="auto"/>
              </w:rPr>
            </w:pPr>
          </w:p>
        </w:tc>
        <w:tc>
          <w:tcPr>
            <w:tcW w:w="140" w:type="dxa"/>
            <w:vAlign w:val="bottom"/>
            <w:tcBorders>
              <w:bottom w:val="single" w:sz="8" w:color="B6B6B6"/>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B6B6B6"/>
            </w:tcBorders>
          </w:tcPr>
          <w:p>
            <w:pPr>
              <w:jc w:val="right"/>
              <w:spacing w:after="0"/>
              <w:rPr>
                <w:sz w:val="20"/>
                <w:szCs w:val="20"/>
                <w:color w:val="auto"/>
              </w:rPr>
            </w:pPr>
            <w:r>
              <w:rPr>
                <w:rFonts w:ascii="Arial" w:cs="Arial" w:eastAsia="Arial" w:hAnsi="Arial"/>
                <w:sz w:val="13"/>
                <w:szCs w:val="13"/>
                <w:b w:val="1"/>
                <w:bCs w:val="1"/>
                <w:color w:val="auto"/>
              </w:rPr>
              <w:t>26,735</w:t>
            </w:r>
          </w:p>
        </w:tc>
        <w:tc>
          <w:tcPr>
            <w:tcW w:w="80" w:type="dxa"/>
            <w:vAlign w:val="bottom"/>
          </w:tcPr>
          <w:p>
            <w:pPr>
              <w:spacing w:after="0"/>
              <w:rPr>
                <w:sz w:val="15"/>
                <w:szCs w:val="15"/>
                <w:color w:val="auto"/>
              </w:rPr>
            </w:pPr>
          </w:p>
        </w:tc>
        <w:tc>
          <w:tcPr>
            <w:tcW w:w="1020" w:type="dxa"/>
            <w:vAlign w:val="bottom"/>
            <w:tcBorders>
              <w:bottom w:val="single" w:sz="8" w:color="B6B6B6"/>
            </w:tcBorders>
          </w:tcPr>
          <w:p>
            <w:pPr>
              <w:jc w:val="right"/>
              <w:spacing w:after="0"/>
              <w:rPr>
                <w:sz w:val="20"/>
                <w:szCs w:val="20"/>
                <w:color w:val="auto"/>
              </w:rPr>
            </w:pPr>
            <w:r>
              <w:rPr>
                <w:rFonts w:ascii="Arial" w:cs="Arial" w:eastAsia="Arial" w:hAnsi="Arial"/>
                <w:sz w:val="13"/>
                <w:szCs w:val="13"/>
                <w:b w:val="1"/>
                <w:bCs w:val="1"/>
                <w:color w:val="auto"/>
              </w:rPr>
              <w:t>(2180.7)%</w:t>
            </w:r>
          </w:p>
        </w:tc>
        <w:tc>
          <w:tcPr>
            <w:tcW w:w="0" w:type="dxa"/>
            <w:vAlign w:val="bottom"/>
          </w:tcPr>
          <w:p>
            <w:pPr>
              <w:spacing w:after="0"/>
              <w:rPr>
                <w:sz w:val="1"/>
                <w:szCs w:val="1"/>
                <w:color w:val="auto"/>
              </w:rPr>
            </w:pPr>
          </w:p>
        </w:tc>
      </w:tr>
      <w:tr>
        <w:trPr>
          <w:trHeight w:val="21"/>
        </w:trPr>
        <w:tc>
          <w:tcPr>
            <w:tcW w:w="440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Net income (loss) per share:</w:t>
            </w:r>
          </w:p>
        </w:tc>
        <w:tc>
          <w:tcPr>
            <w:tcW w:w="100" w:type="dxa"/>
            <w:vAlign w:val="bottom"/>
            <w:tcBorders>
              <w:bottom w:val="single" w:sz="8" w:color="B6B6B6"/>
            </w:tcBorders>
            <w:shd w:val="clear" w:color="auto" w:fill="B6B6B6"/>
          </w:tcPr>
          <w:p>
            <w:pPr>
              <w:spacing w:after="0" w:line="20" w:lineRule="exact"/>
              <w:rPr>
                <w:sz w:val="1"/>
                <w:szCs w:val="1"/>
                <w:color w:val="auto"/>
              </w:rPr>
            </w:pPr>
          </w:p>
        </w:tc>
        <w:tc>
          <w:tcPr>
            <w:tcW w:w="220" w:type="dxa"/>
            <w:vAlign w:val="bottom"/>
            <w:tcBorders>
              <w:bottom w:val="single" w:sz="8" w:color="B6B6B6"/>
            </w:tcBorders>
          </w:tcPr>
          <w:p>
            <w:pPr>
              <w:spacing w:after="0" w:line="20" w:lineRule="exact"/>
              <w:rPr>
                <w:sz w:val="1"/>
                <w:szCs w:val="1"/>
                <w:color w:val="auto"/>
              </w:rPr>
            </w:pPr>
          </w:p>
        </w:tc>
        <w:tc>
          <w:tcPr>
            <w:tcW w:w="88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B6B6B6"/>
            </w:tcBorders>
          </w:tcPr>
          <w:p>
            <w:pPr>
              <w:spacing w:after="0" w:line="20" w:lineRule="exact"/>
              <w:rPr>
                <w:sz w:val="1"/>
                <w:szCs w:val="1"/>
                <w:color w:val="auto"/>
              </w:rPr>
            </w:pPr>
          </w:p>
        </w:tc>
        <w:tc>
          <w:tcPr>
            <w:tcW w:w="90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B6B6B6"/>
            </w:tcBorders>
          </w:tcPr>
          <w:p>
            <w:pPr>
              <w:spacing w:after="0" w:line="20" w:lineRule="exact"/>
              <w:rPr>
                <w:sz w:val="1"/>
                <w:szCs w:val="1"/>
                <w:color w:val="auto"/>
              </w:rPr>
            </w:pPr>
          </w:p>
        </w:tc>
        <w:tc>
          <w:tcPr>
            <w:tcW w:w="90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B6B6B6"/>
            </w:tcBorders>
          </w:tcPr>
          <w:p>
            <w:pPr>
              <w:spacing w:after="0" w:line="20" w:lineRule="exact"/>
              <w:rPr>
                <w:sz w:val="1"/>
                <w:szCs w:val="1"/>
                <w:color w:val="auto"/>
              </w:rPr>
            </w:pPr>
          </w:p>
        </w:tc>
        <w:tc>
          <w:tcPr>
            <w:tcW w:w="90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B6B6B6"/>
            </w:tcBorders>
          </w:tcPr>
          <w:p>
            <w:pPr>
              <w:spacing w:after="0" w:line="20" w:lineRule="exact"/>
              <w:rPr>
                <w:sz w:val="1"/>
                <w:szCs w:val="1"/>
                <w:color w:val="auto"/>
              </w:rPr>
            </w:pPr>
          </w:p>
        </w:tc>
        <w:tc>
          <w:tcPr>
            <w:tcW w:w="86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4400" w:type="dxa"/>
            <w:vAlign w:val="bottom"/>
            <w:vMerge w:val="continue"/>
          </w:tcPr>
          <w:p>
            <w:pPr>
              <w:spacing w:after="0"/>
              <w:rPr>
                <w:sz w:val="11"/>
                <w:szCs w:val="11"/>
                <w:color w:val="auto"/>
              </w:rPr>
            </w:pPr>
          </w:p>
        </w:tc>
        <w:tc>
          <w:tcPr>
            <w:tcW w:w="100" w:type="dxa"/>
            <w:vAlign w:val="bottom"/>
            <w:shd w:val="clear" w:color="auto" w:fill="B6B6B6"/>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20"/>
              <w:spacing w:after="0"/>
              <w:rPr>
                <w:sz w:val="20"/>
                <w:szCs w:val="20"/>
                <w:color w:val="auto"/>
              </w:rPr>
            </w:pPr>
            <w:r>
              <w:rPr>
                <w:rFonts w:ascii="Arial" w:cs="Arial" w:eastAsia="Arial" w:hAnsi="Arial"/>
                <w:sz w:val="13"/>
                <w:szCs w:val="13"/>
                <w:color w:val="auto"/>
              </w:rPr>
              <w:t>Net income (loss) per share of Class A common stock — basic</w:t>
            </w:r>
          </w:p>
        </w:tc>
        <w:tc>
          <w:tcPr>
            <w:tcW w:w="100" w:type="dxa"/>
            <w:vAlign w:val="bottom"/>
            <w:shd w:val="clear" w:color="auto" w:fill="B6B6B6"/>
          </w:tcPr>
          <w:p>
            <w:pPr>
              <w:spacing w:after="0"/>
              <w:rPr>
                <w:sz w:val="15"/>
                <w:szCs w:val="15"/>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2.42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(0.22)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20"/>
              <w:spacing w:after="0"/>
              <w:rPr>
                <w:sz w:val="20"/>
                <w:szCs w:val="20"/>
                <w:color w:val="auto"/>
              </w:rPr>
            </w:pPr>
            <w:r>
              <w:rPr>
                <w:rFonts w:ascii="Arial" w:cs="Arial" w:eastAsia="Arial" w:hAnsi="Arial"/>
                <w:sz w:val="13"/>
                <w:szCs w:val="13"/>
                <w:color w:val="auto"/>
              </w:rPr>
              <w:t>Net income (loss) per share of Class A common stock — diluted</w:t>
            </w:r>
          </w:p>
        </w:tc>
        <w:tc>
          <w:tcPr>
            <w:tcW w:w="100" w:type="dxa"/>
            <w:vAlign w:val="bottom"/>
            <w:shd w:val="clear" w:color="auto" w:fill="B6B6B6"/>
          </w:tcPr>
          <w:p>
            <w:pPr>
              <w:spacing w:after="0"/>
              <w:rPr>
                <w:sz w:val="15"/>
                <w:szCs w:val="15"/>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1.56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(0.22)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0" w:type="dxa"/>
            <w:vAlign w:val="bottom"/>
          </w:tcPr>
          <w:p>
            <w:pPr>
              <w:ind w:left="20"/>
              <w:spacing w:after="0"/>
              <w:rPr>
                <w:sz w:val="20"/>
                <w:szCs w:val="20"/>
                <w:color w:val="auto"/>
              </w:rPr>
            </w:pPr>
            <w:r>
              <w:rPr>
                <w:rFonts w:ascii="Arial" w:cs="Arial" w:eastAsia="Arial" w:hAnsi="Arial"/>
                <w:sz w:val="13"/>
                <w:szCs w:val="13"/>
                <w:color w:val="auto"/>
              </w:rPr>
              <w:t>Weighted-average shares of Class A common stock outstanding — basic</w:t>
            </w:r>
          </w:p>
        </w:tc>
        <w:tc>
          <w:tcPr>
            <w:tcW w:w="100" w:type="dxa"/>
            <w:vAlign w:val="bottom"/>
            <w:shd w:val="clear" w:color="auto" w:fill="B6B6B6"/>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10,152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9,582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20"/>
              <w:spacing w:after="0"/>
              <w:rPr>
                <w:sz w:val="20"/>
                <w:szCs w:val="20"/>
                <w:color w:val="auto"/>
              </w:rPr>
            </w:pPr>
            <w:r>
              <w:rPr>
                <w:rFonts w:ascii="Arial" w:cs="Arial" w:eastAsia="Arial" w:hAnsi="Arial"/>
                <w:sz w:val="13"/>
                <w:szCs w:val="13"/>
                <w:color w:val="auto"/>
              </w:rPr>
              <w:t>Weighted-average shares of Class A common stock outstanding —diluted</w:t>
            </w:r>
          </w:p>
        </w:tc>
        <w:tc>
          <w:tcPr>
            <w:tcW w:w="100" w:type="dxa"/>
            <w:vAlign w:val="bottom"/>
            <w:shd w:val="clear" w:color="auto" w:fill="B6B6B6"/>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16,370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9,582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0" w:type="dxa"/>
            <w:vAlign w:val="bottom"/>
          </w:tcPr>
          <w:p>
            <w:pPr>
              <w:ind w:left="20"/>
              <w:spacing w:after="0"/>
              <w:rPr>
                <w:sz w:val="20"/>
                <w:szCs w:val="20"/>
                <w:color w:val="auto"/>
              </w:rPr>
            </w:pPr>
            <w:r>
              <w:rPr>
                <w:rFonts w:ascii="Arial" w:cs="Arial" w:eastAsia="Arial" w:hAnsi="Arial"/>
                <w:sz w:val="13"/>
                <w:szCs w:val="13"/>
                <w:i w:val="1"/>
                <w:iCs w:val="1"/>
                <w:color w:val="auto"/>
              </w:rPr>
              <w:t>Non-GAAP financial measures:</w:t>
            </w:r>
          </w:p>
        </w:tc>
        <w:tc>
          <w:tcPr>
            <w:tcW w:w="100" w:type="dxa"/>
            <w:vAlign w:val="bottom"/>
            <w:shd w:val="clear" w:color="auto" w:fill="B6B6B6"/>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240"/>
              <w:spacing w:after="0"/>
              <w:rPr>
                <w:sz w:val="20"/>
                <w:szCs w:val="20"/>
                <w:color w:val="auto"/>
              </w:rPr>
            </w:pPr>
            <w:r>
              <w:rPr>
                <w:rFonts w:ascii="Arial" w:cs="Arial" w:eastAsia="Arial" w:hAnsi="Arial"/>
                <w:sz w:val="13"/>
                <w:szCs w:val="13"/>
                <w:color w:val="auto"/>
              </w:rPr>
              <w:t>EBITDA</w:t>
            </w:r>
          </w:p>
        </w:tc>
        <w:tc>
          <w:tcPr>
            <w:tcW w:w="100" w:type="dxa"/>
            <w:vAlign w:val="bottom"/>
            <w:shd w:val="clear" w:color="auto" w:fill="B6B6B6"/>
          </w:tcPr>
          <w:p>
            <w:pPr>
              <w:spacing w:after="0"/>
              <w:rPr>
                <w:sz w:val="15"/>
                <w:szCs w:val="15"/>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105,026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42,684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0" w:type="dxa"/>
            <w:vAlign w:val="bottom"/>
          </w:tcPr>
          <w:p>
            <w:pPr>
              <w:ind w:left="240"/>
              <w:spacing w:after="0"/>
              <w:rPr>
                <w:sz w:val="20"/>
                <w:szCs w:val="20"/>
                <w:color w:val="auto"/>
              </w:rPr>
            </w:pPr>
            <w:r>
              <w:rPr>
                <w:rFonts w:ascii="Arial" w:cs="Arial" w:eastAsia="Arial" w:hAnsi="Arial"/>
                <w:sz w:val="13"/>
                <w:szCs w:val="13"/>
                <w:color w:val="auto"/>
              </w:rPr>
              <w:t>Adjusted EBITDA</w:t>
            </w:r>
          </w:p>
        </w:tc>
        <w:tc>
          <w:tcPr>
            <w:tcW w:w="100" w:type="dxa"/>
            <w:vAlign w:val="bottom"/>
            <w:shd w:val="clear" w:color="auto" w:fill="B6B6B6"/>
          </w:tcPr>
          <w:p>
            <w:pPr>
              <w:spacing w:after="0"/>
              <w:rPr>
                <w:sz w:val="15"/>
                <w:szCs w:val="15"/>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117,839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57,000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0" w:type="dxa"/>
            <w:vAlign w:val="bottom"/>
          </w:tcPr>
          <w:p>
            <w:pPr>
              <w:ind w:left="240"/>
              <w:spacing w:after="0"/>
              <w:rPr>
                <w:sz w:val="20"/>
                <w:szCs w:val="20"/>
                <w:color w:val="auto"/>
              </w:rPr>
            </w:pPr>
            <w:r>
              <w:rPr>
                <w:rFonts w:ascii="Arial" w:cs="Arial" w:eastAsia="Arial" w:hAnsi="Arial"/>
                <w:sz w:val="13"/>
                <w:szCs w:val="13"/>
                <w:color w:val="auto"/>
              </w:rPr>
              <w:t>Net income (loss) margin</w:t>
            </w:r>
          </w:p>
        </w:tc>
        <w:tc>
          <w:tcPr>
            <w:tcW w:w="100" w:type="dxa"/>
            <w:vAlign w:val="bottom"/>
            <w:shd w:val="clear" w:color="auto" w:fill="B6B6B6"/>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14.9 %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400" w:type="dxa"/>
            <w:vAlign w:val="bottom"/>
          </w:tcPr>
          <w:p>
            <w:pPr>
              <w:ind w:left="240"/>
              <w:spacing w:after="0"/>
              <w:rPr>
                <w:sz w:val="20"/>
                <w:szCs w:val="20"/>
                <w:color w:val="auto"/>
              </w:rPr>
            </w:pPr>
            <w:r>
              <w:rPr>
                <w:rFonts w:ascii="Arial" w:cs="Arial" w:eastAsia="Arial" w:hAnsi="Arial"/>
                <w:sz w:val="13"/>
                <w:szCs w:val="13"/>
                <w:color w:val="auto"/>
              </w:rPr>
              <w:t>Adjusted EBITDA margin</w:t>
            </w:r>
          </w:p>
        </w:tc>
        <w:tc>
          <w:tcPr>
            <w:tcW w:w="100" w:type="dxa"/>
            <w:vAlign w:val="bottom"/>
            <w:shd w:val="clear" w:color="auto" w:fill="B6B6B6"/>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30.3 %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20.6 %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NM = Not meaningful</w:t>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773"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100" w:type="dxa"/>
            <w:vAlign w:val="bottom"/>
            <w:shd w:val="clear" w:color="auto" w:fill="B6B6B6"/>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rPr>
              <w:t>Twelve months ended Dec. 31,</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400" w:type="dxa"/>
            <w:vAlign w:val="bottom"/>
          </w:tcPr>
          <w:p>
            <w:pPr>
              <w:spacing w:after="0"/>
              <w:rPr>
                <w:sz w:val="15"/>
                <w:szCs w:val="15"/>
                <w:color w:val="auto"/>
              </w:rPr>
            </w:pPr>
          </w:p>
        </w:tc>
        <w:tc>
          <w:tcPr>
            <w:tcW w:w="100" w:type="dxa"/>
            <w:vAlign w:val="bottom"/>
            <w:tcBorders>
              <w:bottom w:val="single" w:sz="8" w:color="B6B6B6"/>
            </w:tcBorders>
            <w:shd w:val="clear" w:color="auto" w:fill="B6B6B6"/>
          </w:tcPr>
          <w:p>
            <w:pPr>
              <w:spacing w:after="0"/>
              <w:rPr>
                <w:sz w:val="15"/>
                <w:szCs w:val="15"/>
                <w:color w:val="auto"/>
              </w:rPr>
            </w:pPr>
          </w:p>
        </w:tc>
        <w:tc>
          <w:tcPr>
            <w:tcW w:w="240" w:type="dxa"/>
            <w:vAlign w:val="bottom"/>
            <w:tcBorders>
              <w:bottom w:val="single" w:sz="8" w:color="B6B6B6"/>
            </w:tcBorders>
          </w:tcPr>
          <w:p>
            <w:pPr>
              <w:spacing w:after="0"/>
              <w:rPr>
                <w:sz w:val="15"/>
                <w:szCs w:val="15"/>
                <w:color w:val="auto"/>
              </w:rPr>
            </w:pPr>
          </w:p>
        </w:tc>
        <w:tc>
          <w:tcPr>
            <w:tcW w:w="1020" w:type="dxa"/>
            <w:vAlign w:val="bottom"/>
            <w:tcBorders>
              <w:bottom w:val="single" w:sz="8" w:color="B6B6B6"/>
            </w:tcBorders>
            <w:gridSpan w:val="2"/>
          </w:tcPr>
          <w:p>
            <w:pPr>
              <w:jc w:val="right"/>
              <w:spacing w:after="0"/>
              <w:rPr>
                <w:sz w:val="20"/>
                <w:szCs w:val="20"/>
                <w:color w:val="auto"/>
              </w:rPr>
            </w:pPr>
            <w:r>
              <w:rPr>
                <w:rFonts w:ascii="Arial" w:cs="Arial" w:eastAsia="Arial" w:hAnsi="Arial"/>
                <w:sz w:val="13"/>
                <w:szCs w:val="13"/>
                <w:b w:val="1"/>
                <w:bCs w:val="1"/>
                <w:color w:val="auto"/>
              </w:rPr>
              <w:t>2024</w:t>
            </w:r>
          </w:p>
        </w:tc>
        <w:tc>
          <w:tcPr>
            <w:tcW w:w="980" w:type="dxa"/>
            <w:vAlign w:val="bottom"/>
            <w:tcBorders>
              <w:bottom w:val="single" w:sz="8" w:color="B6B6B6"/>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B6B6B6"/>
            </w:tcBorders>
          </w:tcPr>
          <w:p>
            <w:pPr>
              <w:spacing w:after="0"/>
              <w:rPr>
                <w:sz w:val="15"/>
                <w:szCs w:val="15"/>
                <w:color w:val="auto"/>
              </w:rPr>
            </w:pPr>
          </w:p>
        </w:tc>
        <w:tc>
          <w:tcPr>
            <w:tcW w:w="1020" w:type="dxa"/>
            <w:vAlign w:val="bottom"/>
            <w:tcBorders>
              <w:bottom w:val="single" w:sz="8" w:color="B6B6B6"/>
            </w:tcBorders>
            <w:gridSpan w:val="2"/>
          </w:tcPr>
          <w:p>
            <w:pPr>
              <w:jc w:val="right"/>
              <w:spacing w:after="0"/>
              <w:rPr>
                <w:sz w:val="20"/>
                <w:szCs w:val="20"/>
                <w:color w:val="auto"/>
              </w:rPr>
            </w:pPr>
            <w:r>
              <w:rPr>
                <w:rFonts w:ascii="Arial" w:cs="Arial" w:eastAsia="Arial" w:hAnsi="Arial"/>
                <w:sz w:val="13"/>
                <w:szCs w:val="13"/>
                <w:b w:val="1"/>
                <w:bCs w:val="1"/>
                <w:color w:val="auto"/>
              </w:rPr>
              <w:t>2023</w:t>
            </w:r>
          </w:p>
        </w:tc>
        <w:tc>
          <w:tcPr>
            <w:tcW w:w="980" w:type="dxa"/>
            <w:vAlign w:val="bottom"/>
            <w:tcBorders>
              <w:bottom w:val="single" w:sz="8" w:color="B6B6B6"/>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400" w:type="dxa"/>
            <w:vAlign w:val="bottom"/>
          </w:tcPr>
          <w:p>
            <w:pPr>
              <w:spacing w:after="0"/>
              <w:rPr>
                <w:sz w:val="10"/>
                <w:szCs w:val="10"/>
                <w:color w:val="auto"/>
              </w:rPr>
            </w:pPr>
          </w:p>
        </w:tc>
        <w:tc>
          <w:tcPr>
            <w:tcW w:w="100" w:type="dxa"/>
            <w:vAlign w:val="bottom"/>
            <w:shd w:val="clear" w:color="auto" w:fill="B6B6B6"/>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3"/>
                <w:szCs w:val="13"/>
                <w:b w:val="1"/>
                <w:bCs w:val="1"/>
                <w:color w:val="auto"/>
              </w:rPr>
              <w:t>Dollars</w:t>
            </w: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 of Net</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3"/>
                <w:szCs w:val="13"/>
                <w:b w:val="1"/>
                <w:bCs w:val="1"/>
                <w:color w:val="auto"/>
              </w:rPr>
              <w:t>Dollars</w:t>
            </w: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 of Net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 Change</w:t>
            </w:r>
          </w:p>
        </w:tc>
        <w:tc>
          <w:tcPr>
            <w:tcW w:w="9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85"/>
        </w:trPr>
        <w:tc>
          <w:tcPr>
            <w:tcW w:w="4400" w:type="dxa"/>
            <w:vAlign w:val="bottom"/>
          </w:tcPr>
          <w:p>
            <w:pPr>
              <w:ind w:left="20"/>
              <w:spacing w:after="0"/>
              <w:rPr>
                <w:sz w:val="20"/>
                <w:szCs w:val="20"/>
                <w:color w:val="auto"/>
              </w:rPr>
            </w:pPr>
            <w:r>
              <w:rPr>
                <w:rFonts w:ascii="Arial" w:cs="Arial" w:eastAsia="Arial" w:hAnsi="Arial"/>
                <w:sz w:val="13"/>
                <w:szCs w:val="13"/>
                <w:color w:val="auto"/>
              </w:rPr>
              <w:t>(in thousands, except percentages and per share amounts)</w:t>
            </w:r>
          </w:p>
        </w:tc>
        <w:tc>
          <w:tcPr>
            <w:tcW w:w="100" w:type="dxa"/>
            <w:vAlign w:val="bottom"/>
            <w:shd w:val="clear" w:color="auto" w:fill="B6B6B6"/>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Revenues</w:t>
            </w:r>
          </w:p>
        </w:tc>
        <w:tc>
          <w:tcPr>
            <w:tcW w:w="2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Revenues</w:t>
            </w: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400" w:type="dxa"/>
            <w:vAlign w:val="bottom"/>
            <w:tcBorders>
              <w:top w:val="single" w:sz="8" w:color="B6B6B6"/>
            </w:tcBorders>
          </w:tcPr>
          <w:p>
            <w:pPr>
              <w:ind w:left="20"/>
              <w:spacing w:after="0"/>
              <w:rPr>
                <w:sz w:val="20"/>
                <w:szCs w:val="20"/>
                <w:color w:val="auto"/>
              </w:rPr>
            </w:pPr>
            <w:r>
              <w:rPr>
                <w:rFonts w:ascii="Arial" w:cs="Arial" w:eastAsia="Arial" w:hAnsi="Arial"/>
                <w:sz w:val="13"/>
                <w:szCs w:val="13"/>
                <w:color w:val="auto"/>
              </w:rPr>
              <w:t>Net revenues</w:t>
            </w:r>
          </w:p>
        </w:tc>
        <w:tc>
          <w:tcPr>
            <w:tcW w:w="100" w:type="dxa"/>
            <w:vAlign w:val="bottom"/>
            <w:tcBorders>
              <w:top w:val="single" w:sz="8" w:color="B6B6B6"/>
            </w:tcBorders>
            <w:shd w:val="clear" w:color="auto" w:fill="B6B6B6"/>
          </w:tcPr>
          <w:p>
            <w:pPr>
              <w:spacing w:after="0"/>
              <w:rPr>
                <w:sz w:val="14"/>
                <w:szCs w:val="14"/>
                <w:color w:val="auto"/>
              </w:rPr>
            </w:pPr>
          </w:p>
        </w:tc>
        <w:tc>
          <w:tcPr>
            <w:tcW w:w="240" w:type="dxa"/>
            <w:vAlign w:val="bottom"/>
            <w:tcBorders>
              <w:top w:val="single" w:sz="8" w:color="B6B6B6"/>
            </w:tcBorders>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B6B6B6"/>
            </w:tcBorders>
          </w:tcPr>
          <w:p>
            <w:pPr>
              <w:jc w:val="right"/>
              <w:ind w:right="97"/>
              <w:spacing w:after="0"/>
              <w:rPr>
                <w:sz w:val="20"/>
                <w:szCs w:val="20"/>
                <w:color w:val="auto"/>
              </w:rPr>
            </w:pPr>
            <w:r>
              <w:rPr>
                <w:rFonts w:ascii="Arial" w:cs="Arial" w:eastAsia="Arial" w:hAnsi="Arial"/>
                <w:sz w:val="13"/>
                <w:szCs w:val="13"/>
                <w:color w:val="auto"/>
              </w:rPr>
              <w:t>798,894</w:t>
            </w:r>
          </w:p>
        </w:tc>
        <w:tc>
          <w:tcPr>
            <w:tcW w:w="100" w:type="dxa"/>
            <w:vAlign w:val="bottom"/>
          </w:tcPr>
          <w:p>
            <w:pPr>
              <w:spacing w:after="0"/>
              <w:rPr>
                <w:sz w:val="14"/>
                <w:szCs w:val="14"/>
                <w:color w:val="auto"/>
              </w:rPr>
            </w:pPr>
          </w:p>
        </w:tc>
        <w:tc>
          <w:tcPr>
            <w:tcW w:w="980" w:type="dxa"/>
            <w:vAlign w:val="bottom"/>
            <w:tcBorders>
              <w:top w:val="single" w:sz="8" w:color="B6B6B6"/>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Pr>
          <w:p>
            <w:pPr>
              <w:spacing w:after="0"/>
              <w:rPr>
                <w:sz w:val="14"/>
                <w:szCs w:val="14"/>
                <w:color w:val="auto"/>
              </w:rPr>
            </w:pPr>
          </w:p>
        </w:tc>
        <w:tc>
          <w:tcPr>
            <w:tcW w:w="240" w:type="dxa"/>
            <w:vAlign w:val="bottom"/>
            <w:tcBorders>
              <w:top w:val="single" w:sz="8" w:color="B6B6B6"/>
            </w:tcBorders>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B6B6B6"/>
            </w:tcBorders>
          </w:tcPr>
          <w:p>
            <w:pPr>
              <w:jc w:val="right"/>
              <w:ind w:right="97"/>
              <w:spacing w:after="0"/>
              <w:rPr>
                <w:sz w:val="20"/>
                <w:szCs w:val="20"/>
                <w:color w:val="auto"/>
              </w:rPr>
            </w:pPr>
            <w:r>
              <w:rPr>
                <w:rFonts w:ascii="Arial" w:cs="Arial" w:eastAsia="Arial" w:hAnsi="Arial"/>
                <w:sz w:val="13"/>
                <w:szCs w:val="13"/>
                <w:color w:val="auto"/>
              </w:rPr>
              <w:t>734,671</w:t>
            </w:r>
          </w:p>
        </w:tc>
        <w:tc>
          <w:tcPr>
            <w:tcW w:w="100" w:type="dxa"/>
            <w:vAlign w:val="bottom"/>
          </w:tcPr>
          <w:p>
            <w:pPr>
              <w:spacing w:after="0"/>
              <w:rPr>
                <w:sz w:val="14"/>
                <w:szCs w:val="14"/>
                <w:color w:val="auto"/>
              </w:rPr>
            </w:pPr>
          </w:p>
        </w:tc>
        <w:tc>
          <w:tcPr>
            <w:tcW w:w="980" w:type="dxa"/>
            <w:vAlign w:val="bottom"/>
            <w:tcBorders>
              <w:top w:val="single" w:sz="8" w:color="B6B6B6"/>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Pr>
          <w:p>
            <w:pPr>
              <w:spacing w:after="0"/>
              <w:rPr>
                <w:sz w:val="14"/>
                <w:szCs w:val="14"/>
                <w:color w:val="auto"/>
              </w:rPr>
            </w:pPr>
          </w:p>
        </w:tc>
        <w:tc>
          <w:tcPr>
            <w:tcW w:w="180" w:type="dxa"/>
            <w:vAlign w:val="bottom"/>
            <w:tcBorders>
              <w:top w:val="single" w:sz="8" w:color="B6B6B6"/>
            </w:tcBorders>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B6B6B6"/>
            </w:tcBorders>
          </w:tcPr>
          <w:p>
            <w:pPr>
              <w:jc w:val="right"/>
              <w:spacing w:after="0"/>
              <w:rPr>
                <w:sz w:val="20"/>
                <w:szCs w:val="20"/>
                <w:color w:val="auto"/>
              </w:rPr>
            </w:pPr>
            <w:r>
              <w:rPr>
                <w:rFonts w:ascii="Arial" w:cs="Arial" w:eastAsia="Arial" w:hAnsi="Arial"/>
                <w:sz w:val="13"/>
                <w:szCs w:val="13"/>
                <w:color w:val="auto"/>
              </w:rPr>
              <w:t>64,223</w:t>
            </w:r>
          </w:p>
        </w:tc>
        <w:tc>
          <w:tcPr>
            <w:tcW w:w="100" w:type="dxa"/>
            <w:vAlign w:val="bottom"/>
          </w:tcPr>
          <w:p>
            <w:pPr>
              <w:spacing w:after="0"/>
              <w:rPr>
                <w:sz w:val="14"/>
                <w:szCs w:val="14"/>
                <w:color w:val="auto"/>
              </w:rPr>
            </w:pPr>
          </w:p>
        </w:tc>
        <w:tc>
          <w:tcPr>
            <w:tcW w:w="940" w:type="dxa"/>
            <w:vAlign w:val="bottom"/>
            <w:tcBorders>
              <w:top w:val="single" w:sz="8" w:color="B6B6B6"/>
            </w:tcBorders>
          </w:tcPr>
          <w:p>
            <w:pPr>
              <w:jc w:val="right"/>
              <w:spacing w:after="0"/>
              <w:rPr>
                <w:sz w:val="20"/>
                <w:szCs w:val="20"/>
                <w:color w:val="auto"/>
              </w:rPr>
            </w:pPr>
            <w:r>
              <w:rPr>
                <w:rFonts w:ascii="Arial" w:cs="Arial" w:eastAsia="Arial" w:hAnsi="Arial"/>
                <w:sz w:val="13"/>
                <w:szCs w:val="13"/>
                <w:color w:val="auto"/>
              </w:rPr>
              <w:t>8.7 %</w:t>
            </w:r>
          </w:p>
        </w:tc>
        <w:tc>
          <w:tcPr>
            <w:tcW w:w="0" w:type="dxa"/>
            <w:vAlign w:val="bottom"/>
          </w:tcPr>
          <w:p>
            <w:pPr>
              <w:spacing w:after="0"/>
              <w:rPr>
                <w:sz w:val="1"/>
                <w:szCs w:val="1"/>
                <w:color w:val="auto"/>
              </w:rPr>
            </w:pPr>
          </w:p>
        </w:tc>
      </w:tr>
      <w:tr>
        <w:trPr>
          <w:trHeight w:val="171"/>
        </w:trPr>
        <w:tc>
          <w:tcPr>
            <w:tcW w:w="4400" w:type="dxa"/>
            <w:vAlign w:val="bottom"/>
          </w:tcPr>
          <w:p>
            <w:pPr>
              <w:ind w:left="20"/>
              <w:spacing w:after="0"/>
              <w:rPr>
                <w:sz w:val="20"/>
                <w:szCs w:val="20"/>
                <w:color w:val="auto"/>
              </w:rPr>
            </w:pPr>
            <w:r>
              <w:rPr>
                <w:rFonts w:ascii="Arial" w:cs="Arial" w:eastAsia="Arial" w:hAnsi="Arial"/>
                <w:sz w:val="13"/>
                <w:szCs w:val="13"/>
                <w:i w:val="1"/>
                <w:iCs w:val="1"/>
                <w:color w:val="auto"/>
              </w:rPr>
              <w:t>Operating expenses:</w:t>
            </w:r>
          </w:p>
        </w:tc>
        <w:tc>
          <w:tcPr>
            <w:tcW w:w="100" w:type="dxa"/>
            <w:vAlign w:val="bottom"/>
            <w:shd w:val="clear" w:color="auto" w:fill="B6B6B6"/>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240"/>
              <w:spacing w:after="0"/>
              <w:rPr>
                <w:sz w:val="20"/>
                <w:szCs w:val="20"/>
                <w:color w:val="auto"/>
              </w:rPr>
            </w:pPr>
            <w:r>
              <w:rPr>
                <w:rFonts w:ascii="Arial" w:cs="Arial" w:eastAsia="Arial" w:hAnsi="Arial"/>
                <w:sz w:val="13"/>
                <w:szCs w:val="13"/>
                <w:color w:val="auto"/>
              </w:rPr>
              <w:t>Revenue share</w:t>
            </w:r>
          </w:p>
        </w:tc>
        <w:tc>
          <w:tcPr>
            <w:tcW w:w="100" w:type="dxa"/>
            <w:vAlign w:val="bottom"/>
            <w:shd w:val="clear" w:color="auto" w:fill="B6B6B6"/>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130,612</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16.3 %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158,961</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21.6 %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(28,349)</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175"/>
        </w:trPr>
        <w:tc>
          <w:tcPr>
            <w:tcW w:w="4400" w:type="dxa"/>
            <w:vAlign w:val="bottom"/>
          </w:tcPr>
          <w:p>
            <w:pPr>
              <w:ind w:left="240"/>
              <w:spacing w:after="0"/>
              <w:rPr>
                <w:sz w:val="20"/>
                <w:szCs w:val="20"/>
                <w:color w:val="auto"/>
              </w:rPr>
            </w:pPr>
            <w:r>
              <w:rPr>
                <w:rFonts w:ascii="Arial" w:cs="Arial" w:eastAsia="Arial" w:hAnsi="Arial"/>
                <w:sz w:val="13"/>
                <w:szCs w:val="13"/>
                <w:color w:val="auto"/>
              </w:rPr>
              <w:t>Marketing and advertising expense</w:t>
            </w:r>
          </w:p>
        </w:tc>
        <w:tc>
          <w:tcPr>
            <w:tcW w:w="100" w:type="dxa"/>
            <w:vAlign w:val="bottom"/>
            <w:shd w:val="clear" w:color="auto" w:fill="B6B6B6"/>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235,696</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29.5 %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205,042</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27.9 %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30,654</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15.0 %</w:t>
            </w:r>
          </w:p>
        </w:tc>
        <w:tc>
          <w:tcPr>
            <w:tcW w:w="0" w:type="dxa"/>
            <w:vAlign w:val="bottom"/>
          </w:tcPr>
          <w:p>
            <w:pPr>
              <w:spacing w:after="0"/>
              <w:rPr>
                <w:sz w:val="1"/>
                <w:szCs w:val="1"/>
                <w:color w:val="auto"/>
              </w:rPr>
            </w:pPr>
          </w:p>
        </w:tc>
      </w:tr>
      <w:tr>
        <w:trPr>
          <w:trHeight w:val="176"/>
        </w:trPr>
        <w:tc>
          <w:tcPr>
            <w:tcW w:w="4400" w:type="dxa"/>
            <w:vAlign w:val="bottom"/>
          </w:tcPr>
          <w:p>
            <w:pPr>
              <w:ind w:left="240"/>
              <w:spacing w:after="0"/>
              <w:rPr>
                <w:sz w:val="20"/>
                <w:szCs w:val="20"/>
                <w:color w:val="auto"/>
              </w:rPr>
            </w:pPr>
            <w:r>
              <w:rPr>
                <w:rFonts w:ascii="Arial" w:cs="Arial" w:eastAsia="Arial" w:hAnsi="Arial"/>
                <w:sz w:val="13"/>
                <w:szCs w:val="13"/>
                <w:color w:val="auto"/>
              </w:rPr>
              <w:t>Consumer care and enrollment</w:t>
            </w:r>
          </w:p>
        </w:tc>
        <w:tc>
          <w:tcPr>
            <w:tcW w:w="100" w:type="dxa"/>
            <w:vAlign w:val="bottom"/>
            <w:shd w:val="clear" w:color="auto" w:fill="B6B6B6"/>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222,414</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27.8 %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209,234</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28.5 %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13,180</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6.3 %</w:t>
            </w:r>
          </w:p>
        </w:tc>
        <w:tc>
          <w:tcPr>
            <w:tcW w:w="0" w:type="dxa"/>
            <w:vAlign w:val="bottom"/>
          </w:tcPr>
          <w:p>
            <w:pPr>
              <w:spacing w:after="0"/>
              <w:rPr>
                <w:sz w:val="1"/>
                <w:szCs w:val="1"/>
                <w:color w:val="auto"/>
              </w:rPr>
            </w:pPr>
          </w:p>
        </w:tc>
      </w:tr>
      <w:tr>
        <w:trPr>
          <w:trHeight w:val="175"/>
        </w:trPr>
        <w:tc>
          <w:tcPr>
            <w:tcW w:w="4400" w:type="dxa"/>
            <w:vAlign w:val="bottom"/>
          </w:tcPr>
          <w:p>
            <w:pPr>
              <w:ind w:left="240"/>
              <w:spacing w:after="0"/>
              <w:rPr>
                <w:sz w:val="20"/>
                <w:szCs w:val="20"/>
                <w:color w:val="auto"/>
              </w:rPr>
            </w:pPr>
            <w:r>
              <w:rPr>
                <w:rFonts w:ascii="Arial" w:cs="Arial" w:eastAsia="Arial" w:hAnsi="Arial"/>
                <w:sz w:val="13"/>
                <w:szCs w:val="13"/>
                <w:color w:val="auto"/>
              </w:rPr>
              <w:t>Technology expense</w:t>
            </w:r>
          </w:p>
        </w:tc>
        <w:tc>
          <w:tcPr>
            <w:tcW w:w="100" w:type="dxa"/>
            <w:vAlign w:val="bottom"/>
            <w:shd w:val="clear" w:color="auto" w:fill="B6B6B6"/>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41,046</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5.1 %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43,302</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5.9 %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(2,256)</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76"/>
        </w:trPr>
        <w:tc>
          <w:tcPr>
            <w:tcW w:w="4400" w:type="dxa"/>
            <w:vAlign w:val="bottom"/>
          </w:tcPr>
          <w:p>
            <w:pPr>
              <w:ind w:left="240"/>
              <w:spacing w:after="0"/>
              <w:rPr>
                <w:sz w:val="20"/>
                <w:szCs w:val="20"/>
                <w:color w:val="auto"/>
              </w:rPr>
            </w:pPr>
            <w:r>
              <w:rPr>
                <w:rFonts w:ascii="Arial" w:cs="Arial" w:eastAsia="Arial" w:hAnsi="Arial"/>
                <w:sz w:val="13"/>
                <w:szCs w:val="13"/>
                <w:color w:val="auto"/>
              </w:rPr>
              <w:t>General and administrative</w:t>
            </w:r>
          </w:p>
        </w:tc>
        <w:tc>
          <w:tcPr>
            <w:tcW w:w="100" w:type="dxa"/>
            <w:vAlign w:val="bottom"/>
            <w:shd w:val="clear" w:color="auto" w:fill="B6B6B6"/>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82,116</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10.3 %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93,069</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12.7 %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(10,953)</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(11.8)%</w:t>
            </w:r>
          </w:p>
        </w:tc>
        <w:tc>
          <w:tcPr>
            <w:tcW w:w="0" w:type="dxa"/>
            <w:vAlign w:val="bottom"/>
          </w:tcPr>
          <w:p>
            <w:pPr>
              <w:spacing w:after="0"/>
              <w:rPr>
                <w:sz w:val="1"/>
                <w:szCs w:val="1"/>
                <w:color w:val="auto"/>
              </w:rPr>
            </w:pPr>
          </w:p>
        </w:tc>
      </w:tr>
      <w:tr>
        <w:trPr>
          <w:trHeight w:val="175"/>
        </w:trPr>
        <w:tc>
          <w:tcPr>
            <w:tcW w:w="4400" w:type="dxa"/>
            <w:vAlign w:val="bottom"/>
          </w:tcPr>
          <w:p>
            <w:pPr>
              <w:ind w:left="240"/>
              <w:spacing w:after="0"/>
              <w:rPr>
                <w:sz w:val="20"/>
                <w:szCs w:val="20"/>
                <w:color w:val="auto"/>
              </w:rPr>
            </w:pPr>
            <w:r>
              <w:rPr>
                <w:rFonts w:ascii="Arial" w:cs="Arial" w:eastAsia="Arial" w:hAnsi="Arial"/>
                <w:sz w:val="13"/>
                <w:szCs w:val="13"/>
                <w:color w:val="auto"/>
              </w:rPr>
              <w:t>Amortization of intangible assets</w:t>
            </w:r>
          </w:p>
        </w:tc>
        <w:tc>
          <w:tcPr>
            <w:tcW w:w="100" w:type="dxa"/>
            <w:vAlign w:val="bottom"/>
            <w:shd w:val="clear" w:color="auto" w:fill="B6B6B6"/>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94,057</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11.8 %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94,057</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12.8 %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76"/>
        </w:trPr>
        <w:tc>
          <w:tcPr>
            <w:tcW w:w="4400" w:type="dxa"/>
            <w:vAlign w:val="bottom"/>
          </w:tcPr>
          <w:p>
            <w:pPr>
              <w:ind w:left="240"/>
              <w:spacing w:after="0"/>
              <w:rPr>
                <w:sz w:val="20"/>
                <w:szCs w:val="20"/>
                <w:color w:val="auto"/>
              </w:rPr>
            </w:pPr>
            <w:r>
              <w:rPr>
                <w:rFonts w:ascii="Arial" w:cs="Arial" w:eastAsia="Arial" w:hAnsi="Arial"/>
                <w:sz w:val="13"/>
                <w:szCs w:val="13"/>
                <w:color w:val="auto"/>
              </w:rPr>
              <w:t>Operating lease impairment charges</w:t>
            </w:r>
          </w:p>
        </w:tc>
        <w:tc>
          <w:tcPr>
            <w:tcW w:w="100" w:type="dxa"/>
            <w:vAlign w:val="bottom"/>
            <w:shd w:val="clear" w:color="auto" w:fill="B6B6B6"/>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240" w:type="dxa"/>
            <w:vAlign w:val="bottom"/>
          </w:tcPr>
          <w:p>
            <w:pPr>
              <w:spacing w:after="0"/>
              <w:rPr>
                <w:sz w:val="15"/>
                <w:szCs w:val="15"/>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2,687</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0.4 %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(2,687)</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83"/>
        </w:trPr>
        <w:tc>
          <w:tcPr>
            <w:tcW w:w="4400" w:type="dxa"/>
            <w:vAlign w:val="bottom"/>
          </w:tcPr>
          <w:p>
            <w:pPr>
              <w:ind w:left="240"/>
              <w:spacing w:after="0"/>
              <w:rPr>
                <w:sz w:val="20"/>
                <w:szCs w:val="20"/>
                <w:color w:val="auto"/>
              </w:rPr>
            </w:pPr>
            <w:r>
              <w:rPr>
                <w:rFonts w:ascii="Arial" w:cs="Arial" w:eastAsia="Arial" w:hAnsi="Arial"/>
                <w:sz w:val="13"/>
                <w:szCs w:val="13"/>
                <w:color w:val="auto"/>
              </w:rPr>
              <w:t>Intangible asset impairment charges</w:t>
            </w:r>
          </w:p>
        </w:tc>
        <w:tc>
          <w:tcPr>
            <w:tcW w:w="100" w:type="dxa"/>
            <w:vAlign w:val="bottom"/>
            <w:shd w:val="clear" w:color="auto" w:fill="B6B6B6"/>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240" w:type="dxa"/>
            <w:vAlign w:val="bottom"/>
          </w:tcPr>
          <w:p>
            <w:pPr>
              <w:spacing w:after="0"/>
              <w:rPr>
                <w:sz w:val="15"/>
                <w:szCs w:val="15"/>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10,000</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(10,000)</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69"/>
        </w:trPr>
        <w:tc>
          <w:tcPr>
            <w:tcW w:w="4400" w:type="dxa"/>
            <w:vAlign w:val="bottom"/>
          </w:tcPr>
          <w:p>
            <w:pPr>
              <w:ind w:left="20"/>
              <w:spacing w:after="0"/>
              <w:rPr>
                <w:sz w:val="20"/>
                <w:szCs w:val="20"/>
                <w:color w:val="auto"/>
              </w:rPr>
            </w:pPr>
            <w:r>
              <w:rPr>
                <w:rFonts w:ascii="Arial" w:cs="Arial" w:eastAsia="Arial" w:hAnsi="Arial"/>
                <w:sz w:val="13"/>
                <w:szCs w:val="13"/>
                <w:color w:val="auto"/>
              </w:rPr>
              <w:t>Total operating expenses</w:t>
            </w:r>
          </w:p>
        </w:tc>
        <w:tc>
          <w:tcPr>
            <w:tcW w:w="100" w:type="dxa"/>
            <w:vAlign w:val="bottom"/>
            <w:tcBorders>
              <w:top w:val="single" w:sz="8" w:color="B6B6B6"/>
              <w:bottom w:val="single" w:sz="8" w:color="B6B6B6"/>
            </w:tcBorders>
            <w:shd w:val="clear" w:color="auto" w:fill="B6B6B6"/>
          </w:tcPr>
          <w:p>
            <w:pPr>
              <w:spacing w:after="0"/>
              <w:rPr>
                <w:sz w:val="14"/>
                <w:szCs w:val="14"/>
                <w:color w:val="auto"/>
              </w:rPr>
            </w:pPr>
          </w:p>
        </w:tc>
        <w:tc>
          <w:tcPr>
            <w:tcW w:w="240" w:type="dxa"/>
            <w:vAlign w:val="bottom"/>
            <w:tcBorders>
              <w:top w:val="single" w:sz="8" w:color="B6B6B6"/>
              <w:bottom w:val="single" w:sz="8" w:color="B6B6B6"/>
            </w:tcBorders>
          </w:tcPr>
          <w:p>
            <w:pPr>
              <w:spacing w:after="0"/>
              <w:rPr>
                <w:sz w:val="14"/>
                <w:szCs w:val="14"/>
                <w:color w:val="auto"/>
              </w:rPr>
            </w:pPr>
          </w:p>
        </w:tc>
        <w:tc>
          <w:tcPr>
            <w:tcW w:w="920" w:type="dxa"/>
            <w:vAlign w:val="bottom"/>
            <w:tcBorders>
              <w:top w:val="single" w:sz="8" w:color="B6B6B6"/>
              <w:bottom w:val="single" w:sz="8" w:color="B6B6B6"/>
            </w:tcBorders>
          </w:tcPr>
          <w:p>
            <w:pPr>
              <w:jc w:val="right"/>
              <w:ind w:right="97"/>
              <w:spacing w:after="0"/>
              <w:rPr>
                <w:sz w:val="20"/>
                <w:szCs w:val="20"/>
                <w:color w:val="auto"/>
              </w:rPr>
            </w:pPr>
            <w:r>
              <w:rPr>
                <w:rFonts w:ascii="Arial" w:cs="Arial" w:eastAsia="Arial" w:hAnsi="Arial"/>
                <w:sz w:val="13"/>
                <w:szCs w:val="13"/>
                <w:color w:val="auto"/>
              </w:rPr>
              <w:t>805,941</w:t>
            </w:r>
          </w:p>
        </w:tc>
        <w:tc>
          <w:tcPr>
            <w:tcW w:w="100" w:type="dxa"/>
            <w:vAlign w:val="bottom"/>
          </w:tcPr>
          <w:p>
            <w:pPr>
              <w:spacing w:after="0"/>
              <w:rPr>
                <w:sz w:val="14"/>
                <w:szCs w:val="14"/>
                <w:color w:val="auto"/>
              </w:rPr>
            </w:pPr>
          </w:p>
        </w:tc>
        <w:tc>
          <w:tcPr>
            <w:tcW w:w="98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3"/>
                <w:szCs w:val="13"/>
                <w:color w:val="auto"/>
              </w:rPr>
              <w:t>100.9 %</w:t>
            </w:r>
          </w:p>
        </w:tc>
        <w:tc>
          <w:tcPr>
            <w:tcW w:w="80" w:type="dxa"/>
            <w:vAlign w:val="bottom"/>
          </w:tcPr>
          <w:p>
            <w:pPr>
              <w:spacing w:after="0"/>
              <w:rPr>
                <w:sz w:val="14"/>
                <w:szCs w:val="14"/>
                <w:color w:val="auto"/>
              </w:rPr>
            </w:pPr>
          </w:p>
        </w:tc>
        <w:tc>
          <w:tcPr>
            <w:tcW w:w="240" w:type="dxa"/>
            <w:vAlign w:val="bottom"/>
            <w:tcBorders>
              <w:top w:val="single" w:sz="8" w:color="B6B6B6"/>
              <w:bottom w:val="single" w:sz="8" w:color="B6B6B6"/>
            </w:tcBorders>
          </w:tcPr>
          <w:p>
            <w:pPr>
              <w:spacing w:after="0"/>
              <w:rPr>
                <w:sz w:val="14"/>
                <w:szCs w:val="14"/>
                <w:color w:val="auto"/>
              </w:rPr>
            </w:pPr>
          </w:p>
        </w:tc>
        <w:tc>
          <w:tcPr>
            <w:tcW w:w="920" w:type="dxa"/>
            <w:vAlign w:val="bottom"/>
            <w:tcBorders>
              <w:top w:val="single" w:sz="8" w:color="B6B6B6"/>
              <w:bottom w:val="single" w:sz="8" w:color="B6B6B6"/>
            </w:tcBorders>
          </w:tcPr>
          <w:p>
            <w:pPr>
              <w:jc w:val="right"/>
              <w:ind w:right="97"/>
              <w:spacing w:after="0"/>
              <w:rPr>
                <w:sz w:val="20"/>
                <w:szCs w:val="20"/>
                <w:color w:val="auto"/>
              </w:rPr>
            </w:pPr>
            <w:r>
              <w:rPr>
                <w:rFonts w:ascii="Arial" w:cs="Arial" w:eastAsia="Arial" w:hAnsi="Arial"/>
                <w:sz w:val="13"/>
                <w:szCs w:val="13"/>
                <w:color w:val="auto"/>
              </w:rPr>
              <w:t>816,352</w:t>
            </w:r>
          </w:p>
        </w:tc>
        <w:tc>
          <w:tcPr>
            <w:tcW w:w="100" w:type="dxa"/>
            <w:vAlign w:val="bottom"/>
          </w:tcPr>
          <w:p>
            <w:pPr>
              <w:spacing w:after="0"/>
              <w:rPr>
                <w:sz w:val="14"/>
                <w:szCs w:val="14"/>
                <w:color w:val="auto"/>
              </w:rPr>
            </w:pPr>
          </w:p>
        </w:tc>
        <w:tc>
          <w:tcPr>
            <w:tcW w:w="98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3"/>
                <w:szCs w:val="13"/>
                <w:color w:val="auto"/>
              </w:rPr>
              <w:t>111.1 %</w:t>
            </w:r>
          </w:p>
        </w:tc>
        <w:tc>
          <w:tcPr>
            <w:tcW w:w="80" w:type="dxa"/>
            <w:vAlign w:val="bottom"/>
          </w:tcPr>
          <w:p>
            <w:pPr>
              <w:spacing w:after="0"/>
              <w:rPr>
                <w:sz w:val="14"/>
                <w:szCs w:val="14"/>
                <w:color w:val="auto"/>
              </w:rPr>
            </w:pPr>
          </w:p>
        </w:tc>
        <w:tc>
          <w:tcPr>
            <w:tcW w:w="180" w:type="dxa"/>
            <w:vAlign w:val="bottom"/>
            <w:tcBorders>
              <w:top w:val="single" w:sz="8" w:color="B6B6B6"/>
              <w:bottom w:val="single" w:sz="8" w:color="B6B6B6"/>
            </w:tcBorders>
          </w:tcPr>
          <w:p>
            <w:pPr>
              <w:spacing w:after="0"/>
              <w:rPr>
                <w:sz w:val="14"/>
                <w:szCs w:val="14"/>
                <w:color w:val="auto"/>
              </w:rPr>
            </w:pPr>
          </w:p>
        </w:tc>
        <w:tc>
          <w:tcPr>
            <w:tcW w:w="88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3"/>
                <w:szCs w:val="13"/>
                <w:color w:val="auto"/>
              </w:rPr>
              <w:t>(10,411)</w:t>
            </w:r>
          </w:p>
        </w:tc>
        <w:tc>
          <w:tcPr>
            <w:tcW w:w="100" w:type="dxa"/>
            <w:vAlign w:val="bottom"/>
          </w:tcPr>
          <w:p>
            <w:pPr>
              <w:spacing w:after="0"/>
              <w:rPr>
                <w:sz w:val="14"/>
                <w:szCs w:val="14"/>
                <w:color w:val="auto"/>
              </w:rPr>
            </w:pPr>
          </w:p>
        </w:tc>
        <w:tc>
          <w:tcPr>
            <w:tcW w:w="94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66"/>
        </w:trPr>
        <w:tc>
          <w:tcPr>
            <w:tcW w:w="4400" w:type="dxa"/>
            <w:vAlign w:val="bottom"/>
          </w:tcPr>
          <w:p>
            <w:pPr>
              <w:ind w:left="20"/>
              <w:spacing w:after="0"/>
              <w:rPr>
                <w:sz w:val="20"/>
                <w:szCs w:val="20"/>
                <w:color w:val="auto"/>
              </w:rPr>
            </w:pPr>
            <w:r>
              <w:rPr>
                <w:rFonts w:ascii="Arial" w:cs="Arial" w:eastAsia="Arial" w:hAnsi="Arial"/>
                <w:sz w:val="13"/>
                <w:szCs w:val="13"/>
                <w:color w:val="auto"/>
              </w:rPr>
              <w:t>Income (loss) from operations</w:t>
            </w:r>
          </w:p>
        </w:tc>
        <w:tc>
          <w:tcPr>
            <w:tcW w:w="100" w:type="dxa"/>
            <w:vAlign w:val="bottom"/>
            <w:shd w:val="clear" w:color="auto" w:fill="B6B6B6"/>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(7,047)</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(81,681)</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74,634</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(91.4)%</w:t>
            </w:r>
          </w:p>
        </w:tc>
        <w:tc>
          <w:tcPr>
            <w:tcW w:w="0" w:type="dxa"/>
            <w:vAlign w:val="bottom"/>
          </w:tcPr>
          <w:p>
            <w:pPr>
              <w:spacing w:after="0"/>
              <w:rPr>
                <w:sz w:val="1"/>
                <w:szCs w:val="1"/>
                <w:color w:val="auto"/>
              </w:rPr>
            </w:pPr>
          </w:p>
        </w:tc>
      </w:tr>
      <w:tr>
        <w:trPr>
          <w:trHeight w:val="171"/>
        </w:trPr>
        <w:tc>
          <w:tcPr>
            <w:tcW w:w="440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100" w:type="dxa"/>
            <w:vAlign w:val="bottom"/>
            <w:shd w:val="clear" w:color="auto" w:fill="B6B6B6"/>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72,868</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9.1 %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69,472</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9.5 %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3,396</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4.9 %</w:t>
            </w:r>
          </w:p>
        </w:tc>
        <w:tc>
          <w:tcPr>
            <w:tcW w:w="0" w:type="dxa"/>
            <w:vAlign w:val="bottom"/>
          </w:tcPr>
          <w:p>
            <w:pPr>
              <w:spacing w:after="0"/>
              <w:rPr>
                <w:sz w:val="1"/>
                <w:szCs w:val="1"/>
                <w:color w:val="auto"/>
              </w:rPr>
            </w:pPr>
          </w:p>
        </w:tc>
      </w:tr>
      <w:tr>
        <w:trPr>
          <w:trHeight w:val="175"/>
        </w:trPr>
        <w:tc>
          <w:tcPr>
            <w:tcW w:w="4400" w:type="dxa"/>
            <w:vAlign w:val="bottom"/>
          </w:tcPr>
          <w:p>
            <w:pPr>
              <w:ind w:left="20"/>
              <w:spacing w:after="0"/>
              <w:rPr>
                <w:sz w:val="20"/>
                <w:szCs w:val="20"/>
                <w:color w:val="auto"/>
              </w:rPr>
            </w:pPr>
            <w:r>
              <w:rPr>
                <w:rFonts w:ascii="Arial" w:cs="Arial" w:eastAsia="Arial" w:hAnsi="Arial"/>
                <w:sz w:val="13"/>
                <w:szCs w:val="13"/>
                <w:color w:val="auto"/>
              </w:rPr>
              <w:t>Gain on bargain purchase</w:t>
            </w:r>
          </w:p>
        </w:tc>
        <w:tc>
          <w:tcPr>
            <w:tcW w:w="100" w:type="dxa"/>
            <w:vAlign w:val="bottom"/>
            <w:shd w:val="clear" w:color="auto" w:fill="B6B6B6"/>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(84,492)</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(84,492)</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i w:val="1"/>
                <w:iCs w:val="1"/>
                <w:color w:val="auto"/>
              </w:rPr>
              <w:t>NM</w:t>
            </w:r>
          </w:p>
        </w:tc>
        <w:tc>
          <w:tcPr>
            <w:tcW w:w="0" w:type="dxa"/>
            <w:vAlign w:val="bottom"/>
          </w:tcPr>
          <w:p>
            <w:pPr>
              <w:spacing w:after="0"/>
              <w:rPr>
                <w:sz w:val="1"/>
                <w:szCs w:val="1"/>
                <w:color w:val="auto"/>
              </w:rPr>
            </w:pPr>
          </w:p>
        </w:tc>
      </w:tr>
      <w:tr>
        <w:trPr>
          <w:trHeight w:val="176"/>
        </w:trPr>
        <w:tc>
          <w:tcPr>
            <w:tcW w:w="4400" w:type="dxa"/>
            <w:vAlign w:val="bottom"/>
          </w:tcPr>
          <w:p>
            <w:pPr>
              <w:ind w:left="20"/>
              <w:spacing w:after="0"/>
              <w:rPr>
                <w:sz w:val="20"/>
                <w:szCs w:val="20"/>
                <w:color w:val="auto"/>
              </w:rPr>
            </w:pPr>
            <w:r>
              <w:rPr>
                <w:rFonts w:ascii="Arial" w:cs="Arial" w:eastAsia="Arial" w:hAnsi="Arial"/>
                <w:sz w:val="13"/>
                <w:szCs w:val="13"/>
                <w:color w:val="auto"/>
              </w:rPr>
              <w:t>Loss on extinguishment of debt</w:t>
            </w:r>
          </w:p>
        </w:tc>
        <w:tc>
          <w:tcPr>
            <w:tcW w:w="100" w:type="dxa"/>
            <w:vAlign w:val="bottom"/>
            <w:shd w:val="clear" w:color="auto" w:fill="B6B6B6"/>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10,463</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10,463</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i w:val="1"/>
                <w:iCs w:val="1"/>
                <w:color w:val="auto"/>
              </w:rPr>
              <w:t>NM</w:t>
            </w:r>
          </w:p>
        </w:tc>
        <w:tc>
          <w:tcPr>
            <w:tcW w:w="0" w:type="dxa"/>
            <w:vAlign w:val="bottom"/>
          </w:tcPr>
          <w:p>
            <w:pPr>
              <w:spacing w:after="0"/>
              <w:rPr>
                <w:sz w:val="1"/>
                <w:szCs w:val="1"/>
                <w:color w:val="auto"/>
              </w:rPr>
            </w:pPr>
          </w:p>
        </w:tc>
      </w:tr>
      <w:tr>
        <w:trPr>
          <w:trHeight w:val="183"/>
        </w:trPr>
        <w:tc>
          <w:tcPr>
            <w:tcW w:w="4400" w:type="dxa"/>
            <w:vAlign w:val="bottom"/>
          </w:tcPr>
          <w:p>
            <w:pPr>
              <w:ind w:left="20"/>
              <w:spacing w:after="0"/>
              <w:rPr>
                <w:sz w:val="20"/>
                <w:szCs w:val="20"/>
                <w:color w:val="auto"/>
              </w:rPr>
            </w:pPr>
            <w:r>
              <w:rPr>
                <w:rFonts w:ascii="Arial" w:cs="Arial" w:eastAsia="Arial" w:hAnsi="Arial"/>
                <w:sz w:val="13"/>
                <w:szCs w:val="13"/>
                <w:color w:val="auto"/>
              </w:rPr>
              <w:t>Other (income) expense, net</w:t>
            </w:r>
          </w:p>
        </w:tc>
        <w:tc>
          <w:tcPr>
            <w:tcW w:w="100" w:type="dxa"/>
            <w:vAlign w:val="bottom"/>
            <w:shd w:val="clear" w:color="auto" w:fill="B6B6B6"/>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(834)</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(797)</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2154.1 %</w:t>
            </w:r>
          </w:p>
        </w:tc>
        <w:tc>
          <w:tcPr>
            <w:tcW w:w="0" w:type="dxa"/>
            <w:vAlign w:val="bottom"/>
          </w:tcPr>
          <w:p>
            <w:pPr>
              <w:spacing w:after="0"/>
              <w:rPr>
                <w:sz w:val="1"/>
                <w:szCs w:val="1"/>
                <w:color w:val="auto"/>
              </w:rPr>
            </w:pPr>
          </w:p>
        </w:tc>
      </w:tr>
      <w:tr>
        <w:trPr>
          <w:trHeight w:val="169"/>
        </w:trPr>
        <w:tc>
          <w:tcPr>
            <w:tcW w:w="4400" w:type="dxa"/>
            <w:vAlign w:val="bottom"/>
          </w:tcPr>
          <w:p>
            <w:pPr>
              <w:ind w:left="20"/>
              <w:spacing w:after="0"/>
              <w:rPr>
                <w:sz w:val="20"/>
                <w:szCs w:val="20"/>
                <w:color w:val="auto"/>
              </w:rPr>
            </w:pPr>
            <w:r>
              <w:rPr>
                <w:rFonts w:ascii="Arial" w:cs="Arial" w:eastAsia="Arial" w:hAnsi="Arial"/>
                <w:sz w:val="13"/>
                <w:szCs w:val="13"/>
                <w:color w:val="auto"/>
              </w:rPr>
              <w:t>Income (loss) before income taxes</w:t>
            </w:r>
          </w:p>
        </w:tc>
        <w:tc>
          <w:tcPr>
            <w:tcW w:w="100" w:type="dxa"/>
            <w:vAlign w:val="bottom"/>
            <w:tcBorders>
              <w:top w:val="single" w:sz="8" w:color="B6B6B6"/>
              <w:bottom w:val="single" w:sz="8" w:color="B6B6B6"/>
            </w:tcBorders>
            <w:shd w:val="clear" w:color="auto" w:fill="B6B6B6"/>
          </w:tcPr>
          <w:p>
            <w:pPr>
              <w:spacing w:after="0"/>
              <w:rPr>
                <w:sz w:val="14"/>
                <w:szCs w:val="14"/>
                <w:color w:val="auto"/>
              </w:rPr>
            </w:pPr>
          </w:p>
        </w:tc>
        <w:tc>
          <w:tcPr>
            <w:tcW w:w="240" w:type="dxa"/>
            <w:vAlign w:val="bottom"/>
            <w:tcBorders>
              <w:top w:val="single" w:sz="8" w:color="B6B6B6"/>
              <w:bottom w:val="single" w:sz="8" w:color="B6B6B6"/>
            </w:tcBorders>
          </w:tcPr>
          <w:p>
            <w:pPr>
              <w:spacing w:after="0"/>
              <w:rPr>
                <w:sz w:val="14"/>
                <w:szCs w:val="14"/>
                <w:color w:val="auto"/>
              </w:rPr>
            </w:pPr>
          </w:p>
        </w:tc>
        <w:tc>
          <w:tcPr>
            <w:tcW w:w="920" w:type="dxa"/>
            <w:vAlign w:val="bottom"/>
            <w:tcBorders>
              <w:top w:val="single" w:sz="8" w:color="B6B6B6"/>
              <w:bottom w:val="single" w:sz="8" w:color="B6B6B6"/>
            </w:tcBorders>
          </w:tcPr>
          <w:p>
            <w:pPr>
              <w:jc w:val="right"/>
              <w:ind w:right="77"/>
              <w:spacing w:after="0"/>
              <w:rPr>
                <w:sz w:val="20"/>
                <w:szCs w:val="20"/>
                <w:color w:val="auto"/>
              </w:rPr>
            </w:pPr>
            <w:r>
              <w:rPr>
                <w:rFonts w:ascii="Arial" w:cs="Arial" w:eastAsia="Arial" w:hAnsi="Arial"/>
                <w:sz w:val="13"/>
                <w:szCs w:val="13"/>
                <w:color w:val="auto"/>
              </w:rPr>
              <w:t>(5,052)</w:t>
            </w:r>
          </w:p>
        </w:tc>
        <w:tc>
          <w:tcPr>
            <w:tcW w:w="100" w:type="dxa"/>
            <w:vAlign w:val="bottom"/>
          </w:tcPr>
          <w:p>
            <w:pPr>
              <w:spacing w:after="0"/>
              <w:rPr>
                <w:sz w:val="14"/>
                <w:szCs w:val="14"/>
                <w:color w:val="auto"/>
              </w:rPr>
            </w:pPr>
          </w:p>
        </w:tc>
        <w:tc>
          <w:tcPr>
            <w:tcW w:w="98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3"/>
                <w:szCs w:val="13"/>
                <w:color w:val="auto"/>
              </w:rPr>
              <w:t>(0.6)%</w:t>
            </w:r>
          </w:p>
        </w:tc>
        <w:tc>
          <w:tcPr>
            <w:tcW w:w="80" w:type="dxa"/>
            <w:vAlign w:val="bottom"/>
          </w:tcPr>
          <w:p>
            <w:pPr>
              <w:spacing w:after="0"/>
              <w:rPr>
                <w:sz w:val="14"/>
                <w:szCs w:val="14"/>
                <w:color w:val="auto"/>
              </w:rPr>
            </w:pPr>
          </w:p>
        </w:tc>
        <w:tc>
          <w:tcPr>
            <w:tcW w:w="240" w:type="dxa"/>
            <w:vAlign w:val="bottom"/>
            <w:tcBorders>
              <w:top w:val="single" w:sz="8" w:color="B6B6B6"/>
              <w:bottom w:val="single" w:sz="8" w:color="B6B6B6"/>
            </w:tcBorders>
          </w:tcPr>
          <w:p>
            <w:pPr>
              <w:spacing w:after="0"/>
              <w:rPr>
                <w:sz w:val="14"/>
                <w:szCs w:val="14"/>
                <w:color w:val="auto"/>
              </w:rPr>
            </w:pPr>
          </w:p>
        </w:tc>
        <w:tc>
          <w:tcPr>
            <w:tcW w:w="920" w:type="dxa"/>
            <w:vAlign w:val="bottom"/>
            <w:tcBorders>
              <w:top w:val="single" w:sz="8" w:color="B6B6B6"/>
              <w:bottom w:val="single" w:sz="8" w:color="B6B6B6"/>
            </w:tcBorders>
          </w:tcPr>
          <w:p>
            <w:pPr>
              <w:jc w:val="right"/>
              <w:ind w:right="57"/>
              <w:spacing w:after="0"/>
              <w:rPr>
                <w:sz w:val="20"/>
                <w:szCs w:val="20"/>
                <w:color w:val="auto"/>
              </w:rPr>
            </w:pPr>
            <w:r>
              <w:rPr>
                <w:rFonts w:ascii="Arial" w:cs="Arial" w:eastAsia="Arial" w:hAnsi="Arial"/>
                <w:sz w:val="13"/>
                <w:szCs w:val="13"/>
                <w:color w:val="auto"/>
              </w:rPr>
              <w:t>(151,116)</w:t>
            </w:r>
          </w:p>
        </w:tc>
        <w:tc>
          <w:tcPr>
            <w:tcW w:w="100" w:type="dxa"/>
            <w:vAlign w:val="bottom"/>
          </w:tcPr>
          <w:p>
            <w:pPr>
              <w:spacing w:after="0"/>
              <w:rPr>
                <w:sz w:val="14"/>
                <w:szCs w:val="14"/>
                <w:color w:val="auto"/>
              </w:rPr>
            </w:pPr>
          </w:p>
        </w:tc>
        <w:tc>
          <w:tcPr>
            <w:tcW w:w="98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3"/>
                <w:szCs w:val="13"/>
                <w:color w:val="auto"/>
              </w:rPr>
              <w:t>(20.6)%</w:t>
            </w:r>
          </w:p>
        </w:tc>
        <w:tc>
          <w:tcPr>
            <w:tcW w:w="80" w:type="dxa"/>
            <w:vAlign w:val="bottom"/>
          </w:tcPr>
          <w:p>
            <w:pPr>
              <w:spacing w:after="0"/>
              <w:rPr>
                <w:sz w:val="14"/>
                <w:szCs w:val="14"/>
                <w:color w:val="auto"/>
              </w:rPr>
            </w:pPr>
          </w:p>
        </w:tc>
        <w:tc>
          <w:tcPr>
            <w:tcW w:w="180" w:type="dxa"/>
            <w:vAlign w:val="bottom"/>
            <w:tcBorders>
              <w:top w:val="single" w:sz="8" w:color="B6B6B6"/>
              <w:bottom w:val="single" w:sz="8" w:color="B6B6B6"/>
            </w:tcBorders>
          </w:tcPr>
          <w:p>
            <w:pPr>
              <w:spacing w:after="0"/>
              <w:rPr>
                <w:sz w:val="14"/>
                <w:szCs w:val="14"/>
                <w:color w:val="auto"/>
              </w:rPr>
            </w:pPr>
          </w:p>
        </w:tc>
        <w:tc>
          <w:tcPr>
            <w:tcW w:w="88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3"/>
                <w:szCs w:val="13"/>
                <w:color w:val="auto"/>
              </w:rPr>
              <w:t>146,064</w:t>
            </w:r>
          </w:p>
        </w:tc>
        <w:tc>
          <w:tcPr>
            <w:tcW w:w="100" w:type="dxa"/>
            <w:vAlign w:val="bottom"/>
          </w:tcPr>
          <w:p>
            <w:pPr>
              <w:spacing w:after="0"/>
              <w:rPr>
                <w:sz w:val="14"/>
                <w:szCs w:val="14"/>
                <w:color w:val="auto"/>
              </w:rPr>
            </w:pPr>
          </w:p>
        </w:tc>
        <w:tc>
          <w:tcPr>
            <w:tcW w:w="940" w:type="dxa"/>
            <w:vAlign w:val="bottom"/>
            <w:tcBorders>
              <w:top w:val="single" w:sz="8" w:color="B6B6B6"/>
              <w:bottom w:val="single" w:sz="8" w:color="B6B6B6"/>
            </w:tcBorders>
          </w:tcPr>
          <w:p>
            <w:pPr>
              <w:jc w:val="right"/>
              <w:spacing w:after="0"/>
              <w:rPr>
                <w:sz w:val="20"/>
                <w:szCs w:val="20"/>
                <w:color w:val="auto"/>
              </w:rPr>
            </w:pPr>
            <w:r>
              <w:rPr>
                <w:rFonts w:ascii="Arial" w:cs="Arial" w:eastAsia="Arial" w:hAnsi="Arial"/>
                <w:sz w:val="13"/>
                <w:szCs w:val="13"/>
                <w:color w:val="auto"/>
              </w:rPr>
              <w:t>(96.7)%</w:t>
            </w:r>
          </w:p>
        </w:tc>
        <w:tc>
          <w:tcPr>
            <w:tcW w:w="0" w:type="dxa"/>
            <w:vAlign w:val="bottom"/>
          </w:tcPr>
          <w:p>
            <w:pPr>
              <w:spacing w:after="0"/>
              <w:rPr>
                <w:sz w:val="1"/>
                <w:szCs w:val="1"/>
                <w:color w:val="auto"/>
              </w:rPr>
            </w:pPr>
          </w:p>
        </w:tc>
      </w:tr>
      <w:tr>
        <w:trPr>
          <w:trHeight w:val="169"/>
        </w:trPr>
        <w:tc>
          <w:tcPr>
            <w:tcW w:w="4400" w:type="dxa"/>
            <w:vAlign w:val="bottom"/>
          </w:tcPr>
          <w:p>
            <w:pPr>
              <w:ind w:left="20"/>
              <w:spacing w:after="0"/>
              <w:rPr>
                <w:sz w:val="20"/>
                <w:szCs w:val="20"/>
                <w:color w:val="auto"/>
              </w:rPr>
            </w:pPr>
            <w:r>
              <w:rPr>
                <w:rFonts w:ascii="Arial" w:cs="Arial" w:eastAsia="Arial" w:hAnsi="Arial"/>
                <w:sz w:val="13"/>
                <w:szCs w:val="13"/>
                <w:color w:val="auto"/>
              </w:rPr>
              <w:t>Income tax expense (benefit)</w:t>
            </w:r>
          </w:p>
        </w:tc>
        <w:tc>
          <w:tcPr>
            <w:tcW w:w="100" w:type="dxa"/>
            <w:vAlign w:val="bottom"/>
            <w:tcBorders>
              <w:bottom w:val="single" w:sz="8" w:color="B6B6B6"/>
            </w:tcBorders>
            <w:shd w:val="clear" w:color="auto" w:fill="B6B6B6"/>
          </w:tcPr>
          <w:p>
            <w:pPr>
              <w:spacing w:after="0"/>
              <w:rPr>
                <w:sz w:val="14"/>
                <w:szCs w:val="14"/>
                <w:color w:val="auto"/>
              </w:rPr>
            </w:pPr>
          </w:p>
        </w:tc>
        <w:tc>
          <w:tcPr>
            <w:tcW w:w="240" w:type="dxa"/>
            <w:vAlign w:val="bottom"/>
            <w:tcBorders>
              <w:bottom w:val="single" w:sz="8" w:color="B6B6B6"/>
            </w:tcBorders>
          </w:tcPr>
          <w:p>
            <w:pPr>
              <w:spacing w:after="0"/>
              <w:rPr>
                <w:sz w:val="14"/>
                <w:szCs w:val="14"/>
                <w:color w:val="auto"/>
              </w:rPr>
            </w:pPr>
          </w:p>
        </w:tc>
        <w:tc>
          <w:tcPr>
            <w:tcW w:w="920" w:type="dxa"/>
            <w:vAlign w:val="bottom"/>
            <w:tcBorders>
              <w:bottom w:val="single" w:sz="8" w:color="B6B6B6"/>
            </w:tcBorders>
          </w:tcPr>
          <w:p>
            <w:pPr>
              <w:jc w:val="right"/>
              <w:ind w:right="97"/>
              <w:spacing w:after="0"/>
              <w:rPr>
                <w:sz w:val="20"/>
                <w:szCs w:val="20"/>
                <w:color w:val="auto"/>
              </w:rPr>
            </w:pPr>
            <w:r>
              <w:rPr>
                <w:rFonts w:ascii="Arial" w:cs="Arial" w:eastAsia="Arial" w:hAnsi="Arial"/>
                <w:sz w:val="13"/>
                <w:szCs w:val="13"/>
                <w:color w:val="auto"/>
              </w:rPr>
              <w:t>2,267</w:t>
            </w:r>
          </w:p>
        </w:tc>
        <w:tc>
          <w:tcPr>
            <w:tcW w:w="100" w:type="dxa"/>
            <w:vAlign w:val="bottom"/>
          </w:tcPr>
          <w:p>
            <w:pPr>
              <w:spacing w:after="0"/>
              <w:rPr>
                <w:sz w:val="14"/>
                <w:szCs w:val="14"/>
                <w:color w:val="auto"/>
              </w:rPr>
            </w:pPr>
          </w:p>
        </w:tc>
        <w:tc>
          <w:tcPr>
            <w:tcW w:w="98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0.3 %</w:t>
            </w:r>
          </w:p>
        </w:tc>
        <w:tc>
          <w:tcPr>
            <w:tcW w:w="80" w:type="dxa"/>
            <w:vAlign w:val="bottom"/>
          </w:tcPr>
          <w:p>
            <w:pPr>
              <w:spacing w:after="0"/>
              <w:rPr>
                <w:sz w:val="14"/>
                <w:szCs w:val="14"/>
                <w:color w:val="auto"/>
              </w:rPr>
            </w:pPr>
          </w:p>
        </w:tc>
        <w:tc>
          <w:tcPr>
            <w:tcW w:w="240" w:type="dxa"/>
            <w:vAlign w:val="bottom"/>
            <w:tcBorders>
              <w:bottom w:val="single" w:sz="8" w:color="B6B6B6"/>
            </w:tcBorders>
          </w:tcPr>
          <w:p>
            <w:pPr>
              <w:spacing w:after="0"/>
              <w:rPr>
                <w:sz w:val="14"/>
                <w:szCs w:val="14"/>
                <w:color w:val="auto"/>
              </w:rPr>
            </w:pPr>
          </w:p>
        </w:tc>
        <w:tc>
          <w:tcPr>
            <w:tcW w:w="920" w:type="dxa"/>
            <w:vAlign w:val="bottom"/>
            <w:tcBorders>
              <w:bottom w:val="single" w:sz="8" w:color="B6B6B6"/>
            </w:tcBorders>
          </w:tcPr>
          <w:p>
            <w:pPr>
              <w:jc w:val="right"/>
              <w:ind w:right="97"/>
              <w:spacing w:after="0"/>
              <w:rPr>
                <w:sz w:val="20"/>
                <w:szCs w:val="20"/>
                <w:color w:val="auto"/>
              </w:rPr>
            </w:pPr>
            <w:r>
              <w:rPr>
                <w:rFonts w:ascii="Arial" w:cs="Arial" w:eastAsia="Arial" w:hAnsi="Arial"/>
                <w:sz w:val="13"/>
                <w:szCs w:val="13"/>
                <w:color w:val="auto"/>
              </w:rPr>
              <w:t>154</w:t>
            </w:r>
          </w:p>
        </w:tc>
        <w:tc>
          <w:tcPr>
            <w:tcW w:w="100" w:type="dxa"/>
            <w:vAlign w:val="bottom"/>
          </w:tcPr>
          <w:p>
            <w:pPr>
              <w:spacing w:after="0"/>
              <w:rPr>
                <w:sz w:val="14"/>
                <w:szCs w:val="14"/>
                <w:color w:val="auto"/>
              </w:rPr>
            </w:pPr>
          </w:p>
        </w:tc>
        <w:tc>
          <w:tcPr>
            <w:tcW w:w="98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 %</w:t>
            </w:r>
          </w:p>
        </w:tc>
        <w:tc>
          <w:tcPr>
            <w:tcW w:w="80" w:type="dxa"/>
            <w:vAlign w:val="bottom"/>
          </w:tcPr>
          <w:p>
            <w:pPr>
              <w:spacing w:after="0"/>
              <w:rPr>
                <w:sz w:val="14"/>
                <w:szCs w:val="14"/>
                <w:color w:val="auto"/>
              </w:rPr>
            </w:pPr>
          </w:p>
        </w:tc>
        <w:tc>
          <w:tcPr>
            <w:tcW w:w="180" w:type="dxa"/>
            <w:vAlign w:val="bottom"/>
            <w:tcBorders>
              <w:bottom w:val="single" w:sz="8" w:color="B6B6B6"/>
            </w:tcBorders>
          </w:tcPr>
          <w:p>
            <w:pPr>
              <w:spacing w:after="0"/>
              <w:rPr>
                <w:sz w:val="14"/>
                <w:szCs w:val="14"/>
                <w:color w:val="auto"/>
              </w:rPr>
            </w:pPr>
          </w:p>
        </w:tc>
        <w:tc>
          <w:tcPr>
            <w:tcW w:w="88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2,113</w:t>
            </w:r>
          </w:p>
        </w:tc>
        <w:tc>
          <w:tcPr>
            <w:tcW w:w="100" w:type="dxa"/>
            <w:vAlign w:val="bottom"/>
          </w:tcPr>
          <w:p>
            <w:pPr>
              <w:spacing w:after="0"/>
              <w:rPr>
                <w:sz w:val="14"/>
                <w:szCs w:val="14"/>
                <w:color w:val="auto"/>
              </w:rPr>
            </w:pPr>
          </w:p>
        </w:tc>
        <w:tc>
          <w:tcPr>
            <w:tcW w:w="94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1372.1 %</w:t>
            </w:r>
          </w:p>
        </w:tc>
        <w:tc>
          <w:tcPr>
            <w:tcW w:w="0" w:type="dxa"/>
            <w:vAlign w:val="bottom"/>
          </w:tcPr>
          <w:p>
            <w:pPr>
              <w:spacing w:after="0"/>
              <w:rPr>
                <w:sz w:val="1"/>
                <w:szCs w:val="1"/>
                <w:color w:val="auto"/>
              </w:rPr>
            </w:pPr>
          </w:p>
        </w:tc>
      </w:tr>
      <w:tr>
        <w:trPr>
          <w:trHeight w:val="166"/>
        </w:trPr>
        <w:tc>
          <w:tcPr>
            <w:tcW w:w="440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00" w:type="dxa"/>
            <w:vAlign w:val="bottom"/>
            <w:shd w:val="clear" w:color="auto" w:fill="B6B6B6"/>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(7,319)</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(151,270)</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143,951</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(95.2)%</w:t>
            </w:r>
          </w:p>
        </w:tc>
        <w:tc>
          <w:tcPr>
            <w:tcW w:w="0" w:type="dxa"/>
            <w:vAlign w:val="bottom"/>
          </w:tcPr>
          <w:p>
            <w:pPr>
              <w:spacing w:after="0"/>
              <w:rPr>
                <w:sz w:val="1"/>
                <w:szCs w:val="1"/>
                <w:color w:val="auto"/>
              </w:rPr>
            </w:pPr>
          </w:p>
        </w:tc>
      </w:tr>
      <w:tr>
        <w:trPr>
          <w:trHeight w:val="179"/>
        </w:trPr>
        <w:tc>
          <w:tcPr>
            <w:tcW w:w="4400" w:type="dxa"/>
            <w:vAlign w:val="bottom"/>
          </w:tcPr>
          <w:p>
            <w:pPr>
              <w:ind w:left="20"/>
              <w:spacing w:after="0"/>
              <w:rPr>
                <w:sz w:val="20"/>
                <w:szCs w:val="20"/>
                <w:color w:val="auto"/>
              </w:rPr>
            </w:pPr>
            <w:r>
              <w:rPr>
                <w:rFonts w:ascii="Arial" w:cs="Arial" w:eastAsia="Arial" w:hAnsi="Arial"/>
                <w:sz w:val="13"/>
                <w:szCs w:val="13"/>
                <w:color w:val="auto"/>
              </w:rPr>
              <w:t>Net income (loss) attributable to noncontrolling interests</w:t>
            </w:r>
          </w:p>
        </w:tc>
        <w:tc>
          <w:tcPr>
            <w:tcW w:w="100" w:type="dxa"/>
            <w:vAlign w:val="bottom"/>
            <w:tcBorders>
              <w:bottom w:val="single" w:sz="8" w:color="B6B6B6"/>
            </w:tcBorders>
            <w:shd w:val="clear" w:color="auto" w:fill="B6B6B6"/>
          </w:tcPr>
          <w:p>
            <w:pPr>
              <w:spacing w:after="0"/>
              <w:rPr>
                <w:sz w:val="15"/>
                <w:szCs w:val="15"/>
                <w:color w:val="auto"/>
              </w:rPr>
            </w:pPr>
          </w:p>
        </w:tc>
        <w:tc>
          <w:tcPr>
            <w:tcW w:w="240" w:type="dxa"/>
            <w:vAlign w:val="bottom"/>
            <w:tcBorders>
              <w:bottom w:val="single" w:sz="8" w:color="B6B6B6"/>
            </w:tcBorders>
          </w:tcPr>
          <w:p>
            <w:pPr>
              <w:spacing w:after="0"/>
              <w:rPr>
                <w:sz w:val="15"/>
                <w:szCs w:val="15"/>
                <w:color w:val="auto"/>
              </w:rPr>
            </w:pPr>
          </w:p>
        </w:tc>
        <w:tc>
          <w:tcPr>
            <w:tcW w:w="92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color w:val="auto"/>
              </w:rPr>
              <w:t>(4,391)</w:t>
            </w:r>
          </w:p>
        </w:tc>
        <w:tc>
          <w:tcPr>
            <w:tcW w:w="100" w:type="dxa"/>
            <w:vAlign w:val="bottom"/>
          </w:tcPr>
          <w:p>
            <w:pPr>
              <w:spacing w:after="0"/>
              <w:rPr>
                <w:sz w:val="15"/>
                <w:szCs w:val="15"/>
                <w:color w:val="auto"/>
              </w:rPr>
            </w:pPr>
          </w:p>
        </w:tc>
        <w:tc>
          <w:tcPr>
            <w:tcW w:w="98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(0.5)%</w:t>
            </w:r>
          </w:p>
        </w:tc>
        <w:tc>
          <w:tcPr>
            <w:tcW w:w="80" w:type="dxa"/>
            <w:vAlign w:val="bottom"/>
          </w:tcPr>
          <w:p>
            <w:pPr>
              <w:spacing w:after="0"/>
              <w:rPr>
                <w:sz w:val="15"/>
                <w:szCs w:val="15"/>
                <w:color w:val="auto"/>
              </w:rPr>
            </w:pPr>
          </w:p>
        </w:tc>
        <w:tc>
          <w:tcPr>
            <w:tcW w:w="240" w:type="dxa"/>
            <w:vAlign w:val="bottom"/>
            <w:tcBorders>
              <w:bottom w:val="single" w:sz="8" w:color="B6B6B6"/>
            </w:tcBorders>
          </w:tcPr>
          <w:p>
            <w:pPr>
              <w:spacing w:after="0"/>
              <w:rPr>
                <w:sz w:val="15"/>
                <w:szCs w:val="15"/>
                <w:color w:val="auto"/>
              </w:rPr>
            </w:pPr>
          </w:p>
        </w:tc>
        <w:tc>
          <w:tcPr>
            <w:tcW w:w="920" w:type="dxa"/>
            <w:vAlign w:val="bottom"/>
            <w:tcBorders>
              <w:bottom w:val="single" w:sz="8" w:color="B6B6B6"/>
            </w:tcBorders>
          </w:tcPr>
          <w:p>
            <w:pPr>
              <w:jc w:val="right"/>
              <w:ind w:right="57"/>
              <w:spacing w:after="0"/>
              <w:rPr>
                <w:sz w:val="20"/>
                <w:szCs w:val="20"/>
                <w:color w:val="auto"/>
              </w:rPr>
            </w:pPr>
            <w:r>
              <w:rPr>
                <w:rFonts w:ascii="Arial" w:cs="Arial" w:eastAsia="Arial" w:hAnsi="Arial"/>
                <w:sz w:val="13"/>
                <w:szCs w:val="13"/>
                <w:color w:val="auto"/>
              </w:rPr>
              <w:t>(88,013)</w:t>
            </w:r>
          </w:p>
        </w:tc>
        <w:tc>
          <w:tcPr>
            <w:tcW w:w="100" w:type="dxa"/>
            <w:vAlign w:val="bottom"/>
          </w:tcPr>
          <w:p>
            <w:pPr>
              <w:spacing w:after="0"/>
              <w:rPr>
                <w:sz w:val="15"/>
                <w:szCs w:val="15"/>
                <w:color w:val="auto"/>
              </w:rPr>
            </w:pPr>
          </w:p>
        </w:tc>
        <w:tc>
          <w:tcPr>
            <w:tcW w:w="98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(12.0)%</w:t>
            </w:r>
          </w:p>
        </w:tc>
        <w:tc>
          <w:tcPr>
            <w:tcW w:w="80" w:type="dxa"/>
            <w:vAlign w:val="bottom"/>
          </w:tcPr>
          <w:p>
            <w:pPr>
              <w:spacing w:after="0"/>
              <w:rPr>
                <w:sz w:val="15"/>
                <w:szCs w:val="15"/>
                <w:color w:val="auto"/>
              </w:rPr>
            </w:pPr>
          </w:p>
        </w:tc>
        <w:tc>
          <w:tcPr>
            <w:tcW w:w="180" w:type="dxa"/>
            <w:vAlign w:val="bottom"/>
            <w:tcBorders>
              <w:bottom w:val="single" w:sz="8" w:color="B6B6B6"/>
            </w:tcBorders>
          </w:tcPr>
          <w:p>
            <w:pPr>
              <w:spacing w:after="0"/>
              <w:rPr>
                <w:sz w:val="15"/>
                <w:szCs w:val="15"/>
                <w:color w:val="auto"/>
              </w:rPr>
            </w:pPr>
          </w:p>
        </w:tc>
        <w:tc>
          <w:tcPr>
            <w:tcW w:w="88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83,622</w:t>
            </w:r>
          </w:p>
        </w:tc>
        <w:tc>
          <w:tcPr>
            <w:tcW w:w="100" w:type="dxa"/>
            <w:vAlign w:val="bottom"/>
          </w:tcPr>
          <w:p>
            <w:pPr>
              <w:spacing w:after="0"/>
              <w:rPr>
                <w:sz w:val="15"/>
                <w:szCs w:val="15"/>
                <w:color w:val="auto"/>
              </w:rPr>
            </w:pPr>
          </w:p>
        </w:tc>
        <w:tc>
          <w:tcPr>
            <w:tcW w:w="94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(95.0)%</w:t>
            </w:r>
          </w:p>
        </w:tc>
        <w:tc>
          <w:tcPr>
            <w:tcW w:w="0" w:type="dxa"/>
            <w:vAlign w:val="bottom"/>
          </w:tcPr>
          <w:p>
            <w:pPr>
              <w:spacing w:after="0"/>
              <w:rPr>
                <w:sz w:val="1"/>
                <w:szCs w:val="1"/>
                <w:color w:val="auto"/>
              </w:rPr>
            </w:pPr>
          </w:p>
        </w:tc>
      </w:tr>
      <w:tr>
        <w:trPr>
          <w:trHeight w:val="176"/>
        </w:trPr>
        <w:tc>
          <w:tcPr>
            <w:tcW w:w="4400" w:type="dxa"/>
            <w:vAlign w:val="bottom"/>
          </w:tcPr>
          <w:p>
            <w:pPr>
              <w:ind w:left="20"/>
              <w:spacing w:after="0"/>
              <w:rPr>
                <w:sz w:val="20"/>
                <w:szCs w:val="20"/>
                <w:color w:val="auto"/>
              </w:rPr>
            </w:pPr>
            <w:r>
              <w:rPr>
                <w:rFonts w:ascii="Arial" w:cs="Arial" w:eastAsia="Arial" w:hAnsi="Arial"/>
                <w:sz w:val="13"/>
                <w:szCs w:val="13"/>
                <w:b w:val="1"/>
                <w:bCs w:val="1"/>
                <w:color w:val="auto"/>
              </w:rPr>
              <w:t>Net income (loss) attributable to GoHealth, Inc.</w:t>
            </w:r>
          </w:p>
        </w:tc>
        <w:tc>
          <w:tcPr>
            <w:tcW w:w="100" w:type="dxa"/>
            <w:vAlign w:val="bottom"/>
            <w:tcBorders>
              <w:bottom w:val="single" w:sz="8" w:color="B6B6B6"/>
            </w:tcBorders>
            <w:shd w:val="clear" w:color="auto" w:fill="B6B6B6"/>
          </w:tcPr>
          <w:p>
            <w:pPr>
              <w:spacing w:after="0"/>
              <w:rPr>
                <w:sz w:val="15"/>
                <w:szCs w:val="15"/>
                <w:color w:val="auto"/>
              </w:rPr>
            </w:pPr>
          </w:p>
        </w:tc>
        <w:tc>
          <w:tcPr>
            <w:tcW w:w="24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b w:val="1"/>
                <w:bCs w:val="1"/>
                <w:color w:val="auto"/>
              </w:rPr>
              <w:t>(2,928)</w:t>
            </w:r>
          </w:p>
        </w:tc>
        <w:tc>
          <w:tcPr>
            <w:tcW w:w="100" w:type="dxa"/>
            <w:vAlign w:val="bottom"/>
          </w:tcPr>
          <w:p>
            <w:pPr>
              <w:spacing w:after="0"/>
              <w:rPr>
                <w:sz w:val="15"/>
                <w:szCs w:val="15"/>
                <w:color w:val="auto"/>
              </w:rPr>
            </w:pPr>
          </w:p>
        </w:tc>
        <w:tc>
          <w:tcPr>
            <w:tcW w:w="980" w:type="dxa"/>
            <w:vAlign w:val="bottom"/>
            <w:tcBorders>
              <w:bottom w:val="single" w:sz="8" w:color="B6B6B6"/>
            </w:tcBorders>
          </w:tcPr>
          <w:p>
            <w:pPr>
              <w:jc w:val="right"/>
              <w:spacing w:after="0"/>
              <w:rPr>
                <w:sz w:val="20"/>
                <w:szCs w:val="20"/>
                <w:color w:val="auto"/>
              </w:rPr>
            </w:pPr>
            <w:r>
              <w:rPr>
                <w:rFonts w:ascii="Arial" w:cs="Arial" w:eastAsia="Arial" w:hAnsi="Arial"/>
                <w:sz w:val="13"/>
                <w:szCs w:val="13"/>
                <w:b w:val="1"/>
                <w:bCs w:val="1"/>
                <w:color w:val="auto"/>
              </w:rPr>
              <w:t>(0.4)%</w:t>
            </w:r>
          </w:p>
        </w:tc>
        <w:tc>
          <w:tcPr>
            <w:tcW w:w="80" w:type="dxa"/>
            <w:vAlign w:val="bottom"/>
          </w:tcPr>
          <w:p>
            <w:pPr>
              <w:spacing w:after="0"/>
              <w:rPr>
                <w:sz w:val="15"/>
                <w:szCs w:val="15"/>
                <w:color w:val="auto"/>
              </w:rPr>
            </w:pPr>
          </w:p>
        </w:tc>
        <w:tc>
          <w:tcPr>
            <w:tcW w:w="24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B6B6B6"/>
            </w:tcBorders>
          </w:tcPr>
          <w:p>
            <w:pPr>
              <w:jc w:val="right"/>
              <w:ind w:right="57"/>
              <w:spacing w:after="0"/>
              <w:rPr>
                <w:sz w:val="20"/>
                <w:szCs w:val="20"/>
                <w:color w:val="auto"/>
              </w:rPr>
            </w:pPr>
            <w:r>
              <w:rPr>
                <w:rFonts w:ascii="Arial" w:cs="Arial" w:eastAsia="Arial" w:hAnsi="Arial"/>
                <w:sz w:val="13"/>
                <w:szCs w:val="13"/>
                <w:b w:val="1"/>
                <w:bCs w:val="1"/>
                <w:color w:val="auto"/>
              </w:rPr>
              <w:t>(63,257)</w:t>
            </w:r>
          </w:p>
        </w:tc>
        <w:tc>
          <w:tcPr>
            <w:tcW w:w="100" w:type="dxa"/>
            <w:vAlign w:val="bottom"/>
          </w:tcPr>
          <w:p>
            <w:pPr>
              <w:spacing w:after="0"/>
              <w:rPr>
                <w:sz w:val="15"/>
                <w:szCs w:val="15"/>
                <w:color w:val="auto"/>
              </w:rPr>
            </w:pPr>
          </w:p>
        </w:tc>
        <w:tc>
          <w:tcPr>
            <w:tcW w:w="980" w:type="dxa"/>
            <w:vAlign w:val="bottom"/>
            <w:tcBorders>
              <w:bottom w:val="single" w:sz="8" w:color="B6B6B6"/>
            </w:tcBorders>
          </w:tcPr>
          <w:p>
            <w:pPr>
              <w:jc w:val="right"/>
              <w:spacing w:after="0"/>
              <w:rPr>
                <w:sz w:val="20"/>
                <w:szCs w:val="20"/>
                <w:color w:val="auto"/>
              </w:rPr>
            </w:pPr>
            <w:r>
              <w:rPr>
                <w:rFonts w:ascii="Arial" w:cs="Arial" w:eastAsia="Arial" w:hAnsi="Arial"/>
                <w:sz w:val="13"/>
                <w:szCs w:val="13"/>
                <w:b w:val="1"/>
                <w:bCs w:val="1"/>
                <w:color w:val="auto"/>
              </w:rPr>
              <w:t>(8.6)%</w:t>
            </w:r>
          </w:p>
        </w:tc>
        <w:tc>
          <w:tcPr>
            <w:tcW w:w="80" w:type="dxa"/>
            <w:vAlign w:val="bottom"/>
          </w:tcPr>
          <w:p>
            <w:pPr>
              <w:spacing w:after="0"/>
              <w:rPr>
                <w:sz w:val="15"/>
                <w:szCs w:val="15"/>
                <w:color w:val="auto"/>
              </w:rPr>
            </w:pPr>
          </w:p>
        </w:tc>
        <w:tc>
          <w:tcPr>
            <w:tcW w:w="180" w:type="dxa"/>
            <w:vAlign w:val="bottom"/>
            <w:tcBorders>
              <w:bottom w:val="single" w:sz="8" w:color="B6B6B6"/>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B6B6B6"/>
            </w:tcBorders>
          </w:tcPr>
          <w:p>
            <w:pPr>
              <w:jc w:val="right"/>
              <w:spacing w:after="0"/>
              <w:rPr>
                <w:sz w:val="20"/>
                <w:szCs w:val="20"/>
                <w:color w:val="auto"/>
              </w:rPr>
            </w:pPr>
            <w:r>
              <w:rPr>
                <w:rFonts w:ascii="Arial" w:cs="Arial" w:eastAsia="Arial" w:hAnsi="Arial"/>
                <w:sz w:val="13"/>
                <w:szCs w:val="13"/>
                <w:b w:val="1"/>
                <w:bCs w:val="1"/>
                <w:color w:val="auto"/>
              </w:rPr>
              <w:t>60,329</w:t>
            </w:r>
          </w:p>
        </w:tc>
        <w:tc>
          <w:tcPr>
            <w:tcW w:w="100" w:type="dxa"/>
            <w:vAlign w:val="bottom"/>
          </w:tcPr>
          <w:p>
            <w:pPr>
              <w:spacing w:after="0"/>
              <w:rPr>
                <w:sz w:val="15"/>
                <w:szCs w:val="15"/>
                <w:color w:val="auto"/>
              </w:rPr>
            </w:pPr>
          </w:p>
        </w:tc>
        <w:tc>
          <w:tcPr>
            <w:tcW w:w="940" w:type="dxa"/>
            <w:vAlign w:val="bottom"/>
            <w:tcBorders>
              <w:bottom w:val="single" w:sz="8" w:color="B6B6B6"/>
            </w:tcBorders>
          </w:tcPr>
          <w:p>
            <w:pPr>
              <w:jc w:val="right"/>
              <w:spacing w:after="0"/>
              <w:rPr>
                <w:sz w:val="20"/>
                <w:szCs w:val="20"/>
                <w:color w:val="auto"/>
              </w:rPr>
            </w:pPr>
            <w:r>
              <w:rPr>
                <w:rFonts w:ascii="Arial" w:cs="Arial" w:eastAsia="Arial" w:hAnsi="Arial"/>
                <w:sz w:val="13"/>
                <w:szCs w:val="13"/>
                <w:b w:val="1"/>
                <w:bCs w:val="1"/>
                <w:color w:val="auto"/>
              </w:rPr>
              <w:t>(95.4)%</w:t>
            </w:r>
          </w:p>
        </w:tc>
        <w:tc>
          <w:tcPr>
            <w:tcW w:w="0" w:type="dxa"/>
            <w:vAlign w:val="bottom"/>
          </w:tcPr>
          <w:p>
            <w:pPr>
              <w:spacing w:after="0"/>
              <w:rPr>
                <w:sz w:val="1"/>
                <w:szCs w:val="1"/>
                <w:color w:val="auto"/>
              </w:rPr>
            </w:pPr>
          </w:p>
        </w:tc>
      </w:tr>
      <w:tr>
        <w:trPr>
          <w:trHeight w:val="21"/>
        </w:trPr>
        <w:tc>
          <w:tcPr>
            <w:tcW w:w="440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Net income (loss) per share:</w:t>
            </w:r>
          </w:p>
        </w:tc>
        <w:tc>
          <w:tcPr>
            <w:tcW w:w="100" w:type="dxa"/>
            <w:vAlign w:val="bottom"/>
            <w:tcBorders>
              <w:bottom w:val="single" w:sz="8" w:color="B6B6B6"/>
            </w:tcBorders>
            <w:shd w:val="clear" w:color="auto" w:fill="B6B6B6"/>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92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92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B6B6B6"/>
            </w:tcBorders>
          </w:tcPr>
          <w:p>
            <w:pPr>
              <w:spacing w:after="0" w:line="20" w:lineRule="exact"/>
              <w:rPr>
                <w:sz w:val="1"/>
                <w:szCs w:val="1"/>
                <w:color w:val="auto"/>
              </w:rPr>
            </w:pPr>
          </w:p>
        </w:tc>
        <w:tc>
          <w:tcPr>
            <w:tcW w:w="88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4400" w:type="dxa"/>
            <w:vAlign w:val="bottom"/>
            <w:vMerge w:val="continue"/>
          </w:tcPr>
          <w:p>
            <w:pPr>
              <w:spacing w:after="0"/>
              <w:rPr>
                <w:sz w:val="11"/>
                <w:szCs w:val="11"/>
                <w:color w:val="auto"/>
              </w:rPr>
            </w:pPr>
          </w:p>
        </w:tc>
        <w:tc>
          <w:tcPr>
            <w:tcW w:w="100" w:type="dxa"/>
            <w:vAlign w:val="bottom"/>
            <w:shd w:val="clear" w:color="auto" w:fill="B6B6B6"/>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20"/>
              <w:spacing w:after="0"/>
              <w:rPr>
                <w:sz w:val="20"/>
                <w:szCs w:val="20"/>
                <w:color w:val="auto"/>
              </w:rPr>
            </w:pPr>
            <w:r>
              <w:rPr>
                <w:rFonts w:ascii="Arial" w:cs="Arial" w:eastAsia="Arial" w:hAnsi="Arial"/>
                <w:sz w:val="13"/>
                <w:szCs w:val="13"/>
                <w:color w:val="auto"/>
              </w:rPr>
              <w:t>Net income (loss) per share of Class A common stock — basic and diluted</w:t>
            </w:r>
          </w:p>
        </w:tc>
        <w:tc>
          <w:tcPr>
            <w:tcW w:w="100" w:type="dxa"/>
            <w:vAlign w:val="bottom"/>
            <w:shd w:val="clear" w:color="auto" w:fill="B6B6B6"/>
          </w:tcPr>
          <w:p>
            <w:pPr>
              <w:spacing w:after="0"/>
              <w:rPr>
                <w:sz w:val="15"/>
                <w:szCs w:val="15"/>
                <w:color w:val="auto"/>
              </w:rPr>
            </w:pP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(0.66)</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(7.19)</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400" w:type="dxa"/>
            <w:vAlign w:val="bottom"/>
          </w:tcPr>
          <w:p>
            <w:pPr>
              <w:ind w:left="20"/>
              <w:spacing w:after="0" w:line="136" w:lineRule="exact"/>
              <w:rPr>
                <w:sz w:val="20"/>
                <w:szCs w:val="20"/>
                <w:color w:val="auto"/>
              </w:rPr>
            </w:pPr>
            <w:r>
              <w:rPr>
                <w:rFonts w:ascii="Arial" w:cs="Arial" w:eastAsia="Arial" w:hAnsi="Arial"/>
                <w:sz w:val="13"/>
                <w:szCs w:val="13"/>
                <w:color w:val="auto"/>
                <w:w w:val="97"/>
              </w:rPr>
              <w:t>Weighted-average shares of Class A common stock outstanding — basic and</w:t>
            </w:r>
          </w:p>
        </w:tc>
        <w:tc>
          <w:tcPr>
            <w:tcW w:w="100" w:type="dxa"/>
            <w:vAlign w:val="bottom"/>
            <w:shd w:val="clear" w:color="auto" w:fill="B6B6B6"/>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400" w:type="dxa"/>
            <w:vAlign w:val="bottom"/>
          </w:tcPr>
          <w:p>
            <w:pPr>
              <w:ind w:left="20"/>
              <w:spacing w:after="0"/>
              <w:rPr>
                <w:sz w:val="20"/>
                <w:szCs w:val="20"/>
                <w:color w:val="auto"/>
              </w:rPr>
            </w:pPr>
            <w:r>
              <w:rPr>
                <w:rFonts w:ascii="Arial" w:cs="Arial" w:eastAsia="Arial" w:hAnsi="Arial"/>
                <w:sz w:val="13"/>
                <w:szCs w:val="13"/>
                <w:color w:val="auto"/>
              </w:rPr>
              <w:t>diluted</w:t>
            </w:r>
          </w:p>
        </w:tc>
        <w:tc>
          <w:tcPr>
            <w:tcW w:w="100" w:type="dxa"/>
            <w:vAlign w:val="bottom"/>
            <w:shd w:val="clear" w:color="auto" w:fill="B6B6B6"/>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9,980</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9,292</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20"/>
              <w:spacing w:after="0"/>
              <w:rPr>
                <w:sz w:val="20"/>
                <w:szCs w:val="20"/>
                <w:color w:val="auto"/>
              </w:rPr>
            </w:pPr>
            <w:r>
              <w:rPr>
                <w:rFonts w:ascii="Arial" w:cs="Arial" w:eastAsia="Arial" w:hAnsi="Arial"/>
                <w:sz w:val="13"/>
                <w:szCs w:val="13"/>
                <w:i w:val="1"/>
                <w:iCs w:val="1"/>
                <w:color w:val="auto"/>
              </w:rPr>
              <w:t>Non-GAAP financial measures:</w:t>
            </w:r>
          </w:p>
        </w:tc>
        <w:tc>
          <w:tcPr>
            <w:tcW w:w="100" w:type="dxa"/>
            <w:vAlign w:val="bottom"/>
            <w:shd w:val="clear" w:color="auto" w:fill="B6B6B6"/>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240"/>
              <w:spacing w:after="0"/>
              <w:rPr>
                <w:sz w:val="20"/>
                <w:szCs w:val="20"/>
                <w:color w:val="auto"/>
              </w:rPr>
            </w:pPr>
            <w:r>
              <w:rPr>
                <w:rFonts w:ascii="Arial" w:cs="Arial" w:eastAsia="Arial" w:hAnsi="Arial"/>
                <w:sz w:val="13"/>
                <w:szCs w:val="13"/>
                <w:color w:val="auto"/>
              </w:rPr>
              <w:t>EBITDA</w:t>
            </w:r>
          </w:p>
        </w:tc>
        <w:tc>
          <w:tcPr>
            <w:tcW w:w="100" w:type="dxa"/>
            <w:vAlign w:val="bottom"/>
            <w:shd w:val="clear" w:color="auto" w:fill="B6B6B6"/>
          </w:tcPr>
          <w:p>
            <w:pPr>
              <w:spacing w:after="0"/>
              <w:rPr>
                <w:sz w:val="15"/>
                <w:szCs w:val="15"/>
                <w:color w:val="auto"/>
              </w:rPr>
            </w:pP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173,706</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24,104</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0" w:type="dxa"/>
            <w:vAlign w:val="bottom"/>
          </w:tcPr>
          <w:p>
            <w:pPr>
              <w:ind w:left="240"/>
              <w:spacing w:after="0"/>
              <w:rPr>
                <w:sz w:val="20"/>
                <w:szCs w:val="20"/>
                <w:color w:val="auto"/>
              </w:rPr>
            </w:pPr>
            <w:r>
              <w:rPr>
                <w:rFonts w:ascii="Arial" w:cs="Arial" w:eastAsia="Arial" w:hAnsi="Arial"/>
                <w:sz w:val="13"/>
                <w:szCs w:val="13"/>
                <w:color w:val="auto"/>
              </w:rPr>
              <w:t>Adjusted EBITDA</w:t>
            </w:r>
          </w:p>
        </w:tc>
        <w:tc>
          <w:tcPr>
            <w:tcW w:w="100" w:type="dxa"/>
            <w:vAlign w:val="bottom"/>
            <w:shd w:val="clear" w:color="auto" w:fill="B6B6B6"/>
          </w:tcPr>
          <w:p>
            <w:pPr>
              <w:spacing w:after="0"/>
              <w:rPr>
                <w:sz w:val="15"/>
                <w:szCs w:val="15"/>
                <w:color w:val="auto"/>
              </w:rPr>
            </w:pP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120,319</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75,091</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0" w:type="dxa"/>
            <w:vAlign w:val="bottom"/>
          </w:tcPr>
          <w:p>
            <w:pPr>
              <w:ind w:left="240"/>
              <w:spacing w:after="0"/>
              <w:rPr>
                <w:sz w:val="20"/>
                <w:szCs w:val="20"/>
                <w:color w:val="auto"/>
              </w:rPr>
            </w:pPr>
            <w:r>
              <w:rPr>
                <w:rFonts w:ascii="Arial" w:cs="Arial" w:eastAsia="Arial" w:hAnsi="Arial"/>
                <w:sz w:val="13"/>
                <w:szCs w:val="13"/>
                <w:color w:val="auto"/>
              </w:rPr>
              <w:t>Net income (loss) margin</w:t>
            </w:r>
          </w:p>
        </w:tc>
        <w:tc>
          <w:tcPr>
            <w:tcW w:w="100" w:type="dxa"/>
            <w:vAlign w:val="bottom"/>
            <w:shd w:val="clear" w:color="auto" w:fill="B6B6B6"/>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(20.6)%</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400" w:type="dxa"/>
            <w:vAlign w:val="bottom"/>
          </w:tcPr>
          <w:p>
            <w:pPr>
              <w:ind w:left="240"/>
              <w:spacing w:after="0"/>
              <w:rPr>
                <w:sz w:val="20"/>
                <w:szCs w:val="20"/>
                <w:color w:val="auto"/>
              </w:rPr>
            </w:pPr>
            <w:r>
              <w:rPr>
                <w:rFonts w:ascii="Arial" w:cs="Arial" w:eastAsia="Arial" w:hAnsi="Arial"/>
                <w:sz w:val="13"/>
                <w:szCs w:val="13"/>
                <w:color w:val="auto"/>
              </w:rPr>
              <w:t>Adjusted EBITDA margin</w:t>
            </w:r>
          </w:p>
        </w:tc>
        <w:tc>
          <w:tcPr>
            <w:tcW w:w="100" w:type="dxa"/>
            <w:vAlign w:val="bottom"/>
            <w:shd w:val="clear" w:color="auto" w:fill="B6B6B6"/>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15.1 %</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10.2 %</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NM = Not meaningful</w:t>
      </w: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922"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The following table sets forth the reconciliations of GAAP net income (loss) to EBITDA and Adjusted EBITDA for the periods indicated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00" w:type="dxa"/>
            <w:vAlign w:val="bottom"/>
            <w:shd w:val="clear" w:color="auto" w:fill="B6B6B6"/>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5"/>
          </w:tcPr>
          <w:p>
            <w:pPr>
              <w:ind w:left="180"/>
              <w:spacing w:after="0"/>
              <w:rPr>
                <w:sz w:val="20"/>
                <w:szCs w:val="20"/>
                <w:color w:val="auto"/>
              </w:rPr>
            </w:pPr>
            <w:r>
              <w:rPr>
                <w:rFonts w:ascii="Arial" w:cs="Arial" w:eastAsia="Arial" w:hAnsi="Arial"/>
                <w:sz w:val="13"/>
                <w:szCs w:val="13"/>
                <w:b w:val="1"/>
                <w:bCs w:val="1"/>
                <w:color w:val="auto"/>
              </w:rPr>
              <w:t>Three months ended Dec. 31,</w:t>
            </w:r>
          </w:p>
        </w:tc>
        <w:tc>
          <w:tcPr>
            <w:tcW w:w="260" w:type="dxa"/>
            <w:vAlign w:val="bottom"/>
          </w:tcPr>
          <w:p>
            <w:pPr>
              <w:spacing w:after="0"/>
              <w:rPr>
                <w:sz w:val="14"/>
                <w:szCs w:val="14"/>
                <w:color w:val="auto"/>
              </w:rPr>
            </w:pPr>
          </w:p>
        </w:tc>
        <w:tc>
          <w:tcPr>
            <w:tcW w:w="2380" w:type="dxa"/>
            <w:vAlign w:val="bottom"/>
            <w:gridSpan w:val="4"/>
          </w:tcPr>
          <w:p>
            <w:pPr>
              <w:jc w:val="right"/>
              <w:ind w:right="337"/>
              <w:spacing w:after="0"/>
              <w:rPr>
                <w:sz w:val="20"/>
                <w:szCs w:val="20"/>
                <w:color w:val="auto"/>
              </w:rPr>
            </w:pPr>
            <w:r>
              <w:rPr>
                <w:rFonts w:ascii="Arial" w:cs="Arial" w:eastAsia="Arial" w:hAnsi="Arial"/>
                <w:sz w:val="13"/>
                <w:szCs w:val="13"/>
                <w:b w:val="1"/>
                <w:bCs w:val="1"/>
                <w:color w:val="auto"/>
              </w:rPr>
              <w:t>Twelve months ended Dec. 31,</w:t>
            </w:r>
          </w:p>
        </w:tc>
        <w:tc>
          <w:tcPr>
            <w:tcW w:w="0" w:type="dxa"/>
            <w:vAlign w:val="bottom"/>
          </w:tcPr>
          <w:p>
            <w:pPr>
              <w:spacing w:after="0"/>
              <w:rPr>
                <w:sz w:val="1"/>
                <w:szCs w:val="1"/>
                <w:color w:val="auto"/>
              </w:rPr>
            </w:pPr>
          </w:p>
        </w:tc>
      </w:tr>
      <w:tr>
        <w:trPr>
          <w:trHeight w:val="176"/>
        </w:trPr>
        <w:tc>
          <w:tcPr>
            <w:tcW w:w="5780" w:type="dxa"/>
            <w:vAlign w:val="bottom"/>
            <w:tcBorders>
              <w:bottom w:val="single" w:sz="8" w:color="B6B6B6"/>
            </w:tcBorders>
          </w:tcPr>
          <w:p>
            <w:pPr>
              <w:ind w:left="20"/>
              <w:spacing w:after="0"/>
              <w:rPr>
                <w:sz w:val="20"/>
                <w:szCs w:val="20"/>
                <w:color w:val="auto"/>
              </w:rPr>
            </w:pPr>
            <w:r>
              <w:rPr>
                <w:rFonts w:ascii="Arial" w:cs="Arial" w:eastAsia="Arial" w:hAnsi="Arial"/>
                <w:sz w:val="13"/>
                <w:szCs w:val="13"/>
                <w:color w:val="auto"/>
              </w:rPr>
              <w:t>(in thousands)</w:t>
            </w:r>
          </w:p>
        </w:tc>
        <w:tc>
          <w:tcPr>
            <w:tcW w:w="100" w:type="dxa"/>
            <w:vAlign w:val="bottom"/>
            <w:tcBorders>
              <w:bottom w:val="single" w:sz="8" w:color="B6B6B6"/>
            </w:tcBorders>
            <w:shd w:val="clear" w:color="auto" w:fill="B6B6B6"/>
          </w:tcPr>
          <w:p>
            <w:pPr>
              <w:spacing w:after="0"/>
              <w:rPr>
                <w:sz w:val="15"/>
                <w:szCs w:val="15"/>
                <w:color w:val="auto"/>
              </w:rPr>
            </w:pPr>
          </w:p>
        </w:tc>
        <w:tc>
          <w:tcPr>
            <w:tcW w:w="260" w:type="dxa"/>
            <w:vAlign w:val="bottom"/>
            <w:tcBorders>
              <w:bottom w:val="single" w:sz="8" w:color="B6B6B6"/>
            </w:tcBorders>
          </w:tcPr>
          <w:p>
            <w:pPr>
              <w:spacing w:after="0"/>
              <w:rPr>
                <w:sz w:val="15"/>
                <w:szCs w:val="15"/>
                <w:color w:val="auto"/>
              </w:rPr>
            </w:pPr>
          </w:p>
        </w:tc>
        <w:tc>
          <w:tcPr>
            <w:tcW w:w="1000" w:type="dxa"/>
            <w:vAlign w:val="bottom"/>
            <w:tcBorders>
              <w:bottom w:val="single" w:sz="8" w:color="B6B6B6"/>
            </w:tcBorders>
          </w:tcPr>
          <w:p>
            <w:pPr>
              <w:jc w:val="right"/>
              <w:ind w:right="417"/>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5"/>
                <w:szCs w:val="15"/>
                <w:color w:val="auto"/>
              </w:rPr>
            </w:pPr>
          </w:p>
        </w:tc>
        <w:tc>
          <w:tcPr>
            <w:tcW w:w="300" w:type="dxa"/>
            <w:vAlign w:val="bottom"/>
            <w:tcBorders>
              <w:bottom w:val="single" w:sz="8" w:color="B6B6B6"/>
            </w:tcBorders>
          </w:tcPr>
          <w:p>
            <w:pPr>
              <w:spacing w:after="0"/>
              <w:rPr>
                <w:sz w:val="15"/>
                <w:szCs w:val="15"/>
                <w:color w:val="auto"/>
              </w:rPr>
            </w:pPr>
          </w:p>
        </w:tc>
        <w:tc>
          <w:tcPr>
            <w:tcW w:w="980" w:type="dxa"/>
            <w:vAlign w:val="bottom"/>
            <w:tcBorders>
              <w:bottom w:val="single" w:sz="8" w:color="B6B6B6"/>
            </w:tcBorders>
          </w:tcPr>
          <w:p>
            <w:pPr>
              <w:jc w:val="right"/>
              <w:ind w:right="437"/>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5"/>
                <w:szCs w:val="15"/>
                <w:color w:val="auto"/>
              </w:rPr>
            </w:pPr>
          </w:p>
        </w:tc>
        <w:tc>
          <w:tcPr>
            <w:tcW w:w="260" w:type="dxa"/>
            <w:vAlign w:val="bottom"/>
            <w:tcBorders>
              <w:bottom w:val="single" w:sz="8" w:color="B6B6B6"/>
            </w:tcBorders>
          </w:tcPr>
          <w:p>
            <w:pPr>
              <w:spacing w:after="0"/>
              <w:rPr>
                <w:sz w:val="15"/>
                <w:szCs w:val="15"/>
                <w:color w:val="auto"/>
              </w:rPr>
            </w:pPr>
          </w:p>
        </w:tc>
        <w:tc>
          <w:tcPr>
            <w:tcW w:w="1020" w:type="dxa"/>
            <w:vAlign w:val="bottom"/>
            <w:tcBorders>
              <w:bottom w:val="single" w:sz="8" w:color="B6B6B6"/>
            </w:tcBorders>
          </w:tcPr>
          <w:p>
            <w:pPr>
              <w:jc w:val="right"/>
              <w:ind w:right="437"/>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5"/>
                <w:szCs w:val="15"/>
                <w:color w:val="auto"/>
              </w:rPr>
            </w:pPr>
          </w:p>
        </w:tc>
        <w:tc>
          <w:tcPr>
            <w:tcW w:w="280" w:type="dxa"/>
            <w:vAlign w:val="bottom"/>
            <w:tcBorders>
              <w:bottom w:val="single" w:sz="8" w:color="B6B6B6"/>
            </w:tcBorders>
          </w:tcPr>
          <w:p>
            <w:pPr>
              <w:spacing w:after="0"/>
              <w:rPr>
                <w:sz w:val="15"/>
                <w:szCs w:val="15"/>
                <w:color w:val="auto"/>
              </w:rPr>
            </w:pPr>
          </w:p>
        </w:tc>
        <w:tc>
          <w:tcPr>
            <w:tcW w:w="980" w:type="dxa"/>
            <w:vAlign w:val="bottom"/>
            <w:tcBorders>
              <w:bottom w:val="single" w:sz="8" w:color="B6B6B6"/>
            </w:tcBorders>
          </w:tcPr>
          <w:p>
            <w:pPr>
              <w:jc w:val="right"/>
              <w:ind w:right="437"/>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169"/>
        </w:trPr>
        <w:tc>
          <w:tcPr>
            <w:tcW w:w="5780" w:type="dxa"/>
            <w:vAlign w:val="bottom"/>
          </w:tcPr>
          <w:p>
            <w:pPr>
              <w:ind w:left="20"/>
              <w:spacing w:after="0"/>
              <w:rPr>
                <w:sz w:val="20"/>
                <w:szCs w:val="20"/>
                <w:color w:val="auto"/>
              </w:rPr>
            </w:pPr>
            <w:r>
              <w:rPr>
                <w:rFonts w:ascii="Arial" w:cs="Arial" w:eastAsia="Arial" w:hAnsi="Arial"/>
                <w:sz w:val="13"/>
                <w:szCs w:val="13"/>
                <w:b w:val="1"/>
                <w:bCs w:val="1"/>
                <w:color w:val="auto"/>
              </w:rPr>
              <w:t>Net revenues</w:t>
            </w:r>
          </w:p>
        </w:tc>
        <w:tc>
          <w:tcPr>
            <w:tcW w:w="100" w:type="dxa"/>
            <w:vAlign w:val="bottom"/>
            <w:tcBorders>
              <w:bottom w:val="single" w:sz="8" w:color="B6B6B6"/>
            </w:tcBorders>
            <w:shd w:val="clear" w:color="auto" w:fill="B6B6B6"/>
          </w:tcPr>
          <w:p>
            <w:pPr>
              <w:spacing w:after="0"/>
              <w:rPr>
                <w:sz w:val="14"/>
                <w:szCs w:val="14"/>
                <w:color w:val="auto"/>
              </w:rPr>
            </w:pPr>
          </w:p>
        </w:tc>
        <w:tc>
          <w:tcPr>
            <w:tcW w:w="26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B6B6B6"/>
            </w:tcBorders>
          </w:tcPr>
          <w:p>
            <w:pPr>
              <w:jc w:val="right"/>
              <w:ind w:right="97"/>
              <w:spacing w:after="0"/>
              <w:rPr>
                <w:sz w:val="20"/>
                <w:szCs w:val="20"/>
                <w:color w:val="auto"/>
              </w:rPr>
            </w:pPr>
            <w:r>
              <w:rPr>
                <w:rFonts w:ascii="Arial" w:cs="Arial" w:eastAsia="Arial" w:hAnsi="Arial"/>
                <w:sz w:val="13"/>
                <w:szCs w:val="13"/>
                <w:b w:val="1"/>
                <w:bCs w:val="1"/>
                <w:color w:val="auto"/>
              </w:rPr>
              <w:t>389,132</w:t>
            </w:r>
          </w:p>
        </w:tc>
        <w:tc>
          <w:tcPr>
            <w:tcW w:w="100" w:type="dxa"/>
            <w:vAlign w:val="bottom"/>
          </w:tcPr>
          <w:p>
            <w:pPr>
              <w:spacing w:after="0"/>
              <w:rPr>
                <w:sz w:val="14"/>
                <w:szCs w:val="14"/>
                <w:color w:val="auto"/>
              </w:rPr>
            </w:pPr>
          </w:p>
        </w:tc>
        <w:tc>
          <w:tcPr>
            <w:tcW w:w="300" w:type="dxa"/>
            <w:vAlign w:val="bottom"/>
            <w:tcBorders>
              <w:bottom w:val="single" w:sz="8" w:color="B6B6B6"/>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b w:val="1"/>
                <w:bCs w:val="1"/>
                <w:color w:val="auto"/>
              </w:rPr>
              <w:t>276,697</w:t>
            </w:r>
          </w:p>
        </w:tc>
        <w:tc>
          <w:tcPr>
            <w:tcW w:w="80" w:type="dxa"/>
            <w:vAlign w:val="bottom"/>
          </w:tcPr>
          <w:p>
            <w:pPr>
              <w:spacing w:after="0"/>
              <w:rPr>
                <w:sz w:val="14"/>
                <w:szCs w:val="14"/>
                <w:color w:val="auto"/>
              </w:rPr>
            </w:pPr>
          </w:p>
        </w:tc>
        <w:tc>
          <w:tcPr>
            <w:tcW w:w="260" w:type="dxa"/>
            <w:vAlign w:val="bottom"/>
            <w:tcBorders>
              <w:bottom w:val="single" w:sz="8" w:color="B6B6B6"/>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102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b w:val="1"/>
                <w:bCs w:val="1"/>
                <w:color w:val="auto"/>
              </w:rPr>
              <w:t>798,894</w:t>
            </w:r>
          </w:p>
        </w:tc>
        <w:tc>
          <w:tcPr>
            <w:tcW w:w="100" w:type="dxa"/>
            <w:vAlign w:val="bottom"/>
          </w:tcPr>
          <w:p>
            <w:pPr>
              <w:spacing w:after="0"/>
              <w:rPr>
                <w:sz w:val="14"/>
                <w:szCs w:val="14"/>
                <w:color w:val="auto"/>
              </w:rPr>
            </w:pPr>
          </w:p>
        </w:tc>
        <w:tc>
          <w:tcPr>
            <w:tcW w:w="280" w:type="dxa"/>
            <w:vAlign w:val="bottom"/>
            <w:tcBorders>
              <w:bottom w:val="single" w:sz="8" w:color="B6B6B6"/>
            </w:tcBorders>
          </w:tcPr>
          <w:p>
            <w:pPr>
              <w:jc w:val="right"/>
              <w:ind w:right="137"/>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B6B6B6"/>
            </w:tcBorders>
          </w:tcPr>
          <w:p>
            <w:pPr>
              <w:jc w:val="right"/>
              <w:ind w:right="97"/>
              <w:spacing w:after="0"/>
              <w:rPr>
                <w:sz w:val="20"/>
                <w:szCs w:val="20"/>
                <w:color w:val="auto"/>
              </w:rPr>
            </w:pPr>
            <w:r>
              <w:rPr>
                <w:rFonts w:ascii="Arial" w:cs="Arial" w:eastAsia="Arial" w:hAnsi="Arial"/>
                <w:sz w:val="13"/>
                <w:szCs w:val="13"/>
                <w:b w:val="1"/>
                <w:bCs w:val="1"/>
                <w:color w:val="auto"/>
              </w:rPr>
              <w:t>734,671</w:t>
            </w:r>
          </w:p>
        </w:tc>
        <w:tc>
          <w:tcPr>
            <w:tcW w:w="0" w:type="dxa"/>
            <w:vAlign w:val="bottom"/>
          </w:tcPr>
          <w:p>
            <w:pPr>
              <w:spacing w:after="0"/>
              <w:rPr>
                <w:sz w:val="1"/>
                <w:szCs w:val="1"/>
                <w:color w:val="auto"/>
              </w:rPr>
            </w:pPr>
          </w:p>
        </w:tc>
      </w:tr>
      <w:tr>
        <w:trPr>
          <w:trHeight w:val="163"/>
        </w:trPr>
        <w:tc>
          <w:tcPr>
            <w:tcW w:w="578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00" w:type="dxa"/>
            <w:vAlign w:val="bottom"/>
            <w:shd w:val="clear" w:color="auto" w:fill="B6B6B6"/>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57,975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(2,294)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(7,319)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(151,270)</w:t>
            </w:r>
          </w:p>
        </w:tc>
        <w:tc>
          <w:tcPr>
            <w:tcW w:w="0" w:type="dxa"/>
            <w:vAlign w:val="bottom"/>
          </w:tcPr>
          <w:p>
            <w:pPr>
              <w:spacing w:after="0"/>
              <w:rPr>
                <w:sz w:val="1"/>
                <w:szCs w:val="1"/>
                <w:color w:val="auto"/>
              </w:rPr>
            </w:pPr>
          </w:p>
        </w:tc>
      </w:tr>
      <w:tr>
        <w:trPr>
          <w:trHeight w:val="171"/>
        </w:trPr>
        <w:tc>
          <w:tcPr>
            <w:tcW w:w="5780" w:type="dxa"/>
            <w:vAlign w:val="bottom"/>
          </w:tcPr>
          <w:p>
            <w:pPr>
              <w:ind w:left="240"/>
              <w:spacing w:after="0"/>
              <w:rPr>
                <w:sz w:val="20"/>
                <w:szCs w:val="20"/>
                <w:color w:val="auto"/>
              </w:rPr>
            </w:pPr>
            <w:r>
              <w:rPr>
                <w:rFonts w:ascii="Arial" w:cs="Arial" w:eastAsia="Arial" w:hAnsi="Arial"/>
                <w:sz w:val="13"/>
                <w:szCs w:val="13"/>
                <w:color w:val="auto"/>
              </w:rPr>
              <w:t>Interest expense</w:t>
            </w:r>
          </w:p>
        </w:tc>
        <w:tc>
          <w:tcPr>
            <w:tcW w:w="100" w:type="dxa"/>
            <w:vAlign w:val="bottom"/>
            <w:shd w:val="clear" w:color="auto" w:fill="B6B6B6"/>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17,735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17,751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72,868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69,472</w:t>
            </w:r>
          </w:p>
        </w:tc>
        <w:tc>
          <w:tcPr>
            <w:tcW w:w="0" w:type="dxa"/>
            <w:vAlign w:val="bottom"/>
          </w:tcPr>
          <w:p>
            <w:pPr>
              <w:spacing w:after="0"/>
              <w:rPr>
                <w:sz w:val="1"/>
                <w:szCs w:val="1"/>
                <w:color w:val="auto"/>
              </w:rPr>
            </w:pPr>
          </w:p>
        </w:tc>
      </w:tr>
      <w:tr>
        <w:trPr>
          <w:trHeight w:val="176"/>
        </w:trPr>
        <w:tc>
          <w:tcPr>
            <w:tcW w:w="5780" w:type="dxa"/>
            <w:vAlign w:val="bottom"/>
          </w:tcPr>
          <w:p>
            <w:pPr>
              <w:ind w:left="240"/>
              <w:spacing w:after="0"/>
              <w:rPr>
                <w:sz w:val="20"/>
                <w:szCs w:val="20"/>
                <w:color w:val="auto"/>
              </w:rPr>
            </w:pPr>
            <w:r>
              <w:rPr>
                <w:rFonts w:ascii="Arial" w:cs="Arial" w:eastAsia="Arial" w:hAnsi="Arial"/>
                <w:sz w:val="13"/>
                <w:szCs w:val="13"/>
                <w:color w:val="auto"/>
              </w:rPr>
              <w:t>Income tax expense (benefit)</w:t>
            </w:r>
          </w:p>
        </w:tc>
        <w:tc>
          <w:tcPr>
            <w:tcW w:w="100" w:type="dxa"/>
            <w:vAlign w:val="bottom"/>
            <w:shd w:val="clear" w:color="auto" w:fill="B6B6B6"/>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2,389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379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2,267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183"/>
        </w:trPr>
        <w:tc>
          <w:tcPr>
            <w:tcW w:w="5780" w:type="dxa"/>
            <w:vAlign w:val="bottom"/>
          </w:tcPr>
          <w:p>
            <w:pPr>
              <w:ind w:left="240"/>
              <w:spacing w:after="0"/>
              <w:rPr>
                <w:sz w:val="20"/>
                <w:szCs w:val="20"/>
                <w:color w:val="auto"/>
              </w:rPr>
            </w:pPr>
            <w:r>
              <w:rPr>
                <w:rFonts w:ascii="Arial" w:cs="Arial" w:eastAsia="Arial" w:hAnsi="Arial"/>
                <w:sz w:val="13"/>
                <w:szCs w:val="13"/>
                <w:color w:val="auto"/>
              </w:rPr>
              <w:t>Depreciation and amortization expense</w:t>
            </w:r>
          </w:p>
        </w:tc>
        <w:tc>
          <w:tcPr>
            <w:tcW w:w="100" w:type="dxa"/>
            <w:vAlign w:val="bottom"/>
            <w:tcBorders>
              <w:bottom w:val="single" w:sz="8" w:color="B6B6B6"/>
            </w:tcBorders>
            <w:shd w:val="clear" w:color="auto" w:fill="B6B6B6"/>
          </w:tcPr>
          <w:p>
            <w:pPr>
              <w:spacing w:after="0"/>
              <w:rPr>
                <w:sz w:val="15"/>
                <w:szCs w:val="15"/>
                <w:color w:val="auto"/>
              </w:rPr>
            </w:pPr>
          </w:p>
        </w:tc>
        <w:tc>
          <w:tcPr>
            <w:tcW w:w="260" w:type="dxa"/>
            <w:vAlign w:val="bottom"/>
            <w:tcBorders>
              <w:bottom w:val="single" w:sz="8" w:color="B6B6B6"/>
            </w:tcBorders>
          </w:tcPr>
          <w:p>
            <w:pPr>
              <w:spacing w:after="0"/>
              <w:rPr>
                <w:sz w:val="15"/>
                <w:szCs w:val="15"/>
                <w:color w:val="auto"/>
              </w:rPr>
            </w:pPr>
          </w:p>
        </w:tc>
        <w:tc>
          <w:tcPr>
            <w:tcW w:w="1000" w:type="dxa"/>
            <w:vAlign w:val="bottom"/>
            <w:tcBorders>
              <w:bottom w:val="single" w:sz="8" w:color="B6B6B6"/>
            </w:tcBorders>
          </w:tcPr>
          <w:p>
            <w:pPr>
              <w:jc w:val="right"/>
              <w:ind w:right="97"/>
              <w:spacing w:after="0"/>
              <w:rPr>
                <w:sz w:val="20"/>
                <w:szCs w:val="20"/>
                <w:color w:val="auto"/>
              </w:rPr>
            </w:pPr>
            <w:r>
              <w:rPr>
                <w:rFonts w:ascii="Arial" w:cs="Arial" w:eastAsia="Arial" w:hAnsi="Arial"/>
                <w:sz w:val="13"/>
                <w:szCs w:val="13"/>
                <w:color w:val="auto"/>
              </w:rPr>
              <w:t>26,927</w:t>
            </w:r>
          </w:p>
        </w:tc>
        <w:tc>
          <w:tcPr>
            <w:tcW w:w="100" w:type="dxa"/>
            <w:vAlign w:val="bottom"/>
          </w:tcPr>
          <w:p>
            <w:pPr>
              <w:spacing w:after="0"/>
              <w:rPr>
                <w:sz w:val="15"/>
                <w:szCs w:val="15"/>
                <w:color w:val="auto"/>
              </w:rPr>
            </w:pPr>
          </w:p>
        </w:tc>
        <w:tc>
          <w:tcPr>
            <w:tcW w:w="300" w:type="dxa"/>
            <w:vAlign w:val="bottom"/>
            <w:tcBorders>
              <w:bottom w:val="single" w:sz="8" w:color="B6B6B6"/>
            </w:tcBorders>
          </w:tcPr>
          <w:p>
            <w:pPr>
              <w:spacing w:after="0"/>
              <w:rPr>
                <w:sz w:val="15"/>
                <w:szCs w:val="15"/>
                <w:color w:val="auto"/>
              </w:rPr>
            </w:pPr>
          </w:p>
        </w:tc>
        <w:tc>
          <w:tcPr>
            <w:tcW w:w="98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color w:val="auto"/>
              </w:rPr>
              <w:t>26,848</w:t>
            </w:r>
          </w:p>
        </w:tc>
        <w:tc>
          <w:tcPr>
            <w:tcW w:w="80" w:type="dxa"/>
            <w:vAlign w:val="bottom"/>
          </w:tcPr>
          <w:p>
            <w:pPr>
              <w:spacing w:after="0"/>
              <w:rPr>
                <w:sz w:val="15"/>
                <w:szCs w:val="15"/>
                <w:color w:val="auto"/>
              </w:rPr>
            </w:pPr>
          </w:p>
        </w:tc>
        <w:tc>
          <w:tcPr>
            <w:tcW w:w="260" w:type="dxa"/>
            <w:vAlign w:val="bottom"/>
            <w:tcBorders>
              <w:bottom w:val="single" w:sz="8" w:color="B6B6B6"/>
            </w:tcBorders>
          </w:tcPr>
          <w:p>
            <w:pPr>
              <w:spacing w:after="0"/>
              <w:rPr>
                <w:sz w:val="15"/>
                <w:szCs w:val="15"/>
                <w:color w:val="auto"/>
              </w:rPr>
            </w:pPr>
          </w:p>
        </w:tc>
        <w:tc>
          <w:tcPr>
            <w:tcW w:w="102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color w:val="auto"/>
              </w:rPr>
              <w:t>105,890</w:t>
            </w:r>
          </w:p>
        </w:tc>
        <w:tc>
          <w:tcPr>
            <w:tcW w:w="100" w:type="dxa"/>
            <w:vAlign w:val="bottom"/>
          </w:tcPr>
          <w:p>
            <w:pPr>
              <w:spacing w:after="0"/>
              <w:rPr>
                <w:sz w:val="15"/>
                <w:szCs w:val="15"/>
                <w:color w:val="auto"/>
              </w:rPr>
            </w:pPr>
          </w:p>
        </w:tc>
        <w:tc>
          <w:tcPr>
            <w:tcW w:w="280" w:type="dxa"/>
            <w:vAlign w:val="bottom"/>
            <w:tcBorders>
              <w:bottom w:val="single" w:sz="8" w:color="B6B6B6"/>
            </w:tcBorders>
          </w:tcPr>
          <w:p>
            <w:pPr>
              <w:spacing w:after="0"/>
              <w:rPr>
                <w:sz w:val="15"/>
                <w:szCs w:val="15"/>
                <w:color w:val="auto"/>
              </w:rPr>
            </w:pPr>
          </w:p>
        </w:tc>
        <w:tc>
          <w:tcPr>
            <w:tcW w:w="980" w:type="dxa"/>
            <w:vAlign w:val="bottom"/>
            <w:tcBorders>
              <w:bottom w:val="single" w:sz="8" w:color="B6B6B6"/>
            </w:tcBorders>
          </w:tcPr>
          <w:p>
            <w:pPr>
              <w:jc w:val="right"/>
              <w:ind w:right="97"/>
              <w:spacing w:after="0"/>
              <w:rPr>
                <w:sz w:val="20"/>
                <w:szCs w:val="20"/>
                <w:color w:val="auto"/>
              </w:rPr>
            </w:pPr>
            <w:r>
              <w:rPr>
                <w:rFonts w:ascii="Arial" w:cs="Arial" w:eastAsia="Arial" w:hAnsi="Arial"/>
                <w:sz w:val="13"/>
                <w:szCs w:val="13"/>
                <w:color w:val="auto"/>
              </w:rPr>
              <w:t>105,748</w:t>
            </w:r>
          </w:p>
        </w:tc>
        <w:tc>
          <w:tcPr>
            <w:tcW w:w="0" w:type="dxa"/>
            <w:vAlign w:val="bottom"/>
          </w:tcPr>
          <w:p>
            <w:pPr>
              <w:spacing w:after="0"/>
              <w:rPr>
                <w:sz w:val="1"/>
                <w:szCs w:val="1"/>
                <w:color w:val="auto"/>
              </w:rPr>
            </w:pPr>
          </w:p>
        </w:tc>
      </w:tr>
      <w:tr>
        <w:trPr>
          <w:trHeight w:val="169"/>
        </w:trPr>
        <w:tc>
          <w:tcPr>
            <w:tcW w:w="5780" w:type="dxa"/>
            <w:vAlign w:val="bottom"/>
          </w:tcPr>
          <w:p>
            <w:pPr>
              <w:ind w:left="20"/>
              <w:spacing w:after="0"/>
              <w:rPr>
                <w:sz w:val="20"/>
                <w:szCs w:val="20"/>
                <w:color w:val="auto"/>
              </w:rPr>
            </w:pPr>
            <w:r>
              <w:rPr>
                <w:rFonts w:ascii="Arial" w:cs="Arial" w:eastAsia="Arial" w:hAnsi="Arial"/>
                <w:sz w:val="13"/>
                <w:szCs w:val="13"/>
                <w:color w:val="auto"/>
              </w:rPr>
              <w:t>EBITDA</w:t>
            </w:r>
          </w:p>
        </w:tc>
        <w:tc>
          <w:tcPr>
            <w:tcW w:w="100" w:type="dxa"/>
            <w:vAlign w:val="bottom"/>
            <w:tcBorders>
              <w:bottom w:val="single" w:sz="8" w:color="B6B6B6"/>
            </w:tcBorders>
            <w:shd w:val="clear" w:color="auto" w:fill="B6B6B6"/>
          </w:tcPr>
          <w:p>
            <w:pPr>
              <w:spacing w:after="0"/>
              <w:rPr>
                <w:sz w:val="14"/>
                <w:szCs w:val="14"/>
                <w:color w:val="auto"/>
              </w:rPr>
            </w:pPr>
          </w:p>
        </w:tc>
        <w:tc>
          <w:tcPr>
            <w:tcW w:w="260" w:type="dxa"/>
            <w:vAlign w:val="bottom"/>
            <w:tcBorders>
              <w:bottom w:val="single" w:sz="8" w:color="B6B6B6"/>
            </w:tcBorders>
          </w:tcPr>
          <w:p>
            <w:pPr>
              <w:spacing w:after="0"/>
              <w:rPr>
                <w:sz w:val="14"/>
                <w:szCs w:val="14"/>
                <w:color w:val="auto"/>
              </w:rPr>
            </w:pPr>
          </w:p>
        </w:tc>
        <w:tc>
          <w:tcPr>
            <w:tcW w:w="1000" w:type="dxa"/>
            <w:vAlign w:val="bottom"/>
            <w:tcBorders>
              <w:bottom w:val="single" w:sz="8" w:color="B6B6B6"/>
            </w:tcBorders>
          </w:tcPr>
          <w:p>
            <w:pPr>
              <w:jc w:val="right"/>
              <w:ind w:right="97"/>
              <w:spacing w:after="0"/>
              <w:rPr>
                <w:sz w:val="20"/>
                <w:szCs w:val="20"/>
                <w:color w:val="auto"/>
              </w:rPr>
            </w:pPr>
            <w:r>
              <w:rPr>
                <w:rFonts w:ascii="Arial" w:cs="Arial" w:eastAsia="Arial" w:hAnsi="Arial"/>
                <w:sz w:val="13"/>
                <w:szCs w:val="13"/>
                <w:color w:val="auto"/>
              </w:rPr>
              <w:t>105,026</w:t>
            </w:r>
          </w:p>
        </w:tc>
        <w:tc>
          <w:tcPr>
            <w:tcW w:w="100" w:type="dxa"/>
            <w:vAlign w:val="bottom"/>
          </w:tcPr>
          <w:p>
            <w:pPr>
              <w:spacing w:after="0"/>
              <w:rPr>
                <w:sz w:val="14"/>
                <w:szCs w:val="14"/>
                <w:color w:val="auto"/>
              </w:rPr>
            </w:pPr>
          </w:p>
        </w:tc>
        <w:tc>
          <w:tcPr>
            <w:tcW w:w="300" w:type="dxa"/>
            <w:vAlign w:val="bottom"/>
            <w:tcBorders>
              <w:bottom w:val="single" w:sz="8" w:color="B6B6B6"/>
            </w:tcBorders>
          </w:tcPr>
          <w:p>
            <w:pPr>
              <w:spacing w:after="0"/>
              <w:rPr>
                <w:sz w:val="14"/>
                <w:szCs w:val="14"/>
                <w:color w:val="auto"/>
              </w:rPr>
            </w:pPr>
          </w:p>
        </w:tc>
        <w:tc>
          <w:tcPr>
            <w:tcW w:w="98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color w:val="auto"/>
              </w:rPr>
              <w:t>42,684</w:t>
            </w:r>
          </w:p>
        </w:tc>
        <w:tc>
          <w:tcPr>
            <w:tcW w:w="80" w:type="dxa"/>
            <w:vAlign w:val="bottom"/>
          </w:tcPr>
          <w:p>
            <w:pPr>
              <w:spacing w:after="0"/>
              <w:rPr>
                <w:sz w:val="14"/>
                <w:szCs w:val="14"/>
                <w:color w:val="auto"/>
              </w:rPr>
            </w:pPr>
          </w:p>
        </w:tc>
        <w:tc>
          <w:tcPr>
            <w:tcW w:w="260" w:type="dxa"/>
            <w:vAlign w:val="bottom"/>
            <w:tcBorders>
              <w:bottom w:val="single" w:sz="8" w:color="B6B6B6"/>
            </w:tcBorders>
          </w:tcPr>
          <w:p>
            <w:pPr>
              <w:spacing w:after="0"/>
              <w:rPr>
                <w:sz w:val="14"/>
                <w:szCs w:val="14"/>
                <w:color w:val="auto"/>
              </w:rPr>
            </w:pPr>
          </w:p>
        </w:tc>
        <w:tc>
          <w:tcPr>
            <w:tcW w:w="102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color w:val="auto"/>
              </w:rPr>
              <w:t>173,706</w:t>
            </w:r>
          </w:p>
        </w:tc>
        <w:tc>
          <w:tcPr>
            <w:tcW w:w="100" w:type="dxa"/>
            <w:vAlign w:val="bottom"/>
          </w:tcPr>
          <w:p>
            <w:pPr>
              <w:spacing w:after="0"/>
              <w:rPr>
                <w:sz w:val="14"/>
                <w:szCs w:val="14"/>
                <w:color w:val="auto"/>
              </w:rPr>
            </w:pPr>
          </w:p>
        </w:tc>
        <w:tc>
          <w:tcPr>
            <w:tcW w:w="280" w:type="dxa"/>
            <w:vAlign w:val="bottom"/>
            <w:tcBorders>
              <w:bottom w:val="single" w:sz="8" w:color="B6B6B6"/>
            </w:tcBorders>
          </w:tcPr>
          <w:p>
            <w:pPr>
              <w:spacing w:after="0"/>
              <w:rPr>
                <w:sz w:val="14"/>
                <w:szCs w:val="14"/>
                <w:color w:val="auto"/>
              </w:rPr>
            </w:pPr>
          </w:p>
        </w:tc>
        <w:tc>
          <w:tcPr>
            <w:tcW w:w="980" w:type="dxa"/>
            <w:vAlign w:val="bottom"/>
            <w:tcBorders>
              <w:bottom w:val="single" w:sz="8" w:color="B6B6B6"/>
            </w:tcBorders>
          </w:tcPr>
          <w:p>
            <w:pPr>
              <w:jc w:val="right"/>
              <w:ind w:right="97"/>
              <w:spacing w:after="0"/>
              <w:rPr>
                <w:sz w:val="20"/>
                <w:szCs w:val="20"/>
                <w:color w:val="auto"/>
              </w:rPr>
            </w:pPr>
            <w:r>
              <w:rPr>
                <w:rFonts w:ascii="Arial" w:cs="Arial" w:eastAsia="Arial" w:hAnsi="Arial"/>
                <w:sz w:val="13"/>
                <w:szCs w:val="13"/>
                <w:color w:val="auto"/>
              </w:rPr>
              <w:t>24,104</w:t>
            </w:r>
          </w:p>
        </w:tc>
        <w:tc>
          <w:tcPr>
            <w:tcW w:w="0" w:type="dxa"/>
            <w:vAlign w:val="bottom"/>
          </w:tcPr>
          <w:p>
            <w:pPr>
              <w:spacing w:after="0"/>
              <w:rPr>
                <w:sz w:val="1"/>
                <w:szCs w:val="1"/>
                <w:color w:val="auto"/>
              </w:rPr>
            </w:pPr>
          </w:p>
        </w:tc>
      </w:tr>
      <w:tr>
        <w:trPr>
          <w:trHeight w:val="171"/>
        </w:trPr>
        <w:tc>
          <w:tcPr>
            <w:tcW w:w="5780" w:type="dxa"/>
            <w:vAlign w:val="bottom"/>
          </w:tcPr>
          <w:p>
            <w:pPr>
              <w:ind w:left="240"/>
              <w:spacing w:after="0" w:line="171" w:lineRule="exact"/>
              <w:rPr>
                <w:sz w:val="20"/>
                <w:szCs w:val="20"/>
                <w:color w:val="auto"/>
              </w:rPr>
            </w:pPr>
            <w:r>
              <w:rPr>
                <w:rFonts w:ascii="Arial" w:cs="Arial" w:eastAsia="Arial" w:hAnsi="Arial"/>
                <w:sz w:val="13"/>
                <w:szCs w:val="13"/>
                <w:color w:val="auto"/>
              </w:rPr>
              <w:t>Gain on bargain purchase</w:t>
            </w:r>
            <w:r>
              <w:rPr>
                <w:rFonts w:ascii="Arial" w:cs="Arial" w:eastAsia="Arial" w:hAnsi="Arial"/>
                <w:sz w:val="16"/>
                <w:szCs w:val="16"/>
                <w:color w:val="auto"/>
                <w:vertAlign w:val="superscript"/>
              </w:rPr>
              <w:t>1</w:t>
            </w:r>
          </w:p>
        </w:tc>
        <w:tc>
          <w:tcPr>
            <w:tcW w:w="100" w:type="dxa"/>
            <w:vAlign w:val="bottom"/>
            <w:shd w:val="clear" w:color="auto" w:fill="B6B6B6"/>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(7,129)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(84,492)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5780" w:type="dxa"/>
            <w:vAlign w:val="bottom"/>
          </w:tcPr>
          <w:p>
            <w:pPr>
              <w:ind w:left="240"/>
              <w:spacing w:after="0" w:line="175" w:lineRule="exact"/>
              <w:rPr>
                <w:sz w:val="20"/>
                <w:szCs w:val="20"/>
                <w:color w:val="auto"/>
              </w:rPr>
            </w:pPr>
            <w:r>
              <w:rPr>
                <w:rFonts w:ascii="Arial" w:cs="Arial" w:eastAsia="Arial" w:hAnsi="Arial"/>
                <w:sz w:val="13"/>
                <w:szCs w:val="13"/>
                <w:color w:val="auto"/>
              </w:rPr>
              <w:t>Loss on extinguishment of debt</w:t>
            </w:r>
            <w:r>
              <w:rPr>
                <w:rFonts w:ascii="Arial" w:cs="Arial" w:eastAsia="Arial" w:hAnsi="Arial"/>
                <w:sz w:val="16"/>
                <w:szCs w:val="16"/>
                <w:color w:val="auto"/>
                <w:vertAlign w:val="superscript"/>
              </w:rPr>
              <w:t>2</w:t>
            </w:r>
          </w:p>
        </w:tc>
        <w:tc>
          <w:tcPr>
            <w:tcW w:w="100" w:type="dxa"/>
            <w:vAlign w:val="bottom"/>
            <w:shd w:val="clear" w:color="auto" w:fill="B6B6B6"/>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10,463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10,463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5780" w:type="dxa"/>
            <w:vAlign w:val="bottom"/>
          </w:tcPr>
          <w:p>
            <w:pPr>
              <w:ind w:left="240"/>
              <w:spacing w:after="0" w:line="175" w:lineRule="exact"/>
              <w:rPr>
                <w:sz w:val="20"/>
                <w:szCs w:val="20"/>
                <w:color w:val="auto"/>
              </w:rPr>
            </w:pPr>
            <w:r>
              <w:rPr>
                <w:rFonts w:ascii="Arial" w:cs="Arial" w:eastAsia="Arial" w:hAnsi="Arial"/>
                <w:sz w:val="13"/>
                <w:szCs w:val="13"/>
                <w:color w:val="auto"/>
              </w:rPr>
              <w:t>Share-based compensation expense</w:t>
            </w:r>
            <w:r>
              <w:rPr>
                <w:rFonts w:ascii="Arial" w:cs="Arial" w:eastAsia="Arial" w:hAnsi="Arial"/>
                <w:sz w:val="16"/>
                <w:szCs w:val="16"/>
                <w:color w:val="auto"/>
                <w:vertAlign w:val="superscript"/>
              </w:rPr>
              <w:t>3</w:t>
            </w:r>
          </w:p>
        </w:tc>
        <w:tc>
          <w:tcPr>
            <w:tcW w:w="100" w:type="dxa"/>
            <w:vAlign w:val="bottom"/>
            <w:shd w:val="clear" w:color="auto" w:fill="B6B6B6"/>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4,747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3,405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11,281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19,564</w:t>
            </w:r>
          </w:p>
        </w:tc>
        <w:tc>
          <w:tcPr>
            <w:tcW w:w="0" w:type="dxa"/>
            <w:vAlign w:val="bottom"/>
          </w:tcPr>
          <w:p>
            <w:pPr>
              <w:spacing w:after="0"/>
              <w:rPr>
                <w:sz w:val="1"/>
                <w:szCs w:val="1"/>
                <w:color w:val="auto"/>
              </w:rPr>
            </w:pPr>
          </w:p>
        </w:tc>
      </w:tr>
      <w:tr>
        <w:trPr>
          <w:trHeight w:val="175"/>
        </w:trPr>
        <w:tc>
          <w:tcPr>
            <w:tcW w:w="5780" w:type="dxa"/>
            <w:vAlign w:val="bottom"/>
          </w:tcPr>
          <w:p>
            <w:pPr>
              <w:ind w:left="240"/>
              <w:spacing w:after="0" w:line="175" w:lineRule="exact"/>
              <w:rPr>
                <w:sz w:val="20"/>
                <w:szCs w:val="20"/>
                <w:color w:val="auto"/>
              </w:rPr>
            </w:pPr>
            <w:r>
              <w:rPr>
                <w:rFonts w:ascii="Arial" w:cs="Arial" w:eastAsia="Arial" w:hAnsi="Arial"/>
                <w:sz w:val="13"/>
                <w:szCs w:val="13"/>
                <w:color w:val="auto"/>
              </w:rPr>
              <w:t>Professional services</w:t>
            </w:r>
            <w:r>
              <w:rPr>
                <w:rFonts w:ascii="Arial" w:cs="Arial" w:eastAsia="Arial" w:hAnsi="Arial"/>
                <w:sz w:val="16"/>
                <w:szCs w:val="16"/>
                <w:color w:val="auto"/>
                <w:vertAlign w:val="superscript"/>
              </w:rPr>
              <w:t>4</w:t>
            </w:r>
          </w:p>
        </w:tc>
        <w:tc>
          <w:tcPr>
            <w:tcW w:w="100" w:type="dxa"/>
            <w:vAlign w:val="bottom"/>
            <w:shd w:val="clear" w:color="auto" w:fill="B6B6B6"/>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2,853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335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3,671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1,548</w:t>
            </w:r>
          </w:p>
        </w:tc>
        <w:tc>
          <w:tcPr>
            <w:tcW w:w="0" w:type="dxa"/>
            <w:vAlign w:val="bottom"/>
          </w:tcPr>
          <w:p>
            <w:pPr>
              <w:spacing w:after="0"/>
              <w:rPr>
                <w:sz w:val="1"/>
                <w:szCs w:val="1"/>
                <w:color w:val="auto"/>
              </w:rPr>
            </w:pPr>
          </w:p>
        </w:tc>
      </w:tr>
      <w:tr>
        <w:trPr>
          <w:trHeight w:val="176"/>
        </w:trPr>
        <w:tc>
          <w:tcPr>
            <w:tcW w:w="5780" w:type="dxa"/>
            <w:vAlign w:val="bottom"/>
          </w:tcPr>
          <w:p>
            <w:pPr>
              <w:ind w:left="240"/>
              <w:spacing w:after="0" w:line="175" w:lineRule="exact"/>
              <w:rPr>
                <w:sz w:val="20"/>
                <w:szCs w:val="20"/>
                <w:color w:val="auto"/>
              </w:rPr>
            </w:pPr>
            <w:r>
              <w:rPr>
                <w:rFonts w:ascii="Arial" w:cs="Arial" w:eastAsia="Arial" w:hAnsi="Arial"/>
                <w:sz w:val="13"/>
                <w:szCs w:val="13"/>
                <w:color w:val="auto"/>
              </w:rPr>
              <w:t>Legal fees</w:t>
            </w:r>
            <w:r>
              <w:rPr>
                <w:rFonts w:ascii="Arial" w:cs="Arial" w:eastAsia="Arial" w:hAnsi="Arial"/>
                <w:sz w:val="16"/>
                <w:szCs w:val="16"/>
                <w:color w:val="auto"/>
                <w:vertAlign w:val="superscript"/>
              </w:rPr>
              <w:t>5</w:t>
            </w:r>
          </w:p>
        </w:tc>
        <w:tc>
          <w:tcPr>
            <w:tcW w:w="100" w:type="dxa"/>
            <w:vAlign w:val="bottom"/>
            <w:shd w:val="clear" w:color="auto" w:fill="B6B6B6"/>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1,586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148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2,917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14,840</w:t>
            </w:r>
          </w:p>
        </w:tc>
        <w:tc>
          <w:tcPr>
            <w:tcW w:w="0" w:type="dxa"/>
            <w:vAlign w:val="bottom"/>
          </w:tcPr>
          <w:p>
            <w:pPr>
              <w:spacing w:after="0"/>
              <w:rPr>
                <w:sz w:val="1"/>
                <w:szCs w:val="1"/>
                <w:color w:val="auto"/>
              </w:rPr>
            </w:pPr>
          </w:p>
        </w:tc>
      </w:tr>
      <w:tr>
        <w:trPr>
          <w:trHeight w:val="176"/>
        </w:trPr>
        <w:tc>
          <w:tcPr>
            <w:tcW w:w="5780" w:type="dxa"/>
            <w:vAlign w:val="bottom"/>
          </w:tcPr>
          <w:p>
            <w:pPr>
              <w:ind w:left="240"/>
              <w:spacing w:after="0" w:line="175" w:lineRule="exact"/>
              <w:rPr>
                <w:sz w:val="20"/>
                <w:szCs w:val="20"/>
                <w:color w:val="auto"/>
              </w:rPr>
            </w:pPr>
            <w:r>
              <w:rPr>
                <w:rFonts w:ascii="Arial" w:cs="Arial" w:eastAsia="Arial" w:hAnsi="Arial"/>
                <w:sz w:val="13"/>
                <w:szCs w:val="13"/>
                <w:color w:val="auto"/>
                <w:w w:val="99"/>
              </w:rPr>
              <w:t>Other (income) loss related to the adjustment of liabilities under the Tax Receivable Agreement</w:t>
            </w:r>
            <w:r>
              <w:rPr>
                <w:rFonts w:ascii="Arial" w:cs="Arial" w:eastAsia="Arial" w:hAnsi="Arial"/>
                <w:sz w:val="16"/>
                <w:szCs w:val="16"/>
                <w:color w:val="auto"/>
                <w:w w:val="99"/>
                <w:vertAlign w:val="superscript"/>
              </w:rPr>
              <w:t>6</w:t>
            </w:r>
          </w:p>
        </w:tc>
        <w:tc>
          <w:tcPr>
            <w:tcW w:w="100" w:type="dxa"/>
            <w:vAlign w:val="bottom"/>
            <w:shd w:val="clear" w:color="auto" w:fill="B6B6B6"/>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293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428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293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428</w:t>
            </w:r>
          </w:p>
        </w:tc>
        <w:tc>
          <w:tcPr>
            <w:tcW w:w="0" w:type="dxa"/>
            <w:vAlign w:val="bottom"/>
          </w:tcPr>
          <w:p>
            <w:pPr>
              <w:spacing w:after="0"/>
              <w:rPr>
                <w:sz w:val="1"/>
                <w:szCs w:val="1"/>
                <w:color w:val="auto"/>
              </w:rPr>
            </w:pPr>
          </w:p>
        </w:tc>
      </w:tr>
      <w:tr>
        <w:trPr>
          <w:trHeight w:val="175"/>
        </w:trPr>
        <w:tc>
          <w:tcPr>
            <w:tcW w:w="5780" w:type="dxa"/>
            <w:vAlign w:val="bottom"/>
          </w:tcPr>
          <w:p>
            <w:pPr>
              <w:ind w:left="240"/>
              <w:spacing w:after="0" w:line="175" w:lineRule="exact"/>
              <w:rPr>
                <w:sz w:val="20"/>
                <w:szCs w:val="20"/>
                <w:color w:val="auto"/>
              </w:rPr>
            </w:pPr>
            <w:r>
              <w:rPr>
                <w:rFonts w:ascii="Arial" w:cs="Arial" w:eastAsia="Arial" w:hAnsi="Arial"/>
                <w:sz w:val="13"/>
                <w:szCs w:val="13"/>
                <w:color w:val="auto"/>
              </w:rPr>
              <w:t>Severance costs</w:t>
            </w:r>
            <w:r>
              <w:rPr>
                <w:rFonts w:ascii="Arial" w:cs="Arial" w:eastAsia="Arial" w:hAnsi="Arial"/>
                <w:sz w:val="16"/>
                <w:szCs w:val="16"/>
                <w:color w:val="auto"/>
                <w:vertAlign w:val="superscript"/>
              </w:rPr>
              <w:t>7</w:t>
            </w:r>
          </w:p>
        </w:tc>
        <w:tc>
          <w:tcPr>
            <w:tcW w:w="100" w:type="dxa"/>
            <w:vAlign w:val="bottom"/>
            <w:shd w:val="clear" w:color="auto" w:fill="B6B6B6"/>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2,480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1,920</w:t>
            </w:r>
          </w:p>
        </w:tc>
        <w:tc>
          <w:tcPr>
            <w:tcW w:w="0" w:type="dxa"/>
            <w:vAlign w:val="bottom"/>
          </w:tcPr>
          <w:p>
            <w:pPr>
              <w:spacing w:after="0"/>
              <w:rPr>
                <w:sz w:val="1"/>
                <w:szCs w:val="1"/>
                <w:color w:val="auto"/>
              </w:rPr>
            </w:pPr>
          </w:p>
        </w:tc>
      </w:tr>
      <w:tr>
        <w:trPr>
          <w:trHeight w:val="176"/>
        </w:trPr>
        <w:tc>
          <w:tcPr>
            <w:tcW w:w="5780" w:type="dxa"/>
            <w:vAlign w:val="bottom"/>
          </w:tcPr>
          <w:p>
            <w:pPr>
              <w:ind w:left="240"/>
              <w:spacing w:after="0" w:line="175" w:lineRule="exact"/>
              <w:rPr>
                <w:sz w:val="20"/>
                <w:szCs w:val="20"/>
                <w:color w:val="auto"/>
              </w:rPr>
            </w:pPr>
            <w:r>
              <w:rPr>
                <w:rFonts w:ascii="Arial" w:cs="Arial" w:eastAsia="Arial" w:hAnsi="Arial"/>
                <w:sz w:val="13"/>
                <w:szCs w:val="13"/>
                <w:color w:val="auto"/>
              </w:rPr>
              <w:t>Intangible asset impairment charges</w:t>
            </w:r>
            <w:r>
              <w:rPr>
                <w:rFonts w:ascii="Arial" w:cs="Arial" w:eastAsia="Arial" w:hAnsi="Arial"/>
                <w:sz w:val="16"/>
                <w:szCs w:val="16"/>
                <w:color w:val="auto"/>
                <w:vertAlign w:val="superscript"/>
              </w:rPr>
              <w:t>8</w:t>
            </w:r>
          </w:p>
        </w:tc>
        <w:tc>
          <w:tcPr>
            <w:tcW w:w="100" w:type="dxa"/>
            <w:vAlign w:val="bottom"/>
            <w:shd w:val="clear" w:color="auto" w:fill="B6B6B6"/>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10,000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180"/>
        </w:trPr>
        <w:tc>
          <w:tcPr>
            <w:tcW w:w="5780" w:type="dxa"/>
            <w:vAlign w:val="bottom"/>
          </w:tcPr>
          <w:p>
            <w:pPr>
              <w:ind w:left="240"/>
              <w:spacing w:after="0" w:line="180" w:lineRule="exact"/>
              <w:rPr>
                <w:sz w:val="20"/>
                <w:szCs w:val="20"/>
                <w:color w:val="auto"/>
              </w:rPr>
            </w:pPr>
            <w:r>
              <w:rPr>
                <w:rFonts w:ascii="Arial" w:cs="Arial" w:eastAsia="Arial" w:hAnsi="Arial"/>
                <w:sz w:val="13"/>
                <w:szCs w:val="13"/>
                <w:color w:val="auto"/>
              </w:rPr>
              <w:t>Operating lease impairment charges</w:t>
            </w:r>
            <w:r>
              <w:rPr>
                <w:rFonts w:ascii="Arial" w:cs="Arial" w:eastAsia="Arial" w:hAnsi="Arial"/>
                <w:sz w:val="16"/>
                <w:szCs w:val="16"/>
                <w:color w:val="auto"/>
                <w:vertAlign w:val="superscript"/>
              </w:rPr>
              <w:t>9</w:t>
            </w:r>
          </w:p>
        </w:tc>
        <w:tc>
          <w:tcPr>
            <w:tcW w:w="100" w:type="dxa"/>
            <w:vAlign w:val="bottom"/>
            <w:shd w:val="clear" w:color="auto" w:fill="B6B6B6"/>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2,687</w:t>
            </w:r>
          </w:p>
        </w:tc>
        <w:tc>
          <w:tcPr>
            <w:tcW w:w="0" w:type="dxa"/>
            <w:vAlign w:val="bottom"/>
          </w:tcPr>
          <w:p>
            <w:pPr>
              <w:spacing w:after="0"/>
              <w:rPr>
                <w:sz w:val="1"/>
                <w:szCs w:val="1"/>
                <w:color w:val="auto"/>
              </w:rPr>
            </w:pPr>
          </w:p>
        </w:tc>
      </w:tr>
      <w:tr>
        <w:trPr>
          <w:trHeight w:val="169"/>
        </w:trPr>
        <w:tc>
          <w:tcPr>
            <w:tcW w:w="578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100" w:type="dxa"/>
            <w:vAlign w:val="bottom"/>
            <w:tcBorders>
              <w:top w:val="single" w:sz="8" w:color="B6B6B6"/>
              <w:bottom w:val="single" w:sz="8" w:color="B6B6B6"/>
            </w:tcBorders>
            <w:shd w:val="clear" w:color="auto" w:fill="B6B6B6"/>
          </w:tcPr>
          <w:p>
            <w:pPr>
              <w:spacing w:after="0"/>
              <w:rPr>
                <w:sz w:val="14"/>
                <w:szCs w:val="14"/>
                <w:color w:val="auto"/>
              </w:rPr>
            </w:pPr>
          </w:p>
        </w:tc>
        <w:tc>
          <w:tcPr>
            <w:tcW w:w="260" w:type="dxa"/>
            <w:vAlign w:val="bottom"/>
            <w:tcBorders>
              <w:top w:val="single" w:sz="8" w:color="B6B6B6"/>
              <w:bottom w:val="single" w:sz="8" w:color="B6B6B6"/>
            </w:tcBorders>
          </w:tcPr>
          <w:p>
            <w:pPr>
              <w:jc w:val="right"/>
              <w:ind w:right="117"/>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B6B6B6"/>
              <w:bottom w:val="single" w:sz="8" w:color="B6B6B6"/>
            </w:tcBorders>
          </w:tcPr>
          <w:p>
            <w:pPr>
              <w:jc w:val="right"/>
              <w:ind w:right="97"/>
              <w:spacing w:after="0"/>
              <w:rPr>
                <w:sz w:val="20"/>
                <w:szCs w:val="20"/>
                <w:color w:val="auto"/>
              </w:rPr>
            </w:pPr>
            <w:r>
              <w:rPr>
                <w:rFonts w:ascii="Arial" w:cs="Arial" w:eastAsia="Arial" w:hAnsi="Arial"/>
                <w:sz w:val="13"/>
                <w:szCs w:val="13"/>
                <w:color w:val="auto"/>
              </w:rPr>
              <w:t>117,839</w:t>
            </w:r>
          </w:p>
        </w:tc>
        <w:tc>
          <w:tcPr>
            <w:tcW w:w="100" w:type="dxa"/>
            <w:vAlign w:val="bottom"/>
          </w:tcPr>
          <w:p>
            <w:pPr>
              <w:spacing w:after="0"/>
              <w:rPr>
                <w:sz w:val="14"/>
                <w:szCs w:val="14"/>
                <w:color w:val="auto"/>
              </w:rPr>
            </w:pPr>
          </w:p>
        </w:tc>
        <w:tc>
          <w:tcPr>
            <w:tcW w:w="300" w:type="dxa"/>
            <w:vAlign w:val="bottom"/>
            <w:tcBorders>
              <w:top w:val="single" w:sz="8" w:color="B6B6B6"/>
              <w:bottom w:val="single" w:sz="8" w:color="B6B6B6"/>
            </w:tcBorders>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B6B6B6"/>
              <w:bottom w:val="single" w:sz="8" w:color="B6B6B6"/>
            </w:tcBorders>
          </w:tcPr>
          <w:p>
            <w:pPr>
              <w:jc w:val="right"/>
              <w:ind w:right="117"/>
              <w:spacing w:after="0"/>
              <w:rPr>
                <w:sz w:val="20"/>
                <w:szCs w:val="20"/>
                <w:color w:val="auto"/>
              </w:rPr>
            </w:pPr>
            <w:r>
              <w:rPr>
                <w:rFonts w:ascii="Arial" w:cs="Arial" w:eastAsia="Arial" w:hAnsi="Arial"/>
                <w:sz w:val="13"/>
                <w:szCs w:val="13"/>
                <w:color w:val="auto"/>
              </w:rPr>
              <w:t>57,000</w:t>
            </w:r>
          </w:p>
        </w:tc>
        <w:tc>
          <w:tcPr>
            <w:tcW w:w="80" w:type="dxa"/>
            <w:vAlign w:val="bottom"/>
          </w:tcPr>
          <w:p>
            <w:pPr>
              <w:spacing w:after="0"/>
              <w:rPr>
                <w:sz w:val="14"/>
                <w:szCs w:val="14"/>
                <w:color w:val="auto"/>
              </w:rPr>
            </w:pPr>
          </w:p>
        </w:tc>
        <w:tc>
          <w:tcPr>
            <w:tcW w:w="260" w:type="dxa"/>
            <w:vAlign w:val="bottom"/>
            <w:tcBorders>
              <w:top w:val="single" w:sz="8" w:color="B6B6B6"/>
              <w:bottom w:val="single" w:sz="8" w:color="B6B6B6"/>
            </w:tcBorders>
          </w:tcPr>
          <w:p>
            <w:pPr>
              <w:jc w:val="right"/>
              <w:ind w:right="97"/>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B6B6B6"/>
              <w:bottom w:val="single" w:sz="8" w:color="B6B6B6"/>
            </w:tcBorders>
          </w:tcPr>
          <w:p>
            <w:pPr>
              <w:jc w:val="right"/>
              <w:ind w:right="117"/>
              <w:spacing w:after="0"/>
              <w:rPr>
                <w:sz w:val="20"/>
                <w:szCs w:val="20"/>
                <w:color w:val="auto"/>
              </w:rPr>
            </w:pPr>
            <w:r>
              <w:rPr>
                <w:rFonts w:ascii="Arial" w:cs="Arial" w:eastAsia="Arial" w:hAnsi="Arial"/>
                <w:sz w:val="13"/>
                <w:szCs w:val="13"/>
                <w:color w:val="auto"/>
              </w:rPr>
              <w:t>120,319</w:t>
            </w:r>
          </w:p>
        </w:tc>
        <w:tc>
          <w:tcPr>
            <w:tcW w:w="100" w:type="dxa"/>
            <w:vAlign w:val="bottom"/>
          </w:tcPr>
          <w:p>
            <w:pPr>
              <w:spacing w:after="0"/>
              <w:rPr>
                <w:sz w:val="14"/>
                <w:szCs w:val="14"/>
                <w:color w:val="auto"/>
              </w:rPr>
            </w:pPr>
          </w:p>
        </w:tc>
        <w:tc>
          <w:tcPr>
            <w:tcW w:w="280" w:type="dxa"/>
            <w:vAlign w:val="bottom"/>
            <w:tcBorders>
              <w:top w:val="single" w:sz="8" w:color="B6B6B6"/>
              <w:bottom w:val="single" w:sz="8" w:color="B6B6B6"/>
            </w:tcBorders>
          </w:tcPr>
          <w:p>
            <w:pPr>
              <w:jc w:val="right"/>
              <w:ind w:right="13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B6B6B6"/>
              <w:bottom w:val="single" w:sz="8" w:color="B6B6B6"/>
            </w:tcBorders>
          </w:tcPr>
          <w:p>
            <w:pPr>
              <w:jc w:val="right"/>
              <w:ind w:right="97"/>
              <w:spacing w:after="0"/>
              <w:rPr>
                <w:sz w:val="20"/>
                <w:szCs w:val="20"/>
                <w:color w:val="auto"/>
              </w:rPr>
            </w:pPr>
            <w:r>
              <w:rPr>
                <w:rFonts w:ascii="Arial" w:cs="Arial" w:eastAsia="Arial" w:hAnsi="Arial"/>
                <w:sz w:val="13"/>
                <w:szCs w:val="13"/>
                <w:color w:val="auto"/>
              </w:rPr>
              <w:t>75,091</w:t>
            </w:r>
          </w:p>
        </w:tc>
        <w:tc>
          <w:tcPr>
            <w:tcW w:w="0" w:type="dxa"/>
            <w:vAlign w:val="bottom"/>
          </w:tcPr>
          <w:p>
            <w:pPr>
              <w:spacing w:after="0"/>
              <w:rPr>
                <w:sz w:val="1"/>
                <w:szCs w:val="1"/>
                <w:color w:val="auto"/>
              </w:rPr>
            </w:pPr>
          </w:p>
        </w:tc>
      </w:tr>
      <w:tr>
        <w:trPr>
          <w:trHeight w:val="21"/>
        </w:trPr>
        <w:tc>
          <w:tcPr>
            <w:tcW w:w="5780" w:type="dxa"/>
            <w:vAlign w:val="bottom"/>
            <w:vMerge w:val="restart"/>
          </w:tcPr>
          <w:p>
            <w:pPr>
              <w:ind w:left="20"/>
              <w:spacing w:after="0"/>
              <w:rPr>
                <w:sz w:val="20"/>
                <w:szCs w:val="20"/>
                <w:color w:val="auto"/>
              </w:rPr>
            </w:pPr>
            <w:r>
              <w:rPr>
                <w:rFonts w:ascii="Arial" w:cs="Arial" w:eastAsia="Arial" w:hAnsi="Arial"/>
                <w:sz w:val="13"/>
                <w:szCs w:val="13"/>
                <w:color w:val="auto"/>
              </w:rPr>
              <w:t>Net income (loss) margin</w:t>
            </w:r>
          </w:p>
        </w:tc>
        <w:tc>
          <w:tcPr>
            <w:tcW w:w="100" w:type="dxa"/>
            <w:vAlign w:val="bottom"/>
            <w:tcBorders>
              <w:bottom w:val="single" w:sz="8" w:color="B6B6B6"/>
            </w:tcBorders>
            <w:shd w:val="clear" w:color="auto" w:fill="B6B6B6"/>
          </w:tcPr>
          <w:p>
            <w:pPr>
              <w:spacing w:after="0" w:line="20" w:lineRule="exact"/>
              <w:rPr>
                <w:sz w:val="1"/>
                <w:szCs w:val="1"/>
                <w:color w:val="auto"/>
              </w:rPr>
            </w:pPr>
          </w:p>
        </w:tc>
        <w:tc>
          <w:tcPr>
            <w:tcW w:w="260" w:type="dxa"/>
            <w:vAlign w:val="bottom"/>
            <w:tcBorders>
              <w:bottom w:val="single" w:sz="8" w:color="B6B6B6"/>
            </w:tcBorders>
          </w:tcPr>
          <w:p>
            <w:pPr>
              <w:spacing w:after="0" w:line="20" w:lineRule="exact"/>
              <w:rPr>
                <w:sz w:val="1"/>
                <w:szCs w:val="1"/>
                <w:color w:val="auto"/>
              </w:rPr>
            </w:pPr>
          </w:p>
        </w:tc>
        <w:tc>
          <w:tcPr>
            <w:tcW w:w="100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B6B6B6"/>
            </w:tcBorders>
          </w:tcPr>
          <w:p>
            <w:pPr>
              <w:spacing w:after="0" w:line="20" w:lineRule="exact"/>
              <w:rPr>
                <w:sz w:val="1"/>
                <w:szCs w:val="1"/>
                <w:color w:val="auto"/>
              </w:rPr>
            </w:pPr>
          </w:p>
        </w:tc>
        <w:tc>
          <w:tcPr>
            <w:tcW w:w="98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B6B6B6"/>
            </w:tcBorders>
          </w:tcPr>
          <w:p>
            <w:pPr>
              <w:spacing w:after="0" w:line="20" w:lineRule="exact"/>
              <w:rPr>
                <w:sz w:val="1"/>
                <w:szCs w:val="1"/>
                <w:color w:val="auto"/>
              </w:rPr>
            </w:pPr>
          </w:p>
        </w:tc>
        <w:tc>
          <w:tcPr>
            <w:tcW w:w="102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B6B6B6"/>
            </w:tcBorders>
          </w:tcPr>
          <w:p>
            <w:pPr>
              <w:spacing w:after="0" w:line="20" w:lineRule="exact"/>
              <w:rPr>
                <w:sz w:val="1"/>
                <w:szCs w:val="1"/>
                <w:color w:val="auto"/>
              </w:rPr>
            </w:pPr>
          </w:p>
        </w:tc>
        <w:tc>
          <w:tcPr>
            <w:tcW w:w="98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9"/>
        </w:trPr>
        <w:tc>
          <w:tcPr>
            <w:tcW w:w="5780" w:type="dxa"/>
            <w:vAlign w:val="bottom"/>
            <w:vMerge w:val="continue"/>
          </w:tcPr>
          <w:p>
            <w:pPr>
              <w:spacing w:after="0"/>
              <w:rPr>
                <w:sz w:val="13"/>
                <w:szCs w:val="13"/>
                <w:color w:val="auto"/>
              </w:rPr>
            </w:pPr>
          </w:p>
        </w:tc>
        <w:tc>
          <w:tcPr>
            <w:tcW w:w="100" w:type="dxa"/>
            <w:vAlign w:val="bottom"/>
            <w:shd w:val="clear" w:color="auto" w:fill="B6B6B6"/>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14.9 %</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(20.6)%</w:t>
            </w:r>
          </w:p>
        </w:tc>
        <w:tc>
          <w:tcPr>
            <w:tcW w:w="0" w:type="dxa"/>
            <w:vAlign w:val="bottom"/>
          </w:tcPr>
          <w:p>
            <w:pPr>
              <w:spacing w:after="0"/>
              <w:rPr>
                <w:sz w:val="1"/>
                <w:szCs w:val="1"/>
                <w:color w:val="auto"/>
              </w:rPr>
            </w:pPr>
          </w:p>
        </w:tc>
      </w:tr>
      <w:tr>
        <w:trPr>
          <w:trHeight w:val="185"/>
        </w:trPr>
        <w:tc>
          <w:tcPr>
            <w:tcW w:w="5780" w:type="dxa"/>
            <w:vAlign w:val="bottom"/>
          </w:tcPr>
          <w:p>
            <w:pPr>
              <w:ind w:left="20"/>
              <w:spacing w:after="0"/>
              <w:rPr>
                <w:sz w:val="20"/>
                <w:szCs w:val="20"/>
                <w:color w:val="auto"/>
              </w:rPr>
            </w:pPr>
            <w:r>
              <w:rPr>
                <w:rFonts w:ascii="Arial" w:cs="Arial" w:eastAsia="Arial" w:hAnsi="Arial"/>
                <w:sz w:val="13"/>
                <w:szCs w:val="13"/>
                <w:color w:val="auto"/>
              </w:rPr>
              <w:t>Adjusted EBITDA margin</w:t>
            </w:r>
          </w:p>
        </w:tc>
        <w:tc>
          <w:tcPr>
            <w:tcW w:w="100" w:type="dxa"/>
            <w:vAlign w:val="bottom"/>
            <w:shd w:val="clear" w:color="auto" w:fill="B6B6B6"/>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30.3 %</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20.6 %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15.1 %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10.2 %</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2"/>
          <w:szCs w:val="12"/>
          <w:i w:val="1"/>
          <w:iCs w:val="1"/>
          <w:color w:val="auto"/>
        </w:rPr>
      </w:pPr>
      <w:r>
        <w:rPr>
          <w:rFonts w:ascii="Arial" w:cs="Arial" w:eastAsia="Arial" w:hAnsi="Arial"/>
          <w:sz w:val="12"/>
          <w:szCs w:val="12"/>
          <w:i w:val="1"/>
          <w:iCs w:val="1"/>
          <w:color w:val="auto"/>
        </w:rPr>
        <w:t>Represents the excess of the acquisition-date fair value of the net assets acquired over the acquisition-date fair value of the consideration transferred related to the acquisition of e-TeleQuote.</w:t>
      </w:r>
    </w:p>
    <w:p>
      <w:pPr>
        <w:spacing w:after="0" w:line="20" w:lineRule="exact"/>
        <w:rPr>
          <w:rFonts w:ascii="Arial" w:cs="Arial" w:eastAsia="Arial" w:hAnsi="Arial"/>
          <w:sz w:val="12"/>
          <w:szCs w:val="12"/>
          <w:i w:val="1"/>
          <w:iCs w:val="1"/>
          <w:color w:val="auto"/>
        </w:rPr>
      </w:pPr>
    </w:p>
    <w:p>
      <w:pPr>
        <w:ind w:left="320" w:hanging="312"/>
        <w:spacing w:after="0"/>
        <w:tabs>
          <w:tab w:leader="none" w:pos="32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loss on debt extinguishment related to the write-down of deferred debt discount and debt issuance costs in conjunction with the refinancing of the Term Loan Facilities.</w:t>
      </w:r>
    </w:p>
    <w:p>
      <w:pPr>
        <w:ind w:left="320" w:hanging="312"/>
        <w:spacing w:after="0"/>
        <w:tabs>
          <w:tab w:leader="none" w:pos="320" w:val="left"/>
        </w:tabs>
        <w:numPr>
          <w:ilvl w:val="0"/>
          <w:numId w:val="9"/>
        </w:numPr>
        <w:rPr>
          <w:rFonts w:ascii="Arial" w:cs="Arial" w:eastAsia="Arial" w:hAnsi="Arial"/>
          <w:sz w:val="12"/>
          <w:szCs w:val="12"/>
          <w:i w:val="1"/>
          <w:iCs w:val="1"/>
          <w:color w:val="auto"/>
        </w:rPr>
      </w:pPr>
      <w:r>
        <w:rPr>
          <w:rFonts w:ascii="Arial" w:cs="Arial" w:eastAsia="Arial" w:hAnsi="Arial"/>
          <w:sz w:val="12"/>
          <w:szCs w:val="12"/>
          <w:i w:val="1"/>
          <w:iCs w:val="1"/>
          <w:color w:val="auto"/>
        </w:rPr>
        <w:t>Represents non-cash share-based compensation expense relating to equity awards as well as share-based compensation expense relating to liability classified awards that will be settled in cash.</w:t>
      </w:r>
    </w:p>
    <w:p>
      <w:pPr>
        <w:spacing w:after="0" w:line="15" w:lineRule="exact"/>
        <w:rPr>
          <w:rFonts w:ascii="Arial" w:cs="Arial" w:eastAsia="Arial" w:hAnsi="Arial"/>
          <w:sz w:val="12"/>
          <w:szCs w:val="12"/>
          <w:i w:val="1"/>
          <w:iCs w:val="1"/>
          <w:color w:val="auto"/>
        </w:rPr>
      </w:pPr>
    </w:p>
    <w:p>
      <w:pPr>
        <w:ind w:left="320" w:hanging="312"/>
        <w:spacing w:after="0"/>
        <w:tabs>
          <w:tab w:leader="none" w:pos="32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costs primarily associated with non-routine consulting fees and other professional services.</w:t>
      </w:r>
    </w:p>
    <w:p>
      <w:pPr>
        <w:spacing w:after="0" w:line="7" w:lineRule="exact"/>
        <w:rPr>
          <w:rFonts w:ascii="Arial" w:cs="Arial" w:eastAsia="Arial" w:hAnsi="Arial"/>
          <w:sz w:val="13"/>
          <w:szCs w:val="13"/>
          <w:i w:val="1"/>
          <w:iCs w:val="1"/>
          <w:color w:val="auto"/>
        </w:rPr>
      </w:pPr>
    </w:p>
    <w:p>
      <w:pPr>
        <w:ind w:left="320" w:hanging="312"/>
        <w:spacing w:after="0"/>
        <w:tabs>
          <w:tab w:leader="none" w:pos="32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legal fees, settlement accruals and other expenses related to certain acquisitions, litigation, Credit Agreement amendments and other non-routine legal or regulatory matters.</w:t>
      </w:r>
    </w:p>
    <w:p>
      <w:pPr>
        <w:ind w:left="320" w:hanging="312"/>
        <w:spacing w:after="0"/>
        <w:tabs>
          <w:tab w:leader="none" w:pos="32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expense related to the measurement of our Tax Receivable Agreement obligation.</w:t>
      </w:r>
    </w:p>
    <w:p>
      <w:pPr>
        <w:ind w:left="320" w:hanging="312"/>
        <w:spacing w:after="0"/>
        <w:tabs>
          <w:tab w:leader="none" w:pos="32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severance costs and other fees associated with a reduction in workforce unrelated to restructuring activities.</w:t>
      </w:r>
    </w:p>
    <w:p>
      <w:pPr>
        <w:ind w:left="320" w:hanging="312"/>
        <w:spacing w:after="0"/>
        <w:tabs>
          <w:tab w:leader="none" w:pos="32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an indefinite-lived intangible asset impairment charge for the twelve months ended December 31, 2023.</w:t>
      </w:r>
    </w:p>
    <w:p>
      <w:pPr>
        <w:spacing w:after="0" w:line="4" w:lineRule="exact"/>
        <w:rPr>
          <w:rFonts w:ascii="Arial" w:cs="Arial" w:eastAsia="Arial" w:hAnsi="Arial"/>
          <w:sz w:val="13"/>
          <w:szCs w:val="13"/>
          <w:i w:val="1"/>
          <w:iCs w:val="1"/>
          <w:color w:val="auto"/>
        </w:rPr>
      </w:pPr>
    </w:p>
    <w:p>
      <w:pPr>
        <w:ind w:left="320" w:hanging="312"/>
        <w:spacing w:after="0"/>
        <w:tabs>
          <w:tab w:leader="none" w:pos="32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operating lease impairment charges, reducing the carrying value of the associated ROU assets and leasehold improvements to the estimated fair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773"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The table below depicts the disaggregation of revenue and is consistent with how the Company evaluates its financial performance (unaudited):</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80" w:type="dxa"/>
            <w:vAlign w:val="bottom"/>
            <w:shd w:val="clear" w:color="auto" w:fill="929292"/>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Dec. 31,</w:t>
            </w:r>
          </w:p>
        </w:tc>
        <w:tc>
          <w:tcPr>
            <w:tcW w:w="260" w:type="dxa"/>
            <w:vAlign w:val="bottom"/>
          </w:tcPr>
          <w:p>
            <w:pPr>
              <w:spacing w:after="0"/>
              <w:rPr>
                <w:sz w:val="17"/>
                <w:szCs w:val="17"/>
                <w:color w:val="auto"/>
              </w:rPr>
            </w:pPr>
          </w:p>
        </w:tc>
        <w:tc>
          <w:tcPr>
            <w:tcW w:w="266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rPr>
              <w:t>Twelve months ended Dec. 31,</w:t>
            </w:r>
          </w:p>
        </w:tc>
      </w:tr>
      <w:tr>
        <w:trPr>
          <w:trHeight w:val="196"/>
        </w:trPr>
        <w:tc>
          <w:tcPr>
            <w:tcW w:w="5180" w:type="dxa"/>
            <w:vAlign w:val="bottom"/>
          </w:tcPr>
          <w:p>
            <w:pPr>
              <w:spacing w:after="0"/>
              <w:rPr>
                <w:sz w:val="20"/>
                <w:szCs w:val="20"/>
                <w:color w:val="auto"/>
              </w:rPr>
            </w:pPr>
            <w:r>
              <w:rPr>
                <w:rFonts w:ascii="Arial" w:cs="Arial" w:eastAsia="Arial" w:hAnsi="Arial"/>
                <w:sz w:val="14"/>
                <w:szCs w:val="14"/>
                <w:color w:val="auto"/>
              </w:rPr>
              <w:t>(in thousands)</w:t>
            </w:r>
          </w:p>
        </w:tc>
        <w:tc>
          <w:tcPr>
            <w:tcW w:w="80" w:type="dxa"/>
            <w:vAlign w:val="bottom"/>
            <w:tcBorders>
              <w:bottom w:val="single" w:sz="8" w:color="929292"/>
            </w:tcBorders>
            <w:shd w:val="clear" w:color="auto" w:fill="929292"/>
          </w:tcPr>
          <w:p>
            <w:pPr>
              <w:spacing w:after="0"/>
              <w:rPr>
                <w:sz w:val="17"/>
                <w:szCs w:val="17"/>
                <w:color w:val="auto"/>
              </w:rPr>
            </w:pPr>
          </w:p>
        </w:tc>
        <w:tc>
          <w:tcPr>
            <w:tcW w:w="28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ind w:right="46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48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ind w:right="46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468"/>
              <w:spacing w:after="0"/>
              <w:rPr>
                <w:sz w:val="20"/>
                <w:szCs w:val="20"/>
                <w:color w:val="auto"/>
              </w:rPr>
            </w:pPr>
            <w:r>
              <w:rPr>
                <w:rFonts w:ascii="Arial" w:cs="Arial" w:eastAsia="Arial" w:hAnsi="Arial"/>
                <w:sz w:val="14"/>
                <w:szCs w:val="14"/>
                <w:b w:val="1"/>
                <w:bCs w:val="1"/>
                <w:color w:val="auto"/>
              </w:rPr>
              <w:t>2023</w:t>
            </w:r>
          </w:p>
        </w:tc>
      </w:tr>
      <w:tr>
        <w:trPr>
          <w:trHeight w:val="177"/>
        </w:trPr>
        <w:tc>
          <w:tcPr>
            <w:tcW w:w="5180" w:type="dxa"/>
            <w:vAlign w:val="bottom"/>
          </w:tcPr>
          <w:p>
            <w:pPr>
              <w:spacing w:after="0"/>
              <w:rPr>
                <w:sz w:val="20"/>
                <w:szCs w:val="20"/>
                <w:color w:val="auto"/>
              </w:rPr>
            </w:pPr>
            <w:r>
              <w:rPr>
                <w:rFonts w:ascii="Arial" w:cs="Arial" w:eastAsia="Arial" w:hAnsi="Arial"/>
                <w:sz w:val="14"/>
                <w:szCs w:val="14"/>
                <w:color w:val="auto"/>
              </w:rPr>
              <w:t>Medicare Revenue</w:t>
            </w:r>
          </w:p>
        </w:tc>
        <w:tc>
          <w:tcPr>
            <w:tcW w:w="80" w:type="dxa"/>
            <w:vAlign w:val="bottom"/>
            <w:shd w:val="clear" w:color="auto" w:fill="929292"/>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3"/>
        </w:trPr>
        <w:tc>
          <w:tcPr>
            <w:tcW w:w="5180" w:type="dxa"/>
            <w:vAlign w:val="bottom"/>
          </w:tcPr>
          <w:p>
            <w:pPr>
              <w:ind w:left="220"/>
              <w:spacing w:after="0"/>
              <w:rPr>
                <w:sz w:val="20"/>
                <w:szCs w:val="20"/>
                <w:color w:val="auto"/>
              </w:rPr>
            </w:pPr>
            <w:r>
              <w:rPr>
                <w:rFonts w:ascii="Arial" w:cs="Arial" w:eastAsia="Arial" w:hAnsi="Arial"/>
                <w:sz w:val="14"/>
                <w:szCs w:val="14"/>
                <w:color w:val="auto"/>
              </w:rPr>
              <w:t>Agency Revenue</w:t>
            </w:r>
          </w:p>
        </w:tc>
        <w:tc>
          <w:tcPr>
            <w:tcW w:w="80" w:type="dxa"/>
            <w:vAlign w:val="bottom"/>
            <w:shd w:val="clear" w:color="auto" w:fill="929292"/>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180" w:type="dxa"/>
            <w:vAlign w:val="bottom"/>
          </w:tcPr>
          <w:p>
            <w:pPr>
              <w:ind w:left="440"/>
              <w:spacing w:after="0"/>
              <w:rPr>
                <w:sz w:val="20"/>
                <w:szCs w:val="20"/>
                <w:color w:val="auto"/>
              </w:rPr>
            </w:pPr>
            <w:r>
              <w:rPr>
                <w:rFonts w:ascii="Arial" w:cs="Arial" w:eastAsia="Arial" w:hAnsi="Arial"/>
                <w:sz w:val="14"/>
                <w:szCs w:val="14"/>
                <w:color w:val="auto"/>
              </w:rPr>
              <w:t>Commission Revenue</w:t>
            </w:r>
            <w:r>
              <w:rPr>
                <w:rFonts w:ascii="Arial" w:cs="Arial" w:eastAsia="Arial" w:hAnsi="Arial"/>
                <w:sz w:val="9"/>
                <w:szCs w:val="9"/>
                <w:color w:val="auto"/>
              </w:rPr>
              <w:t>1</w:t>
            </w:r>
          </w:p>
        </w:tc>
        <w:tc>
          <w:tcPr>
            <w:tcW w:w="80" w:type="dxa"/>
            <w:vAlign w:val="bottom"/>
            <w:shd w:val="clear" w:color="auto" w:fill="929292"/>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278,362</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94,405</w:t>
            </w:r>
          </w:p>
        </w:tc>
        <w:tc>
          <w:tcPr>
            <w:tcW w:w="10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506,516</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355,918</w:t>
            </w:r>
          </w:p>
        </w:tc>
      </w:tr>
      <w:tr>
        <w:trPr>
          <w:trHeight w:val="204"/>
        </w:trPr>
        <w:tc>
          <w:tcPr>
            <w:tcW w:w="5180" w:type="dxa"/>
            <w:vAlign w:val="bottom"/>
          </w:tcPr>
          <w:p>
            <w:pPr>
              <w:ind w:left="440"/>
              <w:spacing w:after="0"/>
              <w:rPr>
                <w:sz w:val="20"/>
                <w:szCs w:val="20"/>
                <w:color w:val="auto"/>
              </w:rPr>
            </w:pPr>
            <w:r>
              <w:rPr>
                <w:rFonts w:ascii="Arial" w:cs="Arial" w:eastAsia="Arial" w:hAnsi="Arial"/>
                <w:sz w:val="14"/>
                <w:szCs w:val="14"/>
                <w:color w:val="auto"/>
              </w:rPr>
              <w:t>Partner Marketing and Other Revenue</w:t>
            </w:r>
          </w:p>
        </w:tc>
        <w:tc>
          <w:tcPr>
            <w:tcW w:w="80" w:type="dxa"/>
            <w:vAlign w:val="bottom"/>
            <w:tcBorders>
              <w:bottom w:val="single" w:sz="8" w:color="929292"/>
            </w:tcBorders>
            <w:shd w:val="clear" w:color="auto" w:fill="929292"/>
          </w:tcPr>
          <w:p>
            <w:pPr>
              <w:spacing w:after="0"/>
              <w:rPr>
                <w:sz w:val="17"/>
                <w:szCs w:val="17"/>
                <w:color w:val="auto"/>
              </w:rPr>
            </w:pPr>
          </w:p>
        </w:tc>
        <w:tc>
          <w:tcPr>
            <w:tcW w:w="28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27,234</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16,093</w:t>
            </w:r>
          </w:p>
        </w:tc>
        <w:tc>
          <w:tcPr>
            <w:tcW w:w="100" w:type="dxa"/>
            <w:vAlign w:val="bottom"/>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75,160</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87,712</w:t>
            </w:r>
          </w:p>
        </w:tc>
      </w:tr>
      <w:tr>
        <w:trPr>
          <w:trHeight w:val="196"/>
        </w:trPr>
        <w:tc>
          <w:tcPr>
            <w:tcW w:w="5180" w:type="dxa"/>
            <w:vAlign w:val="bottom"/>
          </w:tcPr>
          <w:p>
            <w:pPr>
              <w:ind w:left="160"/>
              <w:spacing w:after="0"/>
              <w:rPr>
                <w:sz w:val="20"/>
                <w:szCs w:val="20"/>
                <w:color w:val="auto"/>
              </w:rPr>
            </w:pPr>
            <w:r>
              <w:rPr>
                <w:rFonts w:ascii="Arial" w:cs="Arial" w:eastAsia="Arial" w:hAnsi="Arial"/>
                <w:sz w:val="14"/>
                <w:szCs w:val="14"/>
                <w:color w:val="auto"/>
              </w:rPr>
              <w:t>Total Agency Revenue</w:t>
            </w:r>
          </w:p>
        </w:tc>
        <w:tc>
          <w:tcPr>
            <w:tcW w:w="80" w:type="dxa"/>
            <w:vAlign w:val="bottom"/>
            <w:tcBorders>
              <w:bottom w:val="single" w:sz="8" w:color="929292"/>
            </w:tcBorders>
            <w:shd w:val="clear" w:color="auto" w:fill="929292"/>
          </w:tcPr>
          <w:p>
            <w:pPr>
              <w:spacing w:after="0"/>
              <w:rPr>
                <w:sz w:val="17"/>
                <w:szCs w:val="17"/>
                <w:color w:val="auto"/>
              </w:rPr>
            </w:pPr>
          </w:p>
        </w:tc>
        <w:tc>
          <w:tcPr>
            <w:tcW w:w="28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305,596</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110,498</w:t>
            </w:r>
          </w:p>
        </w:tc>
        <w:tc>
          <w:tcPr>
            <w:tcW w:w="100" w:type="dxa"/>
            <w:vAlign w:val="bottom"/>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581,676</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443,630</w:t>
            </w:r>
          </w:p>
        </w:tc>
      </w:tr>
      <w:tr>
        <w:trPr>
          <w:trHeight w:val="196"/>
        </w:trPr>
        <w:tc>
          <w:tcPr>
            <w:tcW w:w="5180" w:type="dxa"/>
            <w:vAlign w:val="bottom"/>
          </w:tcPr>
          <w:p>
            <w:pPr>
              <w:ind w:left="160"/>
              <w:spacing w:after="0"/>
              <w:rPr>
                <w:sz w:val="20"/>
                <w:szCs w:val="20"/>
                <w:color w:val="auto"/>
              </w:rPr>
            </w:pPr>
            <w:r>
              <w:rPr>
                <w:rFonts w:ascii="Arial" w:cs="Arial" w:eastAsia="Arial" w:hAnsi="Arial"/>
                <w:sz w:val="14"/>
                <w:szCs w:val="14"/>
                <w:color w:val="auto"/>
              </w:rPr>
              <w:t>Non-Agency Revenue</w:t>
            </w:r>
          </w:p>
        </w:tc>
        <w:tc>
          <w:tcPr>
            <w:tcW w:w="80" w:type="dxa"/>
            <w:vAlign w:val="bottom"/>
            <w:tcBorders>
              <w:bottom w:val="single" w:sz="8" w:color="929292"/>
            </w:tcBorders>
            <w:shd w:val="clear" w:color="auto" w:fill="929292"/>
          </w:tcPr>
          <w:p>
            <w:pPr>
              <w:spacing w:after="0"/>
              <w:rPr>
                <w:sz w:val="17"/>
                <w:szCs w:val="17"/>
                <w:color w:val="auto"/>
              </w:rPr>
            </w:pPr>
          </w:p>
        </w:tc>
        <w:tc>
          <w:tcPr>
            <w:tcW w:w="28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81,566</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165,383</w:t>
            </w:r>
          </w:p>
        </w:tc>
        <w:tc>
          <w:tcPr>
            <w:tcW w:w="100" w:type="dxa"/>
            <w:vAlign w:val="bottom"/>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212,289</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271,969</w:t>
            </w:r>
          </w:p>
        </w:tc>
      </w:tr>
      <w:tr>
        <w:trPr>
          <w:trHeight w:val="201"/>
        </w:trPr>
        <w:tc>
          <w:tcPr>
            <w:tcW w:w="5180" w:type="dxa"/>
            <w:vAlign w:val="bottom"/>
          </w:tcPr>
          <w:p>
            <w:pPr>
              <w:spacing w:after="0"/>
              <w:rPr>
                <w:sz w:val="20"/>
                <w:szCs w:val="20"/>
                <w:color w:val="auto"/>
              </w:rPr>
            </w:pPr>
            <w:r>
              <w:rPr>
                <w:rFonts w:ascii="Arial" w:cs="Arial" w:eastAsia="Arial" w:hAnsi="Arial"/>
                <w:sz w:val="14"/>
                <w:szCs w:val="14"/>
                <w:color w:val="auto"/>
              </w:rPr>
              <w:t>Total Medicare Revenue</w:t>
            </w:r>
          </w:p>
        </w:tc>
        <w:tc>
          <w:tcPr>
            <w:tcW w:w="80" w:type="dxa"/>
            <w:vAlign w:val="bottom"/>
            <w:tcBorders>
              <w:bottom w:val="single" w:sz="8" w:color="929292"/>
            </w:tcBorders>
            <w:shd w:val="clear" w:color="auto" w:fill="929292"/>
          </w:tcPr>
          <w:p>
            <w:pPr>
              <w:spacing w:after="0"/>
              <w:rPr>
                <w:sz w:val="17"/>
                <w:szCs w:val="17"/>
                <w:color w:val="auto"/>
              </w:rPr>
            </w:pPr>
          </w:p>
        </w:tc>
        <w:tc>
          <w:tcPr>
            <w:tcW w:w="28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387,162</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b w:val="1"/>
                <w:bCs w:val="1"/>
                <w:color w:val="auto"/>
              </w:rPr>
              <w:t>275,881</w:t>
            </w:r>
          </w:p>
        </w:tc>
        <w:tc>
          <w:tcPr>
            <w:tcW w:w="100" w:type="dxa"/>
            <w:vAlign w:val="bottom"/>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793,965</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715,599</w:t>
            </w:r>
          </w:p>
        </w:tc>
      </w:tr>
      <w:tr>
        <w:trPr>
          <w:trHeight w:val="177"/>
        </w:trPr>
        <w:tc>
          <w:tcPr>
            <w:tcW w:w="5180" w:type="dxa"/>
            <w:vAlign w:val="bottom"/>
          </w:tcPr>
          <w:p>
            <w:pPr>
              <w:spacing w:after="0"/>
              <w:rPr>
                <w:sz w:val="20"/>
                <w:szCs w:val="20"/>
                <w:color w:val="auto"/>
              </w:rPr>
            </w:pPr>
            <w:r>
              <w:rPr>
                <w:rFonts w:ascii="Arial" w:cs="Arial" w:eastAsia="Arial" w:hAnsi="Arial"/>
                <w:sz w:val="14"/>
                <w:szCs w:val="14"/>
                <w:color w:val="auto"/>
              </w:rPr>
              <w:t>Other Revenue</w:t>
            </w:r>
          </w:p>
        </w:tc>
        <w:tc>
          <w:tcPr>
            <w:tcW w:w="80" w:type="dxa"/>
            <w:vAlign w:val="bottom"/>
            <w:shd w:val="clear" w:color="auto" w:fill="929292"/>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3"/>
        </w:trPr>
        <w:tc>
          <w:tcPr>
            <w:tcW w:w="5180" w:type="dxa"/>
            <w:vAlign w:val="bottom"/>
          </w:tcPr>
          <w:p>
            <w:pPr>
              <w:ind w:left="440"/>
              <w:spacing w:after="0"/>
              <w:rPr>
                <w:sz w:val="20"/>
                <w:szCs w:val="20"/>
                <w:color w:val="auto"/>
              </w:rPr>
            </w:pPr>
            <w:r>
              <w:rPr>
                <w:rFonts w:ascii="Arial" w:cs="Arial" w:eastAsia="Arial" w:hAnsi="Arial"/>
                <w:sz w:val="14"/>
                <w:szCs w:val="14"/>
                <w:color w:val="auto"/>
              </w:rPr>
              <w:t>Non-Encompass BPO Services Revenue</w:t>
            </w:r>
          </w:p>
        </w:tc>
        <w:tc>
          <w:tcPr>
            <w:tcW w:w="80" w:type="dxa"/>
            <w:vAlign w:val="bottom"/>
            <w:shd w:val="clear" w:color="auto" w:fill="929292"/>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9,322</w:t>
            </w:r>
          </w:p>
        </w:tc>
      </w:tr>
      <w:tr>
        <w:trPr>
          <w:trHeight w:val="204"/>
        </w:trPr>
        <w:tc>
          <w:tcPr>
            <w:tcW w:w="5180" w:type="dxa"/>
            <w:vAlign w:val="bottom"/>
          </w:tcPr>
          <w:p>
            <w:pPr>
              <w:ind w:left="440"/>
              <w:spacing w:after="0"/>
              <w:rPr>
                <w:sz w:val="20"/>
                <w:szCs w:val="20"/>
                <w:color w:val="auto"/>
              </w:rPr>
            </w:pPr>
            <w:r>
              <w:rPr>
                <w:rFonts w:ascii="Arial" w:cs="Arial" w:eastAsia="Arial" w:hAnsi="Arial"/>
                <w:sz w:val="14"/>
                <w:szCs w:val="14"/>
                <w:color w:val="auto"/>
              </w:rPr>
              <w:t>Other Revenue</w:t>
            </w:r>
          </w:p>
        </w:tc>
        <w:tc>
          <w:tcPr>
            <w:tcW w:w="80" w:type="dxa"/>
            <w:vAlign w:val="bottom"/>
            <w:tcBorders>
              <w:bottom w:val="single" w:sz="8" w:color="929292"/>
            </w:tcBorders>
            <w:shd w:val="clear" w:color="auto" w:fill="929292"/>
          </w:tcPr>
          <w:p>
            <w:pPr>
              <w:spacing w:after="0"/>
              <w:rPr>
                <w:sz w:val="17"/>
                <w:szCs w:val="17"/>
                <w:color w:val="auto"/>
              </w:rPr>
            </w:pPr>
          </w:p>
        </w:tc>
        <w:tc>
          <w:tcPr>
            <w:tcW w:w="28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1,970</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816</w:t>
            </w:r>
          </w:p>
        </w:tc>
        <w:tc>
          <w:tcPr>
            <w:tcW w:w="100" w:type="dxa"/>
            <w:vAlign w:val="bottom"/>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4,929</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9,750</w:t>
            </w:r>
          </w:p>
        </w:tc>
      </w:tr>
      <w:tr>
        <w:trPr>
          <w:trHeight w:val="198"/>
        </w:trPr>
        <w:tc>
          <w:tcPr>
            <w:tcW w:w="5180" w:type="dxa"/>
            <w:vAlign w:val="bottom"/>
          </w:tcPr>
          <w:p>
            <w:pPr>
              <w:spacing w:after="0"/>
              <w:rPr>
                <w:sz w:val="20"/>
                <w:szCs w:val="20"/>
                <w:color w:val="auto"/>
              </w:rPr>
            </w:pPr>
            <w:r>
              <w:rPr>
                <w:rFonts w:ascii="Arial" w:cs="Arial" w:eastAsia="Arial" w:hAnsi="Arial"/>
                <w:sz w:val="14"/>
                <w:szCs w:val="14"/>
                <w:color w:val="auto"/>
              </w:rPr>
              <w:t>Total Other Revenue</w:t>
            </w:r>
          </w:p>
        </w:tc>
        <w:tc>
          <w:tcPr>
            <w:tcW w:w="80" w:type="dxa"/>
            <w:vAlign w:val="bottom"/>
            <w:tcBorders>
              <w:bottom w:val="single" w:sz="8" w:color="929292"/>
            </w:tcBorders>
            <w:shd w:val="clear" w:color="auto" w:fill="929292"/>
          </w:tcPr>
          <w:p>
            <w:pPr>
              <w:spacing w:after="0"/>
              <w:rPr>
                <w:sz w:val="17"/>
                <w:szCs w:val="17"/>
                <w:color w:val="auto"/>
              </w:rPr>
            </w:pPr>
          </w:p>
        </w:tc>
        <w:tc>
          <w:tcPr>
            <w:tcW w:w="28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1,970</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816</w:t>
            </w:r>
          </w:p>
        </w:tc>
        <w:tc>
          <w:tcPr>
            <w:tcW w:w="100" w:type="dxa"/>
            <w:vAlign w:val="bottom"/>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4,929</w:t>
            </w:r>
          </w:p>
        </w:tc>
        <w:tc>
          <w:tcPr>
            <w:tcW w:w="100" w:type="dxa"/>
            <w:vAlign w:val="bottom"/>
          </w:tcPr>
          <w:p>
            <w:pPr>
              <w:spacing w:after="0"/>
              <w:rPr>
                <w:sz w:val="17"/>
                <w:szCs w:val="17"/>
                <w:color w:val="auto"/>
              </w:rPr>
            </w:pPr>
          </w:p>
        </w:tc>
        <w:tc>
          <w:tcPr>
            <w:tcW w:w="32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19,072</w:t>
            </w:r>
          </w:p>
        </w:tc>
      </w:tr>
      <w:tr>
        <w:trPr>
          <w:trHeight w:val="220"/>
        </w:trPr>
        <w:tc>
          <w:tcPr>
            <w:tcW w:w="5180" w:type="dxa"/>
            <w:vAlign w:val="bottom"/>
          </w:tcPr>
          <w:p>
            <w:pPr>
              <w:spacing w:after="0"/>
              <w:rPr>
                <w:sz w:val="20"/>
                <w:szCs w:val="20"/>
                <w:color w:val="auto"/>
              </w:rPr>
            </w:pPr>
            <w:r>
              <w:rPr>
                <w:rFonts w:ascii="Arial" w:cs="Arial" w:eastAsia="Arial" w:hAnsi="Arial"/>
                <w:sz w:val="14"/>
                <w:szCs w:val="14"/>
                <w:i w:val="1"/>
                <w:iCs w:val="1"/>
                <w:color w:val="auto"/>
              </w:rPr>
              <w:t>Total Net Revenue</w:t>
            </w:r>
          </w:p>
        </w:tc>
        <w:tc>
          <w:tcPr>
            <w:tcW w:w="80" w:type="dxa"/>
            <w:vAlign w:val="bottom"/>
            <w:tcBorders>
              <w:bottom w:val="single" w:sz="8" w:color="929292"/>
            </w:tcBorders>
            <w:shd w:val="clear" w:color="auto" w:fill="929292"/>
          </w:tcPr>
          <w:p>
            <w:pPr>
              <w:spacing w:after="0"/>
              <w:rPr>
                <w:sz w:val="19"/>
                <w:szCs w:val="19"/>
                <w:color w:val="auto"/>
              </w:rPr>
            </w:pPr>
          </w:p>
        </w:tc>
        <w:tc>
          <w:tcPr>
            <w:tcW w:w="28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389,132</w:t>
            </w:r>
          </w:p>
        </w:tc>
        <w:tc>
          <w:tcPr>
            <w:tcW w:w="100" w:type="dxa"/>
            <w:vAlign w:val="bottom"/>
          </w:tcPr>
          <w:p>
            <w:pPr>
              <w:spacing w:after="0"/>
              <w:rPr>
                <w:sz w:val="19"/>
                <w:szCs w:val="19"/>
                <w:color w:val="auto"/>
              </w:rPr>
            </w:pPr>
          </w:p>
        </w:tc>
        <w:tc>
          <w:tcPr>
            <w:tcW w:w="32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b w:val="1"/>
                <w:bCs w:val="1"/>
                <w:color w:val="auto"/>
              </w:rPr>
              <w:t>276,697</w:t>
            </w:r>
          </w:p>
        </w:tc>
        <w:tc>
          <w:tcPr>
            <w:tcW w:w="100" w:type="dxa"/>
            <w:vAlign w:val="bottom"/>
          </w:tcPr>
          <w:p>
            <w:pPr>
              <w:spacing w:after="0"/>
              <w:rPr>
                <w:sz w:val="19"/>
                <w:szCs w:val="19"/>
                <w:color w:val="auto"/>
              </w:rPr>
            </w:pPr>
          </w:p>
        </w:tc>
        <w:tc>
          <w:tcPr>
            <w:tcW w:w="26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798,894</w:t>
            </w:r>
          </w:p>
        </w:tc>
        <w:tc>
          <w:tcPr>
            <w:tcW w:w="100" w:type="dxa"/>
            <w:vAlign w:val="bottom"/>
          </w:tcPr>
          <w:p>
            <w:pPr>
              <w:spacing w:after="0"/>
              <w:rPr>
                <w:sz w:val="19"/>
                <w:szCs w:val="19"/>
                <w:color w:val="auto"/>
              </w:rPr>
            </w:pPr>
          </w:p>
        </w:tc>
        <w:tc>
          <w:tcPr>
            <w:tcW w:w="32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auto"/>
              </w:rPr>
              <w:t>734,671</w:t>
            </w:r>
          </w:p>
        </w:tc>
      </w:tr>
      <w:tr>
        <w:trPr>
          <w:trHeight w:val="20"/>
        </w:trPr>
        <w:tc>
          <w:tcPr>
            <w:tcW w:w="5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B6B6B6"/>
            </w:tcBorders>
          </w:tcPr>
          <w:p>
            <w:pPr>
              <w:spacing w:after="0" w:line="20" w:lineRule="exact"/>
              <w:rPr>
                <w:sz w:val="1"/>
                <w:szCs w:val="1"/>
                <w:color w:val="auto"/>
              </w:rPr>
            </w:pPr>
          </w:p>
        </w:tc>
        <w:tc>
          <w:tcPr>
            <w:tcW w:w="114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B6B6B6"/>
            </w:tcBorders>
          </w:tcPr>
          <w:p>
            <w:pPr>
              <w:spacing w:after="0" w:line="20" w:lineRule="exact"/>
              <w:rPr>
                <w:sz w:val="1"/>
                <w:szCs w:val="1"/>
                <w:color w:val="auto"/>
              </w:rPr>
            </w:pPr>
          </w:p>
        </w:tc>
        <w:tc>
          <w:tcPr>
            <w:tcW w:w="110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B6B6B6"/>
            </w:tcBorders>
          </w:tcPr>
          <w:p>
            <w:pPr>
              <w:spacing w:after="0" w:line="20" w:lineRule="exact"/>
              <w:rPr>
                <w:sz w:val="1"/>
                <w:szCs w:val="1"/>
                <w:color w:val="auto"/>
              </w:rPr>
            </w:pPr>
          </w:p>
        </w:tc>
        <w:tc>
          <w:tcPr>
            <w:tcW w:w="114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B6B6B6"/>
            </w:tcBorders>
          </w:tcPr>
          <w:p>
            <w:pPr>
              <w:spacing w:after="0" w:line="20" w:lineRule="exact"/>
              <w:rPr>
                <w:sz w:val="1"/>
                <w:szCs w:val="1"/>
                <w:color w:val="auto"/>
              </w:rPr>
            </w:pPr>
          </w:p>
        </w:tc>
        <w:tc>
          <w:tcPr>
            <w:tcW w:w="1100" w:type="dxa"/>
            <w:vAlign w:val="bottom"/>
            <w:tcBorders>
              <w:bottom w:val="single" w:sz="8" w:color="B6B6B6"/>
            </w:tcBorders>
          </w:tcPr>
          <w:p>
            <w:pPr>
              <w:spacing w:after="0" w:line="20" w:lineRule="exact"/>
              <w:rPr>
                <w:sz w:val="1"/>
                <w:szCs w:val="1"/>
                <w:color w:val="auto"/>
              </w:rPr>
            </w:pPr>
          </w:p>
        </w:tc>
      </w:tr>
    </w:tbl>
    <w:p>
      <w:pPr>
        <w:spacing w:after="0" w:line="187"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Commission revenue excludes commissions generated through Non-Encompass BPO Services as well as from the sale of individual and family plan insurance products.</w:t>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868"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The following table sets forth our balance sheets for the periods indicated (unaudited):</w:t>
      </w:r>
    </w:p>
    <w:p>
      <w:pPr>
        <w:spacing w:after="0" w:line="150"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7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B6B6B6"/>
            </w:tcBorders>
          </w:tcPr>
          <w:p>
            <w:pPr>
              <w:spacing w:after="0"/>
              <w:rPr>
                <w:sz w:val="15"/>
                <w:szCs w:val="15"/>
                <w:color w:val="auto"/>
              </w:rPr>
            </w:pPr>
          </w:p>
        </w:tc>
        <w:tc>
          <w:tcPr>
            <w:tcW w:w="600" w:type="dxa"/>
            <w:vAlign w:val="bottom"/>
            <w:tcBorders>
              <w:bottom w:val="single" w:sz="8" w:color="B6B6B6"/>
            </w:tcBorders>
          </w:tcPr>
          <w:p>
            <w:pPr>
              <w:spacing w:after="0"/>
              <w:rPr>
                <w:sz w:val="15"/>
                <w:szCs w:val="15"/>
                <w:color w:val="auto"/>
              </w:rPr>
            </w:pPr>
          </w:p>
        </w:tc>
        <w:tc>
          <w:tcPr>
            <w:tcW w:w="100" w:type="dxa"/>
            <w:vAlign w:val="bottom"/>
            <w:tcBorders>
              <w:bottom w:val="single" w:sz="8" w:color="B6B6B6"/>
            </w:tcBorders>
          </w:tcPr>
          <w:p>
            <w:pPr>
              <w:spacing w:after="0"/>
              <w:rPr>
                <w:sz w:val="15"/>
                <w:szCs w:val="15"/>
                <w:color w:val="auto"/>
              </w:rPr>
            </w:pPr>
          </w:p>
        </w:tc>
        <w:tc>
          <w:tcPr>
            <w:tcW w:w="600" w:type="dxa"/>
            <w:vAlign w:val="bottom"/>
            <w:tcBorders>
              <w:bottom w:val="single" w:sz="8" w:color="B6B6B6"/>
            </w:tcBorders>
            <w:gridSpan w:val="3"/>
          </w:tcPr>
          <w:p>
            <w:pPr>
              <w:jc w:val="right"/>
              <w:spacing w:after="0"/>
              <w:rPr>
                <w:sz w:val="20"/>
                <w:szCs w:val="20"/>
                <w:color w:val="auto"/>
              </w:rPr>
            </w:pPr>
            <w:r>
              <w:rPr>
                <w:rFonts w:ascii="Arial" w:cs="Arial" w:eastAsia="Arial" w:hAnsi="Arial"/>
                <w:sz w:val="13"/>
                <w:szCs w:val="13"/>
                <w:b w:val="1"/>
                <w:bCs w:val="1"/>
                <w:color w:val="auto"/>
              </w:rPr>
              <w:t>Dec. 31,</w:t>
            </w:r>
          </w:p>
        </w:tc>
        <w:tc>
          <w:tcPr>
            <w:tcW w:w="960" w:type="dxa"/>
            <w:vAlign w:val="bottom"/>
            <w:tcBorders>
              <w:bottom w:val="single" w:sz="8" w:color="B6B6B6"/>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640" w:type="dxa"/>
            <w:vAlign w:val="bottom"/>
            <w:gridSpan w:val="3"/>
          </w:tcPr>
          <w:p>
            <w:pPr>
              <w:ind w:left="20"/>
              <w:spacing w:after="0"/>
              <w:rPr>
                <w:sz w:val="20"/>
                <w:szCs w:val="20"/>
                <w:color w:val="auto"/>
              </w:rPr>
            </w:pPr>
            <w:r>
              <w:rPr>
                <w:rFonts w:ascii="Arial" w:cs="Arial" w:eastAsia="Arial" w:hAnsi="Arial"/>
                <w:sz w:val="13"/>
                <w:szCs w:val="13"/>
                <w:color w:val="auto"/>
              </w:rPr>
              <w:t>(in thousands, except per share amounts)</w:t>
            </w:r>
          </w:p>
        </w:tc>
        <w:tc>
          <w:tcPr>
            <w:tcW w:w="160" w:type="dxa"/>
            <w:vAlign w:val="bottom"/>
          </w:tcPr>
          <w:p>
            <w:pPr>
              <w:spacing w:after="0"/>
              <w:rPr>
                <w:sz w:val="14"/>
                <w:szCs w:val="14"/>
                <w:color w:val="auto"/>
              </w:rPr>
            </w:pPr>
          </w:p>
        </w:tc>
        <w:tc>
          <w:tcPr>
            <w:tcW w:w="180" w:type="dxa"/>
            <w:vAlign w:val="bottom"/>
            <w:tcBorders>
              <w:bottom w:val="single" w:sz="8" w:color="B6B6B6"/>
            </w:tcBorders>
          </w:tcPr>
          <w:p>
            <w:pPr>
              <w:spacing w:after="0"/>
              <w:rPr>
                <w:sz w:val="14"/>
                <w:szCs w:val="14"/>
                <w:color w:val="auto"/>
              </w:rPr>
            </w:pPr>
          </w:p>
        </w:tc>
        <w:tc>
          <w:tcPr>
            <w:tcW w:w="600" w:type="dxa"/>
            <w:vAlign w:val="bottom"/>
            <w:tcBorders>
              <w:bottom w:val="single" w:sz="8" w:color="B6B6B6"/>
            </w:tcBorders>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B6B6B6"/>
            </w:tcBorders>
          </w:tcPr>
          <w:p>
            <w:pPr>
              <w:spacing w:after="0"/>
              <w:rPr>
                <w:sz w:val="14"/>
                <w:szCs w:val="14"/>
                <w:color w:val="auto"/>
              </w:rPr>
            </w:pPr>
          </w:p>
        </w:tc>
        <w:tc>
          <w:tcPr>
            <w:tcW w:w="300" w:type="dxa"/>
            <w:vAlign w:val="bottom"/>
            <w:tcBorders>
              <w:bottom w:val="single" w:sz="8" w:color="B6B6B6"/>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B6B6B6"/>
            </w:tcBorders>
          </w:tcPr>
          <w:p>
            <w:pPr>
              <w:spacing w:after="0"/>
              <w:rPr>
                <w:sz w:val="14"/>
                <w:szCs w:val="14"/>
                <w:color w:val="auto"/>
              </w:rPr>
            </w:pPr>
          </w:p>
        </w:tc>
        <w:tc>
          <w:tcPr>
            <w:tcW w:w="960" w:type="dxa"/>
            <w:vAlign w:val="bottom"/>
            <w:tcBorders>
              <w:bottom w:val="single" w:sz="8" w:color="B6B6B6"/>
            </w:tcBorders>
          </w:tcPr>
          <w:p>
            <w:pPr>
              <w:jc w:val="right"/>
              <w:ind w:right="377"/>
              <w:spacing w:after="0"/>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152"/>
        </w:trPr>
        <w:tc>
          <w:tcPr>
            <w:tcW w:w="8640" w:type="dxa"/>
            <w:vAlign w:val="bottom"/>
            <w:gridSpan w:val="3"/>
          </w:tcPr>
          <w:p>
            <w:pPr>
              <w:ind w:left="20"/>
              <w:spacing w:after="0"/>
              <w:rPr>
                <w:sz w:val="20"/>
                <w:szCs w:val="20"/>
                <w:color w:val="auto"/>
              </w:rPr>
            </w:pPr>
            <w:r>
              <w:rPr>
                <w:rFonts w:ascii="Arial" w:cs="Arial" w:eastAsia="Arial" w:hAnsi="Arial"/>
                <w:sz w:val="13"/>
                <w:szCs w:val="13"/>
                <w:b w:val="1"/>
                <w:bCs w:val="1"/>
                <w:color w:val="auto"/>
              </w:rPr>
              <w:t>Assets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40" w:type="dxa"/>
            <w:vAlign w:val="bottom"/>
            <w:gridSpan w:val="3"/>
          </w:tcPr>
          <w:p>
            <w:pPr>
              <w:ind w:left="20"/>
              <w:spacing w:after="0"/>
              <w:rPr>
                <w:sz w:val="20"/>
                <w:szCs w:val="20"/>
                <w:color w:val="auto"/>
              </w:rPr>
            </w:pPr>
            <w:r>
              <w:rPr>
                <w:rFonts w:ascii="Arial" w:cs="Arial" w:eastAsia="Arial" w:hAnsi="Arial"/>
                <w:sz w:val="13"/>
                <w:szCs w:val="13"/>
                <w:i w:val="1"/>
                <w:iCs w:val="1"/>
                <w:color w:val="auto"/>
              </w:rPr>
              <w:t>Current assets: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640" w:type="dxa"/>
            <w:vAlign w:val="bottom"/>
            <w:gridSpan w:val="3"/>
          </w:tcPr>
          <w:p>
            <w:pPr>
              <w:ind w:left="240"/>
              <w:spacing w:after="0"/>
              <w:rPr>
                <w:sz w:val="20"/>
                <w:szCs w:val="20"/>
                <w:color w:val="auto"/>
              </w:rPr>
            </w:pPr>
            <w:r>
              <w:rPr>
                <w:rFonts w:ascii="Arial" w:cs="Arial" w:eastAsia="Arial" w:hAnsi="Arial"/>
                <w:sz w:val="13"/>
                <w:szCs w:val="13"/>
                <w:color w:val="auto"/>
              </w:rPr>
              <w:t>Cash and cash equivalents</w:t>
            </w:r>
          </w:p>
        </w:tc>
        <w:tc>
          <w:tcPr>
            <w:tcW w:w="34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c>
          <w:tcPr>
            <w:tcW w:w="1000" w:type="dxa"/>
            <w:vAlign w:val="bottom"/>
            <w:gridSpan w:val="3"/>
          </w:tcPr>
          <w:p>
            <w:pPr>
              <w:jc w:val="right"/>
              <w:ind w:right="17"/>
              <w:spacing w:after="0"/>
              <w:rPr>
                <w:sz w:val="20"/>
                <w:szCs w:val="20"/>
                <w:color w:val="auto"/>
              </w:rPr>
            </w:pPr>
            <w:r>
              <w:rPr>
                <w:rFonts w:ascii="Arial" w:cs="Arial" w:eastAsia="Arial" w:hAnsi="Arial"/>
                <w:sz w:val="13"/>
                <w:szCs w:val="13"/>
                <w:color w:val="auto"/>
              </w:rPr>
              <w:t>40,921</w:t>
            </w:r>
          </w:p>
        </w:tc>
        <w:tc>
          <w:tcPr>
            <w:tcW w:w="80" w:type="dxa"/>
            <w:vAlign w:val="bottom"/>
          </w:tcPr>
          <w:p>
            <w:pPr>
              <w:spacing w:after="0"/>
              <w:rPr>
                <w:sz w:val="15"/>
                <w:szCs w:val="15"/>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90,809</w:t>
            </w:r>
          </w:p>
        </w:tc>
        <w:tc>
          <w:tcPr>
            <w:tcW w:w="0" w:type="dxa"/>
            <w:vAlign w:val="bottom"/>
          </w:tcPr>
          <w:p>
            <w:pPr>
              <w:spacing w:after="0"/>
              <w:rPr>
                <w:sz w:val="1"/>
                <w:szCs w:val="1"/>
                <w:color w:val="auto"/>
              </w:rPr>
            </w:pPr>
          </w:p>
        </w:tc>
      </w:tr>
      <w:tr>
        <w:trPr>
          <w:trHeight w:val="175"/>
        </w:trPr>
        <w:tc>
          <w:tcPr>
            <w:tcW w:w="8640" w:type="dxa"/>
            <w:vAlign w:val="bottom"/>
            <w:gridSpan w:val="3"/>
          </w:tcPr>
          <w:p>
            <w:pPr>
              <w:ind w:left="240"/>
              <w:spacing w:after="0"/>
              <w:rPr>
                <w:sz w:val="20"/>
                <w:szCs w:val="20"/>
                <w:color w:val="auto"/>
              </w:rPr>
            </w:pPr>
            <w:r>
              <w:rPr>
                <w:rFonts w:ascii="Arial" w:cs="Arial" w:eastAsia="Arial" w:hAnsi="Arial"/>
                <w:sz w:val="13"/>
                <w:szCs w:val="13"/>
                <w:color w:val="auto"/>
              </w:rPr>
              <w:t>Accounts receivable, net of allowance for doubtful accounts of $1 in 2024 and $27 in 2023</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gridSpan w:val="2"/>
          </w:tcPr>
          <w:p>
            <w:pPr>
              <w:jc w:val="right"/>
              <w:ind w:right="17"/>
              <w:spacing w:after="0"/>
              <w:rPr>
                <w:sz w:val="20"/>
                <w:szCs w:val="20"/>
                <w:color w:val="auto"/>
              </w:rPr>
            </w:pPr>
            <w:r>
              <w:rPr>
                <w:rFonts w:ascii="Arial" w:cs="Arial" w:eastAsia="Arial" w:hAnsi="Arial"/>
                <w:sz w:val="13"/>
                <w:szCs w:val="13"/>
                <w:color w:val="auto"/>
                <w:w w:val="92"/>
              </w:rPr>
              <w:t>4,452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250</w:t>
            </w:r>
          </w:p>
        </w:tc>
        <w:tc>
          <w:tcPr>
            <w:tcW w:w="0" w:type="dxa"/>
            <w:vAlign w:val="bottom"/>
          </w:tcPr>
          <w:p>
            <w:pPr>
              <w:spacing w:after="0"/>
              <w:rPr>
                <w:sz w:val="1"/>
                <w:szCs w:val="1"/>
                <w:color w:val="auto"/>
              </w:rPr>
            </w:pPr>
          </w:p>
        </w:tc>
      </w:tr>
      <w:tr>
        <w:trPr>
          <w:trHeight w:val="176"/>
        </w:trPr>
        <w:tc>
          <w:tcPr>
            <w:tcW w:w="8640" w:type="dxa"/>
            <w:vAlign w:val="bottom"/>
            <w:gridSpan w:val="3"/>
          </w:tcPr>
          <w:p>
            <w:pPr>
              <w:ind w:left="240"/>
              <w:spacing w:after="0"/>
              <w:rPr>
                <w:sz w:val="20"/>
                <w:szCs w:val="20"/>
                <w:color w:val="auto"/>
              </w:rPr>
            </w:pPr>
            <w:r>
              <w:rPr>
                <w:rFonts w:ascii="Arial" w:cs="Arial" w:eastAsia="Arial" w:hAnsi="Arial"/>
                <w:sz w:val="13"/>
                <w:szCs w:val="13"/>
                <w:color w:val="auto"/>
              </w:rPr>
              <w:t>Commissions receivable - current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3"/>
          </w:tcPr>
          <w:p>
            <w:pPr>
              <w:jc w:val="right"/>
              <w:ind w:right="17"/>
              <w:spacing w:after="0"/>
              <w:rPr>
                <w:sz w:val="20"/>
                <w:szCs w:val="20"/>
                <w:color w:val="auto"/>
              </w:rPr>
            </w:pPr>
            <w:r>
              <w:rPr>
                <w:rFonts w:ascii="Arial" w:cs="Arial" w:eastAsia="Arial" w:hAnsi="Arial"/>
                <w:sz w:val="13"/>
                <w:szCs w:val="13"/>
                <w:color w:val="auto"/>
              </w:rPr>
              <w:t>320,399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336,215</w:t>
            </w:r>
          </w:p>
        </w:tc>
        <w:tc>
          <w:tcPr>
            <w:tcW w:w="0" w:type="dxa"/>
            <w:vAlign w:val="bottom"/>
          </w:tcPr>
          <w:p>
            <w:pPr>
              <w:spacing w:after="0"/>
              <w:rPr>
                <w:sz w:val="1"/>
                <w:szCs w:val="1"/>
                <w:color w:val="auto"/>
              </w:rPr>
            </w:pPr>
          </w:p>
        </w:tc>
      </w:tr>
      <w:tr>
        <w:trPr>
          <w:trHeight w:val="183"/>
        </w:trPr>
        <w:tc>
          <w:tcPr>
            <w:tcW w:w="8640" w:type="dxa"/>
            <w:vAlign w:val="bottom"/>
            <w:gridSpan w:val="3"/>
          </w:tcPr>
          <w:p>
            <w:pPr>
              <w:ind w:left="240"/>
              <w:spacing w:after="0"/>
              <w:rPr>
                <w:sz w:val="20"/>
                <w:szCs w:val="20"/>
                <w:color w:val="auto"/>
              </w:rPr>
            </w:pPr>
            <w:r>
              <w:rPr>
                <w:rFonts w:ascii="Arial" w:cs="Arial" w:eastAsia="Arial" w:hAnsi="Arial"/>
                <w:sz w:val="13"/>
                <w:szCs w:val="13"/>
                <w:color w:val="auto"/>
              </w:rPr>
              <w:t>Prepaid expense and other current assets</w:t>
            </w:r>
          </w:p>
        </w:tc>
        <w:tc>
          <w:tcPr>
            <w:tcW w:w="160" w:type="dxa"/>
            <w:vAlign w:val="bottom"/>
          </w:tcPr>
          <w:p>
            <w:pPr>
              <w:spacing w:after="0"/>
              <w:rPr>
                <w:sz w:val="15"/>
                <w:szCs w:val="15"/>
                <w:color w:val="auto"/>
              </w:rPr>
            </w:pPr>
          </w:p>
        </w:tc>
        <w:tc>
          <w:tcPr>
            <w:tcW w:w="180" w:type="dxa"/>
            <w:vAlign w:val="bottom"/>
            <w:tcBorders>
              <w:bottom w:val="single" w:sz="8" w:color="B6B6B6"/>
            </w:tcBorders>
          </w:tcPr>
          <w:p>
            <w:pPr>
              <w:spacing w:after="0"/>
              <w:rPr>
                <w:sz w:val="15"/>
                <w:szCs w:val="15"/>
                <w:color w:val="auto"/>
              </w:rPr>
            </w:pPr>
          </w:p>
        </w:tc>
        <w:tc>
          <w:tcPr>
            <w:tcW w:w="1000" w:type="dxa"/>
            <w:vAlign w:val="bottom"/>
            <w:tcBorders>
              <w:bottom w:val="single" w:sz="8" w:color="B6B6B6"/>
            </w:tcBorders>
            <w:gridSpan w:val="3"/>
          </w:tcPr>
          <w:p>
            <w:pPr>
              <w:jc w:val="right"/>
              <w:ind w:right="17"/>
              <w:spacing w:after="0"/>
              <w:rPr>
                <w:sz w:val="20"/>
                <w:szCs w:val="20"/>
                <w:color w:val="auto"/>
              </w:rPr>
            </w:pPr>
            <w:r>
              <w:rPr>
                <w:rFonts w:ascii="Arial" w:cs="Arial" w:eastAsia="Arial" w:hAnsi="Arial"/>
                <w:sz w:val="13"/>
                <w:szCs w:val="13"/>
                <w:color w:val="auto"/>
              </w:rPr>
              <w:t>34,639</w:t>
            </w:r>
          </w:p>
        </w:tc>
        <w:tc>
          <w:tcPr>
            <w:tcW w:w="80" w:type="dxa"/>
            <w:vAlign w:val="bottom"/>
          </w:tcPr>
          <w:p>
            <w:pPr>
              <w:spacing w:after="0"/>
              <w:rPr>
                <w:sz w:val="15"/>
                <w:szCs w:val="15"/>
                <w:color w:val="auto"/>
              </w:rPr>
            </w:pPr>
          </w:p>
        </w:tc>
        <w:tc>
          <w:tcPr>
            <w:tcW w:w="220" w:type="dxa"/>
            <w:vAlign w:val="bottom"/>
            <w:tcBorders>
              <w:bottom w:val="single" w:sz="8" w:color="B6B6B6"/>
            </w:tcBorders>
          </w:tcPr>
          <w:p>
            <w:pPr>
              <w:spacing w:after="0"/>
              <w:rPr>
                <w:sz w:val="15"/>
                <w:szCs w:val="15"/>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49,166</w:t>
            </w:r>
          </w:p>
        </w:tc>
        <w:tc>
          <w:tcPr>
            <w:tcW w:w="0" w:type="dxa"/>
            <w:vAlign w:val="bottom"/>
          </w:tcPr>
          <w:p>
            <w:pPr>
              <w:spacing w:after="0"/>
              <w:rPr>
                <w:sz w:val="1"/>
                <w:szCs w:val="1"/>
                <w:color w:val="auto"/>
              </w:rPr>
            </w:pPr>
          </w:p>
        </w:tc>
      </w:tr>
      <w:tr>
        <w:trPr>
          <w:trHeight w:val="169"/>
        </w:trPr>
        <w:tc>
          <w:tcPr>
            <w:tcW w:w="8640" w:type="dxa"/>
            <w:vAlign w:val="bottom"/>
            <w:gridSpan w:val="3"/>
          </w:tcPr>
          <w:p>
            <w:pPr>
              <w:ind w:left="20"/>
              <w:spacing w:after="0"/>
              <w:rPr>
                <w:sz w:val="20"/>
                <w:szCs w:val="20"/>
                <w:color w:val="auto"/>
              </w:rPr>
            </w:pPr>
            <w:r>
              <w:rPr>
                <w:rFonts w:ascii="Arial" w:cs="Arial" w:eastAsia="Arial" w:hAnsi="Arial"/>
                <w:sz w:val="13"/>
                <w:szCs w:val="13"/>
                <w:color w:val="auto"/>
              </w:rPr>
              <w:t>Total current assets</w:t>
            </w:r>
          </w:p>
        </w:tc>
        <w:tc>
          <w:tcPr>
            <w:tcW w:w="160" w:type="dxa"/>
            <w:vAlign w:val="bottom"/>
          </w:tcPr>
          <w:p>
            <w:pPr>
              <w:spacing w:after="0"/>
              <w:rPr>
                <w:sz w:val="14"/>
                <w:szCs w:val="14"/>
                <w:color w:val="auto"/>
              </w:rPr>
            </w:pPr>
          </w:p>
        </w:tc>
        <w:tc>
          <w:tcPr>
            <w:tcW w:w="180" w:type="dxa"/>
            <w:vAlign w:val="bottom"/>
            <w:tcBorders>
              <w:bottom w:val="single" w:sz="8" w:color="B6B6B6"/>
            </w:tcBorders>
          </w:tcPr>
          <w:p>
            <w:pPr>
              <w:spacing w:after="0"/>
              <w:rPr>
                <w:sz w:val="14"/>
                <w:szCs w:val="14"/>
                <w:color w:val="auto"/>
              </w:rPr>
            </w:pPr>
          </w:p>
        </w:tc>
        <w:tc>
          <w:tcPr>
            <w:tcW w:w="1000" w:type="dxa"/>
            <w:vAlign w:val="bottom"/>
            <w:tcBorders>
              <w:bottom w:val="single" w:sz="8" w:color="B6B6B6"/>
            </w:tcBorders>
            <w:gridSpan w:val="3"/>
          </w:tcPr>
          <w:p>
            <w:pPr>
              <w:jc w:val="right"/>
              <w:ind w:right="17"/>
              <w:spacing w:after="0"/>
              <w:rPr>
                <w:sz w:val="20"/>
                <w:szCs w:val="20"/>
                <w:color w:val="auto"/>
              </w:rPr>
            </w:pPr>
            <w:r>
              <w:rPr>
                <w:rFonts w:ascii="Arial" w:cs="Arial" w:eastAsia="Arial" w:hAnsi="Arial"/>
                <w:sz w:val="13"/>
                <w:szCs w:val="13"/>
                <w:color w:val="auto"/>
              </w:rPr>
              <w:t>400,411</w:t>
            </w:r>
          </w:p>
        </w:tc>
        <w:tc>
          <w:tcPr>
            <w:tcW w:w="80" w:type="dxa"/>
            <w:vAlign w:val="bottom"/>
          </w:tcPr>
          <w:p>
            <w:pPr>
              <w:spacing w:after="0"/>
              <w:rPr>
                <w:sz w:val="14"/>
                <w:szCs w:val="14"/>
                <w:color w:val="auto"/>
              </w:rPr>
            </w:pPr>
          </w:p>
        </w:tc>
        <w:tc>
          <w:tcPr>
            <w:tcW w:w="220" w:type="dxa"/>
            <w:vAlign w:val="bottom"/>
            <w:tcBorders>
              <w:bottom w:val="single" w:sz="8" w:color="B6B6B6"/>
            </w:tcBorders>
          </w:tcPr>
          <w:p>
            <w:pPr>
              <w:spacing w:after="0"/>
              <w:rPr>
                <w:sz w:val="14"/>
                <w:szCs w:val="14"/>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476,440</w:t>
            </w:r>
          </w:p>
        </w:tc>
        <w:tc>
          <w:tcPr>
            <w:tcW w:w="0" w:type="dxa"/>
            <w:vAlign w:val="bottom"/>
          </w:tcPr>
          <w:p>
            <w:pPr>
              <w:spacing w:after="0"/>
              <w:rPr>
                <w:sz w:val="1"/>
                <w:szCs w:val="1"/>
                <w:color w:val="auto"/>
              </w:rPr>
            </w:pPr>
          </w:p>
        </w:tc>
      </w:tr>
      <w:tr>
        <w:trPr>
          <w:trHeight w:val="166"/>
        </w:trPr>
        <w:tc>
          <w:tcPr>
            <w:tcW w:w="8640" w:type="dxa"/>
            <w:vAlign w:val="bottom"/>
            <w:gridSpan w:val="3"/>
          </w:tcPr>
          <w:p>
            <w:pPr>
              <w:ind w:left="20"/>
              <w:spacing w:after="0"/>
              <w:rPr>
                <w:sz w:val="20"/>
                <w:szCs w:val="20"/>
                <w:color w:val="auto"/>
              </w:rPr>
            </w:pPr>
            <w:r>
              <w:rPr>
                <w:rFonts w:ascii="Arial" w:cs="Arial" w:eastAsia="Arial" w:hAnsi="Arial"/>
                <w:sz w:val="13"/>
                <w:szCs w:val="13"/>
                <w:color w:val="auto"/>
              </w:rPr>
              <w:t>Commissions receivable - non-current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jc w:val="right"/>
              <w:ind w:right="17"/>
              <w:spacing w:after="0"/>
              <w:rPr>
                <w:sz w:val="20"/>
                <w:szCs w:val="20"/>
                <w:color w:val="auto"/>
              </w:rPr>
            </w:pPr>
            <w:r>
              <w:rPr>
                <w:rFonts w:ascii="Arial" w:cs="Arial" w:eastAsia="Arial" w:hAnsi="Arial"/>
                <w:sz w:val="13"/>
                <w:szCs w:val="13"/>
                <w:color w:val="auto"/>
              </w:rPr>
              <w:t>733,161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575,482</w:t>
            </w:r>
          </w:p>
        </w:tc>
        <w:tc>
          <w:tcPr>
            <w:tcW w:w="0" w:type="dxa"/>
            <w:vAlign w:val="bottom"/>
          </w:tcPr>
          <w:p>
            <w:pPr>
              <w:spacing w:after="0"/>
              <w:rPr>
                <w:sz w:val="1"/>
                <w:szCs w:val="1"/>
                <w:color w:val="auto"/>
              </w:rPr>
            </w:pPr>
          </w:p>
        </w:tc>
      </w:tr>
      <w:tr>
        <w:trPr>
          <w:trHeight w:val="171"/>
        </w:trPr>
        <w:tc>
          <w:tcPr>
            <w:tcW w:w="8640" w:type="dxa"/>
            <w:vAlign w:val="bottom"/>
            <w:gridSpan w:val="3"/>
          </w:tcPr>
          <w:p>
            <w:pPr>
              <w:ind w:left="20"/>
              <w:spacing w:after="0"/>
              <w:rPr>
                <w:sz w:val="20"/>
                <w:szCs w:val="20"/>
                <w:color w:val="auto"/>
              </w:rPr>
            </w:pPr>
            <w:r>
              <w:rPr>
                <w:rFonts w:ascii="Arial" w:cs="Arial" w:eastAsia="Arial" w:hAnsi="Arial"/>
                <w:sz w:val="13"/>
                <w:szCs w:val="13"/>
                <w:color w:val="auto"/>
              </w:rPr>
              <w:t>Operating lease ROU asset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jc w:val="right"/>
              <w:ind w:right="17"/>
              <w:spacing w:after="0"/>
              <w:rPr>
                <w:sz w:val="20"/>
                <w:szCs w:val="20"/>
                <w:color w:val="auto"/>
              </w:rPr>
            </w:pPr>
            <w:r>
              <w:rPr>
                <w:rFonts w:ascii="Arial" w:cs="Arial" w:eastAsia="Arial" w:hAnsi="Arial"/>
                <w:sz w:val="13"/>
                <w:szCs w:val="13"/>
                <w:color w:val="auto"/>
              </w:rPr>
              <w:t>19,317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21,995</w:t>
            </w:r>
          </w:p>
        </w:tc>
        <w:tc>
          <w:tcPr>
            <w:tcW w:w="0" w:type="dxa"/>
            <w:vAlign w:val="bottom"/>
          </w:tcPr>
          <w:p>
            <w:pPr>
              <w:spacing w:after="0"/>
              <w:rPr>
                <w:sz w:val="1"/>
                <w:szCs w:val="1"/>
                <w:color w:val="auto"/>
              </w:rPr>
            </w:pPr>
          </w:p>
        </w:tc>
      </w:tr>
      <w:tr>
        <w:trPr>
          <w:trHeight w:val="175"/>
        </w:trPr>
        <w:tc>
          <w:tcPr>
            <w:tcW w:w="8640" w:type="dxa"/>
            <w:vAlign w:val="bottom"/>
            <w:gridSpan w:val="3"/>
          </w:tcPr>
          <w:p>
            <w:pPr>
              <w:ind w:left="20"/>
              <w:spacing w:after="0"/>
              <w:rPr>
                <w:sz w:val="20"/>
                <w:szCs w:val="20"/>
                <w:color w:val="auto"/>
              </w:rPr>
            </w:pPr>
            <w:r>
              <w:rPr>
                <w:rFonts w:ascii="Arial" w:cs="Arial" w:eastAsia="Arial" w:hAnsi="Arial"/>
                <w:sz w:val="13"/>
                <w:szCs w:val="13"/>
                <w:color w:val="auto"/>
              </w:rPr>
              <w:t>Property, equipment, and capitalized software, net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3"/>
          </w:tcPr>
          <w:p>
            <w:pPr>
              <w:jc w:val="right"/>
              <w:ind w:right="17"/>
              <w:spacing w:after="0"/>
              <w:rPr>
                <w:sz w:val="20"/>
                <w:szCs w:val="20"/>
                <w:color w:val="auto"/>
              </w:rPr>
            </w:pPr>
            <w:r>
              <w:rPr>
                <w:rFonts w:ascii="Arial" w:cs="Arial" w:eastAsia="Arial" w:hAnsi="Arial"/>
                <w:sz w:val="13"/>
                <w:szCs w:val="13"/>
                <w:color w:val="auto"/>
              </w:rPr>
              <w:t>29,320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26,843</w:t>
            </w:r>
          </w:p>
        </w:tc>
        <w:tc>
          <w:tcPr>
            <w:tcW w:w="0" w:type="dxa"/>
            <w:vAlign w:val="bottom"/>
          </w:tcPr>
          <w:p>
            <w:pPr>
              <w:spacing w:after="0"/>
              <w:rPr>
                <w:sz w:val="1"/>
                <w:szCs w:val="1"/>
                <w:color w:val="auto"/>
              </w:rPr>
            </w:pPr>
          </w:p>
        </w:tc>
      </w:tr>
      <w:tr>
        <w:trPr>
          <w:trHeight w:val="176"/>
        </w:trPr>
        <w:tc>
          <w:tcPr>
            <w:tcW w:w="8640" w:type="dxa"/>
            <w:vAlign w:val="bottom"/>
            <w:gridSpan w:val="3"/>
          </w:tcPr>
          <w:p>
            <w:pPr>
              <w:ind w:left="20"/>
              <w:spacing w:after="0"/>
              <w:rPr>
                <w:sz w:val="20"/>
                <w:szCs w:val="20"/>
                <w:color w:val="auto"/>
              </w:rPr>
            </w:pPr>
            <w:r>
              <w:rPr>
                <w:rFonts w:ascii="Arial" w:cs="Arial" w:eastAsia="Arial" w:hAnsi="Arial"/>
                <w:sz w:val="13"/>
                <w:szCs w:val="13"/>
                <w:color w:val="auto"/>
              </w:rPr>
              <w:t>Intangible assets, net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3"/>
          </w:tcPr>
          <w:p>
            <w:pPr>
              <w:jc w:val="right"/>
              <w:ind w:right="17"/>
              <w:spacing w:after="0"/>
              <w:rPr>
                <w:sz w:val="20"/>
                <w:szCs w:val="20"/>
                <w:color w:val="auto"/>
              </w:rPr>
            </w:pPr>
            <w:r>
              <w:rPr>
                <w:rFonts w:ascii="Arial" w:cs="Arial" w:eastAsia="Arial" w:hAnsi="Arial"/>
                <w:sz w:val="13"/>
                <w:szCs w:val="13"/>
                <w:color w:val="auto"/>
              </w:rPr>
              <w:t>302,497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396,554</w:t>
            </w:r>
          </w:p>
        </w:tc>
        <w:tc>
          <w:tcPr>
            <w:tcW w:w="0" w:type="dxa"/>
            <w:vAlign w:val="bottom"/>
          </w:tcPr>
          <w:p>
            <w:pPr>
              <w:spacing w:after="0"/>
              <w:rPr>
                <w:sz w:val="1"/>
                <w:szCs w:val="1"/>
                <w:color w:val="auto"/>
              </w:rPr>
            </w:pPr>
          </w:p>
        </w:tc>
      </w:tr>
      <w:tr>
        <w:trPr>
          <w:trHeight w:val="183"/>
        </w:trPr>
        <w:tc>
          <w:tcPr>
            <w:tcW w:w="8640" w:type="dxa"/>
            <w:vAlign w:val="bottom"/>
            <w:gridSpan w:val="3"/>
          </w:tcPr>
          <w:p>
            <w:pPr>
              <w:ind w:left="20"/>
              <w:spacing w:after="0"/>
              <w:rPr>
                <w:sz w:val="20"/>
                <w:szCs w:val="20"/>
                <w:color w:val="auto"/>
              </w:rPr>
            </w:pPr>
            <w:r>
              <w:rPr>
                <w:rFonts w:ascii="Arial" w:cs="Arial" w:eastAsia="Arial" w:hAnsi="Arial"/>
                <w:sz w:val="13"/>
                <w:szCs w:val="13"/>
                <w:color w:val="auto"/>
              </w:rPr>
              <w:t>Other long-term assets</w:t>
            </w:r>
          </w:p>
        </w:tc>
        <w:tc>
          <w:tcPr>
            <w:tcW w:w="160" w:type="dxa"/>
            <w:vAlign w:val="bottom"/>
          </w:tcPr>
          <w:p>
            <w:pPr>
              <w:spacing w:after="0"/>
              <w:rPr>
                <w:sz w:val="15"/>
                <w:szCs w:val="15"/>
                <w:color w:val="auto"/>
              </w:rPr>
            </w:pPr>
          </w:p>
        </w:tc>
        <w:tc>
          <w:tcPr>
            <w:tcW w:w="180" w:type="dxa"/>
            <w:vAlign w:val="bottom"/>
            <w:tcBorders>
              <w:bottom w:val="single" w:sz="8" w:color="B6B6B6"/>
            </w:tcBorders>
          </w:tcPr>
          <w:p>
            <w:pPr>
              <w:spacing w:after="0"/>
              <w:rPr>
                <w:sz w:val="15"/>
                <w:szCs w:val="15"/>
                <w:color w:val="auto"/>
              </w:rPr>
            </w:pPr>
          </w:p>
        </w:tc>
        <w:tc>
          <w:tcPr>
            <w:tcW w:w="600" w:type="dxa"/>
            <w:vAlign w:val="bottom"/>
            <w:tcBorders>
              <w:bottom w:val="single" w:sz="8" w:color="B6B6B6"/>
            </w:tcBorders>
          </w:tcPr>
          <w:p>
            <w:pPr>
              <w:spacing w:after="0"/>
              <w:rPr>
                <w:sz w:val="15"/>
                <w:szCs w:val="15"/>
                <w:color w:val="auto"/>
              </w:rPr>
            </w:pPr>
          </w:p>
        </w:tc>
        <w:tc>
          <w:tcPr>
            <w:tcW w:w="400" w:type="dxa"/>
            <w:vAlign w:val="bottom"/>
            <w:tcBorders>
              <w:bottom w:val="single" w:sz="8" w:color="B6B6B6"/>
            </w:tcBorders>
            <w:gridSpan w:val="2"/>
          </w:tcPr>
          <w:p>
            <w:pPr>
              <w:jc w:val="right"/>
              <w:ind w:right="17"/>
              <w:spacing w:after="0"/>
              <w:rPr>
                <w:sz w:val="20"/>
                <w:szCs w:val="20"/>
                <w:color w:val="auto"/>
              </w:rPr>
            </w:pPr>
            <w:r>
              <w:rPr>
                <w:rFonts w:ascii="Arial" w:cs="Arial" w:eastAsia="Arial" w:hAnsi="Arial"/>
                <w:sz w:val="13"/>
                <w:szCs w:val="13"/>
                <w:color w:val="auto"/>
                <w:w w:val="92"/>
              </w:rPr>
              <w:t>3,717</w:t>
            </w:r>
          </w:p>
        </w:tc>
        <w:tc>
          <w:tcPr>
            <w:tcW w:w="80" w:type="dxa"/>
            <w:vAlign w:val="bottom"/>
          </w:tcPr>
          <w:p>
            <w:pPr>
              <w:spacing w:after="0"/>
              <w:rPr>
                <w:sz w:val="15"/>
                <w:szCs w:val="15"/>
                <w:color w:val="auto"/>
              </w:rPr>
            </w:pPr>
          </w:p>
        </w:tc>
        <w:tc>
          <w:tcPr>
            <w:tcW w:w="220" w:type="dxa"/>
            <w:vAlign w:val="bottom"/>
            <w:tcBorders>
              <w:bottom w:val="single" w:sz="8" w:color="B6B6B6"/>
            </w:tcBorders>
          </w:tcPr>
          <w:p>
            <w:pPr>
              <w:spacing w:after="0"/>
              <w:rPr>
                <w:sz w:val="15"/>
                <w:szCs w:val="15"/>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2,256</w:t>
            </w:r>
          </w:p>
        </w:tc>
        <w:tc>
          <w:tcPr>
            <w:tcW w:w="0" w:type="dxa"/>
            <w:vAlign w:val="bottom"/>
          </w:tcPr>
          <w:p>
            <w:pPr>
              <w:spacing w:after="0"/>
              <w:rPr>
                <w:sz w:val="1"/>
                <w:szCs w:val="1"/>
                <w:color w:val="auto"/>
              </w:rPr>
            </w:pPr>
          </w:p>
        </w:tc>
      </w:tr>
      <w:tr>
        <w:trPr>
          <w:trHeight w:val="176"/>
        </w:trPr>
        <w:tc>
          <w:tcPr>
            <w:tcW w:w="8640" w:type="dxa"/>
            <w:vAlign w:val="bottom"/>
            <w:gridSpan w:val="3"/>
          </w:tcPr>
          <w:p>
            <w:pPr>
              <w:ind w:left="20"/>
              <w:spacing w:after="0"/>
              <w:rPr>
                <w:sz w:val="20"/>
                <w:szCs w:val="20"/>
                <w:color w:val="auto"/>
              </w:rPr>
            </w:pPr>
            <w:r>
              <w:rPr>
                <w:rFonts w:ascii="Arial" w:cs="Arial" w:eastAsia="Arial" w:hAnsi="Arial"/>
                <w:sz w:val="13"/>
                <w:szCs w:val="13"/>
                <w:b w:val="1"/>
                <w:bCs w:val="1"/>
                <w:color w:val="auto"/>
              </w:rPr>
              <w:t>Total assets</w:t>
            </w:r>
          </w:p>
        </w:tc>
        <w:tc>
          <w:tcPr>
            <w:tcW w:w="160" w:type="dxa"/>
            <w:vAlign w:val="bottom"/>
          </w:tcPr>
          <w:p>
            <w:pPr>
              <w:spacing w:after="0"/>
              <w:rPr>
                <w:sz w:val="15"/>
                <w:szCs w:val="15"/>
                <w:color w:val="auto"/>
              </w:rPr>
            </w:pPr>
          </w:p>
        </w:tc>
        <w:tc>
          <w:tcPr>
            <w:tcW w:w="180" w:type="dxa"/>
            <w:vAlign w:val="bottom"/>
            <w:tcBorders>
              <w:bottom w:val="single" w:sz="8" w:color="B6B6B6"/>
            </w:tcBorders>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B6B6B6"/>
            </w:tcBorders>
            <w:gridSpan w:val="3"/>
          </w:tcPr>
          <w:p>
            <w:pPr>
              <w:jc w:val="right"/>
              <w:ind w:right="17"/>
              <w:spacing w:after="0"/>
              <w:rPr>
                <w:sz w:val="20"/>
                <w:szCs w:val="20"/>
                <w:color w:val="auto"/>
              </w:rPr>
            </w:pPr>
            <w:r>
              <w:rPr>
                <w:rFonts w:ascii="Arial" w:cs="Arial" w:eastAsia="Arial" w:hAnsi="Arial"/>
                <w:sz w:val="13"/>
                <w:szCs w:val="13"/>
                <w:b w:val="1"/>
                <w:bCs w:val="1"/>
                <w:color w:val="auto"/>
              </w:rPr>
              <w:t>1,488,423</w:t>
            </w:r>
          </w:p>
        </w:tc>
        <w:tc>
          <w:tcPr>
            <w:tcW w:w="80" w:type="dxa"/>
            <w:vAlign w:val="bottom"/>
          </w:tcPr>
          <w:p>
            <w:pPr>
              <w:spacing w:after="0"/>
              <w:rPr>
                <w:sz w:val="15"/>
                <w:szCs w:val="15"/>
                <w:color w:val="auto"/>
              </w:rPr>
            </w:pPr>
          </w:p>
        </w:tc>
        <w:tc>
          <w:tcPr>
            <w:tcW w:w="220" w:type="dxa"/>
            <w:vAlign w:val="bottom"/>
            <w:tcBorders>
              <w:bottom w:val="single" w:sz="8" w:color="B6B6B6"/>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3"/>
                <w:szCs w:val="13"/>
                <w:b w:val="1"/>
                <w:bCs w:val="1"/>
                <w:color w:val="auto"/>
              </w:rPr>
              <w:t>1,499,570</w:t>
            </w:r>
          </w:p>
        </w:tc>
        <w:tc>
          <w:tcPr>
            <w:tcW w:w="0" w:type="dxa"/>
            <w:vAlign w:val="bottom"/>
          </w:tcPr>
          <w:p>
            <w:pPr>
              <w:spacing w:after="0"/>
              <w:rPr>
                <w:sz w:val="1"/>
                <w:szCs w:val="1"/>
                <w:color w:val="auto"/>
              </w:rPr>
            </w:pPr>
          </w:p>
        </w:tc>
      </w:tr>
      <w:tr>
        <w:trPr>
          <w:trHeight w:val="20"/>
        </w:trPr>
        <w:tc>
          <w:tcPr>
            <w:tcW w:w="86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Liabilities, Redeemable Convertible Preferred Stock and Stockholders’ Equity</w:t>
            </w:r>
          </w:p>
        </w:tc>
        <w:tc>
          <w:tcPr>
            <w:tcW w:w="160" w:type="dxa"/>
            <w:vAlign w:val="bottom"/>
          </w:tcPr>
          <w:p>
            <w:pPr>
              <w:spacing w:after="0" w:line="20" w:lineRule="exact"/>
              <w:rPr>
                <w:sz w:val="1"/>
                <w:szCs w:val="1"/>
                <w:color w:val="auto"/>
              </w:rPr>
            </w:pPr>
          </w:p>
        </w:tc>
        <w:tc>
          <w:tcPr>
            <w:tcW w:w="180" w:type="dxa"/>
            <w:vAlign w:val="bottom"/>
            <w:tcBorders>
              <w:bottom w:val="single" w:sz="8" w:color="B6B6B6"/>
            </w:tcBorders>
          </w:tcPr>
          <w:p>
            <w:pPr>
              <w:spacing w:after="0" w:line="20" w:lineRule="exact"/>
              <w:rPr>
                <w:sz w:val="1"/>
                <w:szCs w:val="1"/>
                <w:color w:val="auto"/>
              </w:rPr>
            </w:pPr>
          </w:p>
        </w:tc>
        <w:tc>
          <w:tcPr>
            <w:tcW w:w="600" w:type="dxa"/>
            <w:vAlign w:val="bottom"/>
            <w:tcBorders>
              <w:bottom w:val="single" w:sz="8" w:color="B6B6B6"/>
            </w:tcBorders>
          </w:tcPr>
          <w:p>
            <w:pPr>
              <w:spacing w:after="0" w:line="20" w:lineRule="exact"/>
              <w:rPr>
                <w:sz w:val="1"/>
                <w:szCs w:val="1"/>
                <w:color w:val="auto"/>
              </w:rPr>
            </w:pPr>
          </w:p>
        </w:tc>
        <w:tc>
          <w:tcPr>
            <w:tcW w:w="100" w:type="dxa"/>
            <w:vAlign w:val="bottom"/>
            <w:tcBorders>
              <w:bottom w:val="single" w:sz="8" w:color="B6B6B6"/>
            </w:tcBorders>
          </w:tcPr>
          <w:p>
            <w:pPr>
              <w:spacing w:after="0" w:line="20" w:lineRule="exact"/>
              <w:rPr>
                <w:sz w:val="1"/>
                <w:szCs w:val="1"/>
                <w:color w:val="auto"/>
              </w:rPr>
            </w:pPr>
          </w:p>
        </w:tc>
        <w:tc>
          <w:tcPr>
            <w:tcW w:w="30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B6B6B6"/>
            </w:tcBorders>
          </w:tcPr>
          <w:p>
            <w:pPr>
              <w:spacing w:after="0" w:line="20" w:lineRule="exact"/>
              <w:rPr>
                <w:sz w:val="1"/>
                <w:szCs w:val="1"/>
                <w:color w:val="auto"/>
              </w:rPr>
            </w:pPr>
          </w:p>
        </w:tc>
        <w:tc>
          <w:tcPr>
            <w:tcW w:w="96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86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8640" w:type="dxa"/>
            <w:vAlign w:val="bottom"/>
            <w:gridSpan w:val="3"/>
          </w:tcPr>
          <w:p>
            <w:pPr>
              <w:ind w:left="20"/>
              <w:spacing w:after="0"/>
              <w:rPr>
                <w:sz w:val="20"/>
                <w:szCs w:val="20"/>
                <w:color w:val="auto"/>
              </w:rPr>
            </w:pPr>
            <w:r>
              <w:rPr>
                <w:rFonts w:ascii="Arial" w:cs="Arial" w:eastAsia="Arial" w:hAnsi="Arial"/>
                <w:sz w:val="13"/>
                <w:szCs w:val="13"/>
                <w:i w:val="1"/>
                <w:iCs w:val="1"/>
                <w:color w:val="auto"/>
              </w:rPr>
              <w:t>Current liabilities: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640" w:type="dxa"/>
            <w:vAlign w:val="bottom"/>
            <w:gridSpan w:val="3"/>
          </w:tcPr>
          <w:p>
            <w:pPr>
              <w:ind w:left="240"/>
              <w:spacing w:after="0"/>
              <w:rPr>
                <w:sz w:val="20"/>
                <w:szCs w:val="20"/>
                <w:color w:val="auto"/>
              </w:rPr>
            </w:pPr>
            <w:r>
              <w:rPr>
                <w:rFonts w:ascii="Arial" w:cs="Arial" w:eastAsia="Arial" w:hAnsi="Arial"/>
                <w:sz w:val="13"/>
                <w:szCs w:val="13"/>
                <w:color w:val="auto"/>
              </w:rPr>
              <w:t>Accounts payable</w:t>
            </w:r>
          </w:p>
        </w:tc>
        <w:tc>
          <w:tcPr>
            <w:tcW w:w="34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c>
          <w:tcPr>
            <w:tcW w:w="1000" w:type="dxa"/>
            <w:vAlign w:val="bottom"/>
            <w:gridSpan w:val="3"/>
          </w:tcPr>
          <w:p>
            <w:pPr>
              <w:jc w:val="right"/>
              <w:ind w:right="17"/>
              <w:spacing w:after="0"/>
              <w:rPr>
                <w:sz w:val="20"/>
                <w:szCs w:val="20"/>
                <w:color w:val="auto"/>
              </w:rPr>
            </w:pPr>
            <w:r>
              <w:rPr>
                <w:rFonts w:ascii="Arial" w:cs="Arial" w:eastAsia="Arial" w:hAnsi="Arial"/>
                <w:sz w:val="13"/>
                <w:szCs w:val="13"/>
                <w:color w:val="auto"/>
              </w:rPr>
              <w:t>14,591</w:t>
            </w:r>
          </w:p>
        </w:tc>
        <w:tc>
          <w:tcPr>
            <w:tcW w:w="80" w:type="dxa"/>
            <w:vAlign w:val="bottom"/>
          </w:tcPr>
          <w:p>
            <w:pPr>
              <w:spacing w:after="0"/>
              <w:rPr>
                <w:sz w:val="15"/>
                <w:szCs w:val="15"/>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17,705</w:t>
            </w:r>
          </w:p>
        </w:tc>
        <w:tc>
          <w:tcPr>
            <w:tcW w:w="0" w:type="dxa"/>
            <w:vAlign w:val="bottom"/>
          </w:tcPr>
          <w:p>
            <w:pPr>
              <w:spacing w:after="0"/>
              <w:rPr>
                <w:sz w:val="1"/>
                <w:szCs w:val="1"/>
                <w:color w:val="auto"/>
              </w:rPr>
            </w:pPr>
          </w:p>
        </w:tc>
      </w:tr>
      <w:tr>
        <w:trPr>
          <w:trHeight w:val="176"/>
        </w:trPr>
        <w:tc>
          <w:tcPr>
            <w:tcW w:w="8640" w:type="dxa"/>
            <w:vAlign w:val="bottom"/>
            <w:gridSpan w:val="3"/>
          </w:tcPr>
          <w:p>
            <w:pPr>
              <w:ind w:left="240"/>
              <w:spacing w:after="0"/>
              <w:rPr>
                <w:sz w:val="20"/>
                <w:szCs w:val="20"/>
                <w:color w:val="auto"/>
              </w:rPr>
            </w:pPr>
            <w:r>
              <w:rPr>
                <w:rFonts w:ascii="Arial" w:cs="Arial" w:eastAsia="Arial" w:hAnsi="Arial"/>
                <w:sz w:val="13"/>
                <w:szCs w:val="13"/>
                <w:color w:val="auto"/>
              </w:rPr>
              <w:t>Accrued liabilities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3"/>
          </w:tcPr>
          <w:p>
            <w:pPr>
              <w:jc w:val="right"/>
              <w:ind w:right="17"/>
              <w:spacing w:after="0"/>
              <w:rPr>
                <w:sz w:val="20"/>
                <w:szCs w:val="20"/>
                <w:color w:val="auto"/>
              </w:rPr>
            </w:pPr>
            <w:r>
              <w:rPr>
                <w:rFonts w:ascii="Arial" w:cs="Arial" w:eastAsia="Arial" w:hAnsi="Arial"/>
                <w:sz w:val="13"/>
                <w:szCs w:val="13"/>
                <w:color w:val="auto"/>
              </w:rPr>
              <w:t>121,346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86,254</w:t>
            </w:r>
          </w:p>
        </w:tc>
        <w:tc>
          <w:tcPr>
            <w:tcW w:w="0" w:type="dxa"/>
            <w:vAlign w:val="bottom"/>
          </w:tcPr>
          <w:p>
            <w:pPr>
              <w:spacing w:after="0"/>
              <w:rPr>
                <w:sz w:val="1"/>
                <w:szCs w:val="1"/>
                <w:color w:val="auto"/>
              </w:rPr>
            </w:pPr>
          </w:p>
        </w:tc>
      </w:tr>
      <w:tr>
        <w:trPr>
          <w:trHeight w:val="175"/>
        </w:trPr>
        <w:tc>
          <w:tcPr>
            <w:tcW w:w="8640" w:type="dxa"/>
            <w:vAlign w:val="bottom"/>
            <w:gridSpan w:val="3"/>
          </w:tcPr>
          <w:p>
            <w:pPr>
              <w:ind w:left="240"/>
              <w:spacing w:after="0"/>
              <w:rPr>
                <w:sz w:val="20"/>
                <w:szCs w:val="20"/>
                <w:color w:val="auto"/>
              </w:rPr>
            </w:pPr>
            <w:r>
              <w:rPr>
                <w:rFonts w:ascii="Arial" w:cs="Arial" w:eastAsia="Arial" w:hAnsi="Arial"/>
                <w:sz w:val="13"/>
                <w:szCs w:val="13"/>
                <w:color w:val="auto"/>
              </w:rPr>
              <w:t>Commissions payable - current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3"/>
          </w:tcPr>
          <w:p>
            <w:pPr>
              <w:jc w:val="right"/>
              <w:ind w:right="17"/>
              <w:spacing w:after="0"/>
              <w:rPr>
                <w:sz w:val="20"/>
                <w:szCs w:val="20"/>
                <w:color w:val="auto"/>
              </w:rPr>
            </w:pPr>
            <w:r>
              <w:rPr>
                <w:rFonts w:ascii="Arial" w:cs="Arial" w:eastAsia="Arial" w:hAnsi="Arial"/>
                <w:sz w:val="13"/>
                <w:szCs w:val="13"/>
                <w:color w:val="auto"/>
              </w:rPr>
              <w:t>98,771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127,265</w:t>
            </w:r>
          </w:p>
        </w:tc>
        <w:tc>
          <w:tcPr>
            <w:tcW w:w="0" w:type="dxa"/>
            <w:vAlign w:val="bottom"/>
          </w:tcPr>
          <w:p>
            <w:pPr>
              <w:spacing w:after="0"/>
              <w:rPr>
                <w:sz w:val="1"/>
                <w:szCs w:val="1"/>
                <w:color w:val="auto"/>
              </w:rPr>
            </w:pPr>
          </w:p>
        </w:tc>
      </w:tr>
      <w:tr>
        <w:trPr>
          <w:trHeight w:val="176"/>
        </w:trPr>
        <w:tc>
          <w:tcPr>
            <w:tcW w:w="8640" w:type="dxa"/>
            <w:vAlign w:val="bottom"/>
            <w:gridSpan w:val="3"/>
          </w:tcPr>
          <w:p>
            <w:pPr>
              <w:ind w:left="240"/>
              <w:spacing w:after="0"/>
              <w:rPr>
                <w:sz w:val="20"/>
                <w:szCs w:val="20"/>
                <w:color w:val="auto"/>
              </w:rPr>
            </w:pPr>
            <w:r>
              <w:rPr>
                <w:rFonts w:ascii="Arial" w:cs="Arial" w:eastAsia="Arial" w:hAnsi="Arial"/>
                <w:sz w:val="13"/>
                <w:szCs w:val="13"/>
                <w:color w:val="auto"/>
              </w:rPr>
              <w:t>Short-term operating lease liability</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gridSpan w:val="2"/>
          </w:tcPr>
          <w:p>
            <w:pPr>
              <w:jc w:val="right"/>
              <w:ind w:right="17"/>
              <w:spacing w:after="0"/>
              <w:rPr>
                <w:sz w:val="20"/>
                <w:szCs w:val="20"/>
                <w:color w:val="auto"/>
              </w:rPr>
            </w:pPr>
            <w:r>
              <w:rPr>
                <w:rFonts w:ascii="Arial" w:cs="Arial" w:eastAsia="Arial" w:hAnsi="Arial"/>
                <w:sz w:val="13"/>
                <w:szCs w:val="13"/>
                <w:color w:val="auto"/>
                <w:w w:val="92"/>
              </w:rPr>
              <w:t>5,705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5,797</w:t>
            </w:r>
          </w:p>
        </w:tc>
        <w:tc>
          <w:tcPr>
            <w:tcW w:w="0" w:type="dxa"/>
            <w:vAlign w:val="bottom"/>
          </w:tcPr>
          <w:p>
            <w:pPr>
              <w:spacing w:after="0"/>
              <w:rPr>
                <w:sz w:val="1"/>
                <w:szCs w:val="1"/>
                <w:color w:val="auto"/>
              </w:rPr>
            </w:pPr>
          </w:p>
        </w:tc>
      </w:tr>
      <w:tr>
        <w:trPr>
          <w:trHeight w:val="176"/>
        </w:trPr>
        <w:tc>
          <w:tcPr>
            <w:tcW w:w="8640" w:type="dxa"/>
            <w:vAlign w:val="bottom"/>
            <w:gridSpan w:val="3"/>
          </w:tcPr>
          <w:p>
            <w:pPr>
              <w:ind w:left="240"/>
              <w:spacing w:after="0"/>
              <w:rPr>
                <w:sz w:val="20"/>
                <w:szCs w:val="20"/>
                <w:color w:val="auto"/>
              </w:rPr>
            </w:pPr>
            <w:r>
              <w:rPr>
                <w:rFonts w:ascii="Arial" w:cs="Arial" w:eastAsia="Arial" w:hAnsi="Arial"/>
                <w:sz w:val="13"/>
                <w:szCs w:val="13"/>
                <w:color w:val="auto"/>
              </w:rPr>
              <w:t>Deferred revenue</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3"/>
          </w:tcPr>
          <w:p>
            <w:pPr>
              <w:jc w:val="right"/>
              <w:ind w:right="17"/>
              <w:spacing w:after="0"/>
              <w:rPr>
                <w:sz w:val="20"/>
                <w:szCs w:val="20"/>
                <w:color w:val="auto"/>
              </w:rPr>
            </w:pPr>
            <w:r>
              <w:rPr>
                <w:rFonts w:ascii="Arial" w:cs="Arial" w:eastAsia="Arial" w:hAnsi="Arial"/>
                <w:sz w:val="13"/>
                <w:szCs w:val="13"/>
                <w:color w:val="auto"/>
              </w:rPr>
              <w:t>53,720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52,403</w:t>
            </w:r>
          </w:p>
        </w:tc>
        <w:tc>
          <w:tcPr>
            <w:tcW w:w="0" w:type="dxa"/>
            <w:vAlign w:val="bottom"/>
          </w:tcPr>
          <w:p>
            <w:pPr>
              <w:spacing w:after="0"/>
              <w:rPr>
                <w:sz w:val="1"/>
                <w:szCs w:val="1"/>
                <w:color w:val="auto"/>
              </w:rPr>
            </w:pPr>
          </w:p>
        </w:tc>
      </w:tr>
      <w:tr>
        <w:trPr>
          <w:trHeight w:val="175"/>
        </w:trPr>
        <w:tc>
          <w:tcPr>
            <w:tcW w:w="8640" w:type="dxa"/>
            <w:vAlign w:val="bottom"/>
            <w:gridSpan w:val="3"/>
          </w:tcPr>
          <w:p>
            <w:pPr>
              <w:ind w:left="240"/>
              <w:spacing w:after="0"/>
              <w:rPr>
                <w:sz w:val="20"/>
                <w:szCs w:val="20"/>
                <w:color w:val="auto"/>
              </w:rPr>
            </w:pPr>
            <w:r>
              <w:rPr>
                <w:rFonts w:ascii="Arial" w:cs="Arial" w:eastAsia="Arial" w:hAnsi="Arial"/>
                <w:sz w:val="13"/>
                <w:szCs w:val="13"/>
                <w:color w:val="auto"/>
              </w:rPr>
              <w:t>Current portion of long-term debt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3"/>
          </w:tcPr>
          <w:p>
            <w:pPr>
              <w:jc w:val="right"/>
              <w:ind w:right="17"/>
              <w:spacing w:after="0"/>
              <w:rPr>
                <w:sz w:val="20"/>
                <w:szCs w:val="20"/>
                <w:color w:val="auto"/>
              </w:rPr>
            </w:pPr>
            <w:r>
              <w:rPr>
                <w:rFonts w:ascii="Arial" w:cs="Arial" w:eastAsia="Arial" w:hAnsi="Arial"/>
                <w:sz w:val="13"/>
                <w:szCs w:val="13"/>
                <w:color w:val="auto"/>
              </w:rPr>
              <w:t>39,500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75,000</w:t>
            </w:r>
          </w:p>
        </w:tc>
        <w:tc>
          <w:tcPr>
            <w:tcW w:w="0" w:type="dxa"/>
            <w:vAlign w:val="bottom"/>
          </w:tcPr>
          <w:p>
            <w:pPr>
              <w:spacing w:after="0"/>
              <w:rPr>
                <w:sz w:val="1"/>
                <w:szCs w:val="1"/>
                <w:color w:val="auto"/>
              </w:rPr>
            </w:pPr>
          </w:p>
        </w:tc>
      </w:tr>
      <w:tr>
        <w:trPr>
          <w:trHeight w:val="183"/>
        </w:trPr>
        <w:tc>
          <w:tcPr>
            <w:tcW w:w="8640" w:type="dxa"/>
            <w:vAlign w:val="bottom"/>
            <w:gridSpan w:val="3"/>
          </w:tcPr>
          <w:p>
            <w:pPr>
              <w:ind w:left="240"/>
              <w:spacing w:after="0"/>
              <w:rPr>
                <w:sz w:val="20"/>
                <w:szCs w:val="20"/>
                <w:color w:val="auto"/>
              </w:rPr>
            </w:pPr>
            <w:r>
              <w:rPr>
                <w:rFonts w:ascii="Arial" w:cs="Arial" w:eastAsia="Arial" w:hAnsi="Arial"/>
                <w:sz w:val="13"/>
                <w:szCs w:val="13"/>
                <w:color w:val="auto"/>
              </w:rPr>
              <w:t>Other current liabilities</w:t>
            </w:r>
          </w:p>
        </w:tc>
        <w:tc>
          <w:tcPr>
            <w:tcW w:w="160" w:type="dxa"/>
            <w:vAlign w:val="bottom"/>
          </w:tcPr>
          <w:p>
            <w:pPr>
              <w:spacing w:after="0"/>
              <w:rPr>
                <w:sz w:val="15"/>
                <w:szCs w:val="15"/>
                <w:color w:val="auto"/>
              </w:rPr>
            </w:pPr>
          </w:p>
        </w:tc>
        <w:tc>
          <w:tcPr>
            <w:tcW w:w="180" w:type="dxa"/>
            <w:vAlign w:val="bottom"/>
            <w:tcBorders>
              <w:bottom w:val="single" w:sz="8" w:color="B6B6B6"/>
            </w:tcBorders>
          </w:tcPr>
          <w:p>
            <w:pPr>
              <w:spacing w:after="0"/>
              <w:rPr>
                <w:sz w:val="15"/>
                <w:szCs w:val="15"/>
                <w:color w:val="auto"/>
              </w:rPr>
            </w:pPr>
          </w:p>
        </w:tc>
        <w:tc>
          <w:tcPr>
            <w:tcW w:w="600" w:type="dxa"/>
            <w:vAlign w:val="bottom"/>
            <w:tcBorders>
              <w:bottom w:val="single" w:sz="8" w:color="B6B6B6"/>
            </w:tcBorders>
          </w:tcPr>
          <w:p>
            <w:pPr>
              <w:spacing w:after="0"/>
              <w:rPr>
                <w:sz w:val="15"/>
                <w:szCs w:val="15"/>
                <w:color w:val="auto"/>
              </w:rPr>
            </w:pPr>
          </w:p>
        </w:tc>
        <w:tc>
          <w:tcPr>
            <w:tcW w:w="400" w:type="dxa"/>
            <w:vAlign w:val="bottom"/>
            <w:tcBorders>
              <w:bottom w:val="single" w:sz="8" w:color="B6B6B6"/>
            </w:tcBorders>
            <w:gridSpan w:val="2"/>
          </w:tcPr>
          <w:p>
            <w:pPr>
              <w:jc w:val="right"/>
              <w:ind w:right="17"/>
              <w:spacing w:after="0"/>
              <w:rPr>
                <w:sz w:val="20"/>
                <w:szCs w:val="20"/>
                <w:color w:val="auto"/>
              </w:rPr>
            </w:pPr>
            <w:r>
              <w:rPr>
                <w:rFonts w:ascii="Arial" w:cs="Arial" w:eastAsia="Arial" w:hAnsi="Arial"/>
                <w:sz w:val="13"/>
                <w:szCs w:val="13"/>
                <w:color w:val="auto"/>
                <w:w w:val="92"/>
              </w:rPr>
              <w:t>4,419</w:t>
            </w:r>
          </w:p>
        </w:tc>
        <w:tc>
          <w:tcPr>
            <w:tcW w:w="80" w:type="dxa"/>
            <w:vAlign w:val="bottom"/>
          </w:tcPr>
          <w:p>
            <w:pPr>
              <w:spacing w:after="0"/>
              <w:rPr>
                <w:sz w:val="15"/>
                <w:szCs w:val="15"/>
                <w:color w:val="auto"/>
              </w:rPr>
            </w:pPr>
          </w:p>
        </w:tc>
        <w:tc>
          <w:tcPr>
            <w:tcW w:w="220" w:type="dxa"/>
            <w:vAlign w:val="bottom"/>
            <w:tcBorders>
              <w:bottom w:val="single" w:sz="8" w:color="B6B6B6"/>
            </w:tcBorders>
          </w:tcPr>
          <w:p>
            <w:pPr>
              <w:spacing w:after="0"/>
              <w:rPr>
                <w:sz w:val="15"/>
                <w:szCs w:val="15"/>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5,589</w:t>
            </w:r>
          </w:p>
        </w:tc>
        <w:tc>
          <w:tcPr>
            <w:tcW w:w="0" w:type="dxa"/>
            <w:vAlign w:val="bottom"/>
          </w:tcPr>
          <w:p>
            <w:pPr>
              <w:spacing w:after="0"/>
              <w:rPr>
                <w:sz w:val="1"/>
                <w:szCs w:val="1"/>
                <w:color w:val="auto"/>
              </w:rPr>
            </w:pPr>
          </w:p>
        </w:tc>
      </w:tr>
      <w:tr>
        <w:trPr>
          <w:trHeight w:val="169"/>
        </w:trPr>
        <w:tc>
          <w:tcPr>
            <w:tcW w:w="8640" w:type="dxa"/>
            <w:vAlign w:val="bottom"/>
            <w:gridSpan w:val="3"/>
          </w:tcPr>
          <w:p>
            <w:pPr>
              <w:ind w:left="20"/>
              <w:spacing w:after="0"/>
              <w:rPr>
                <w:sz w:val="20"/>
                <w:szCs w:val="20"/>
                <w:color w:val="auto"/>
              </w:rPr>
            </w:pPr>
            <w:r>
              <w:rPr>
                <w:rFonts w:ascii="Arial" w:cs="Arial" w:eastAsia="Arial" w:hAnsi="Arial"/>
                <w:sz w:val="13"/>
                <w:szCs w:val="13"/>
                <w:color w:val="auto"/>
              </w:rPr>
              <w:t>Total current liabilities</w:t>
            </w:r>
          </w:p>
        </w:tc>
        <w:tc>
          <w:tcPr>
            <w:tcW w:w="160" w:type="dxa"/>
            <w:vAlign w:val="bottom"/>
          </w:tcPr>
          <w:p>
            <w:pPr>
              <w:spacing w:after="0"/>
              <w:rPr>
                <w:sz w:val="14"/>
                <w:szCs w:val="14"/>
                <w:color w:val="auto"/>
              </w:rPr>
            </w:pPr>
          </w:p>
        </w:tc>
        <w:tc>
          <w:tcPr>
            <w:tcW w:w="180" w:type="dxa"/>
            <w:vAlign w:val="bottom"/>
            <w:tcBorders>
              <w:bottom w:val="single" w:sz="8" w:color="B6B6B6"/>
            </w:tcBorders>
          </w:tcPr>
          <w:p>
            <w:pPr>
              <w:spacing w:after="0"/>
              <w:rPr>
                <w:sz w:val="14"/>
                <w:szCs w:val="14"/>
                <w:color w:val="auto"/>
              </w:rPr>
            </w:pPr>
          </w:p>
        </w:tc>
        <w:tc>
          <w:tcPr>
            <w:tcW w:w="1000" w:type="dxa"/>
            <w:vAlign w:val="bottom"/>
            <w:tcBorders>
              <w:bottom w:val="single" w:sz="8" w:color="B6B6B6"/>
            </w:tcBorders>
            <w:gridSpan w:val="3"/>
          </w:tcPr>
          <w:p>
            <w:pPr>
              <w:jc w:val="right"/>
              <w:ind w:right="17"/>
              <w:spacing w:after="0"/>
              <w:rPr>
                <w:sz w:val="20"/>
                <w:szCs w:val="20"/>
                <w:color w:val="auto"/>
              </w:rPr>
            </w:pPr>
            <w:r>
              <w:rPr>
                <w:rFonts w:ascii="Arial" w:cs="Arial" w:eastAsia="Arial" w:hAnsi="Arial"/>
                <w:sz w:val="13"/>
                <w:szCs w:val="13"/>
                <w:color w:val="auto"/>
              </w:rPr>
              <w:t>338,052</w:t>
            </w:r>
          </w:p>
        </w:tc>
        <w:tc>
          <w:tcPr>
            <w:tcW w:w="80" w:type="dxa"/>
            <w:vAlign w:val="bottom"/>
          </w:tcPr>
          <w:p>
            <w:pPr>
              <w:spacing w:after="0"/>
              <w:rPr>
                <w:sz w:val="14"/>
                <w:szCs w:val="14"/>
                <w:color w:val="auto"/>
              </w:rPr>
            </w:pPr>
          </w:p>
        </w:tc>
        <w:tc>
          <w:tcPr>
            <w:tcW w:w="220" w:type="dxa"/>
            <w:vAlign w:val="bottom"/>
            <w:tcBorders>
              <w:bottom w:val="single" w:sz="8" w:color="B6B6B6"/>
            </w:tcBorders>
          </w:tcPr>
          <w:p>
            <w:pPr>
              <w:spacing w:after="0"/>
              <w:rPr>
                <w:sz w:val="14"/>
                <w:szCs w:val="14"/>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370,013</w:t>
            </w:r>
          </w:p>
        </w:tc>
        <w:tc>
          <w:tcPr>
            <w:tcW w:w="0" w:type="dxa"/>
            <w:vAlign w:val="bottom"/>
          </w:tcPr>
          <w:p>
            <w:pPr>
              <w:spacing w:after="0"/>
              <w:rPr>
                <w:sz w:val="1"/>
                <w:szCs w:val="1"/>
                <w:color w:val="auto"/>
              </w:rPr>
            </w:pPr>
          </w:p>
        </w:tc>
      </w:tr>
      <w:tr>
        <w:trPr>
          <w:trHeight w:val="148"/>
        </w:trPr>
        <w:tc>
          <w:tcPr>
            <w:tcW w:w="8640" w:type="dxa"/>
            <w:vAlign w:val="bottom"/>
            <w:gridSpan w:val="3"/>
          </w:tcPr>
          <w:p>
            <w:pPr>
              <w:ind w:left="20"/>
              <w:spacing w:after="0" w:line="148" w:lineRule="exact"/>
              <w:rPr>
                <w:sz w:val="20"/>
                <w:szCs w:val="20"/>
                <w:color w:val="auto"/>
              </w:rPr>
            </w:pPr>
            <w:r>
              <w:rPr>
                <w:rFonts w:ascii="Arial" w:cs="Arial" w:eastAsia="Arial" w:hAnsi="Arial"/>
                <w:sz w:val="13"/>
                <w:szCs w:val="13"/>
                <w:i w:val="1"/>
                <w:iCs w:val="1"/>
                <w:color w:val="auto"/>
              </w:rPr>
              <w:t>Non-current liabilities: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640" w:type="dxa"/>
            <w:vAlign w:val="bottom"/>
            <w:gridSpan w:val="3"/>
          </w:tcPr>
          <w:p>
            <w:pPr>
              <w:ind w:left="240"/>
              <w:spacing w:after="0"/>
              <w:rPr>
                <w:sz w:val="20"/>
                <w:szCs w:val="20"/>
                <w:color w:val="auto"/>
              </w:rPr>
            </w:pPr>
            <w:r>
              <w:rPr>
                <w:rFonts w:ascii="Arial" w:cs="Arial" w:eastAsia="Arial" w:hAnsi="Arial"/>
                <w:sz w:val="13"/>
                <w:szCs w:val="13"/>
                <w:color w:val="auto"/>
              </w:rPr>
              <w:t>Commissions payable - non-current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3"/>
          </w:tcPr>
          <w:p>
            <w:pPr>
              <w:jc w:val="right"/>
              <w:ind w:right="17"/>
              <w:spacing w:after="0"/>
              <w:rPr>
                <w:sz w:val="20"/>
                <w:szCs w:val="20"/>
                <w:color w:val="auto"/>
              </w:rPr>
            </w:pPr>
            <w:r>
              <w:rPr>
                <w:rFonts w:ascii="Arial" w:cs="Arial" w:eastAsia="Arial" w:hAnsi="Arial"/>
                <w:sz w:val="13"/>
                <w:szCs w:val="13"/>
                <w:color w:val="auto"/>
              </w:rPr>
              <w:t>177,656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203,255</w:t>
            </w:r>
          </w:p>
        </w:tc>
        <w:tc>
          <w:tcPr>
            <w:tcW w:w="0" w:type="dxa"/>
            <w:vAlign w:val="bottom"/>
          </w:tcPr>
          <w:p>
            <w:pPr>
              <w:spacing w:after="0"/>
              <w:rPr>
                <w:sz w:val="1"/>
                <w:szCs w:val="1"/>
                <w:color w:val="auto"/>
              </w:rPr>
            </w:pPr>
          </w:p>
        </w:tc>
      </w:tr>
      <w:tr>
        <w:trPr>
          <w:trHeight w:val="175"/>
        </w:trPr>
        <w:tc>
          <w:tcPr>
            <w:tcW w:w="8640" w:type="dxa"/>
            <w:vAlign w:val="bottom"/>
            <w:gridSpan w:val="3"/>
          </w:tcPr>
          <w:p>
            <w:pPr>
              <w:ind w:left="240"/>
              <w:spacing w:after="0"/>
              <w:rPr>
                <w:sz w:val="20"/>
                <w:szCs w:val="20"/>
                <w:color w:val="auto"/>
              </w:rPr>
            </w:pPr>
            <w:r>
              <w:rPr>
                <w:rFonts w:ascii="Arial" w:cs="Arial" w:eastAsia="Arial" w:hAnsi="Arial"/>
                <w:sz w:val="13"/>
                <w:szCs w:val="13"/>
                <w:color w:val="auto"/>
              </w:rPr>
              <w:t>Long-term operating lease liability</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3"/>
          </w:tcPr>
          <w:p>
            <w:pPr>
              <w:jc w:val="right"/>
              <w:ind w:right="17"/>
              <w:spacing w:after="0"/>
              <w:rPr>
                <w:sz w:val="20"/>
                <w:szCs w:val="20"/>
                <w:color w:val="auto"/>
              </w:rPr>
            </w:pPr>
            <w:r>
              <w:rPr>
                <w:rFonts w:ascii="Arial" w:cs="Arial" w:eastAsia="Arial" w:hAnsi="Arial"/>
                <w:sz w:val="13"/>
                <w:szCs w:val="13"/>
                <w:color w:val="auto"/>
              </w:rPr>
              <w:t>34,900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39,547</w:t>
            </w:r>
          </w:p>
        </w:tc>
        <w:tc>
          <w:tcPr>
            <w:tcW w:w="0" w:type="dxa"/>
            <w:vAlign w:val="bottom"/>
          </w:tcPr>
          <w:p>
            <w:pPr>
              <w:spacing w:after="0"/>
              <w:rPr>
                <w:sz w:val="1"/>
                <w:szCs w:val="1"/>
                <w:color w:val="auto"/>
              </w:rPr>
            </w:pPr>
          </w:p>
        </w:tc>
      </w:tr>
      <w:tr>
        <w:trPr>
          <w:trHeight w:val="176"/>
        </w:trPr>
        <w:tc>
          <w:tcPr>
            <w:tcW w:w="8640" w:type="dxa"/>
            <w:vAlign w:val="bottom"/>
            <w:gridSpan w:val="3"/>
          </w:tcPr>
          <w:p>
            <w:pPr>
              <w:ind w:left="240"/>
              <w:spacing w:after="0"/>
              <w:rPr>
                <w:sz w:val="20"/>
                <w:szCs w:val="20"/>
                <w:color w:val="auto"/>
              </w:rPr>
            </w:pPr>
            <w:r>
              <w:rPr>
                <w:rFonts w:ascii="Arial" w:cs="Arial" w:eastAsia="Arial" w:hAnsi="Arial"/>
                <w:sz w:val="13"/>
                <w:szCs w:val="13"/>
                <w:color w:val="auto"/>
              </w:rPr>
              <w:t>Long-term debt, net of current portion</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3"/>
          </w:tcPr>
          <w:p>
            <w:pPr>
              <w:jc w:val="right"/>
              <w:ind w:right="17"/>
              <w:spacing w:after="0"/>
              <w:rPr>
                <w:sz w:val="20"/>
                <w:szCs w:val="20"/>
                <w:color w:val="auto"/>
              </w:rPr>
            </w:pPr>
            <w:r>
              <w:rPr>
                <w:rFonts w:ascii="Arial" w:cs="Arial" w:eastAsia="Arial" w:hAnsi="Arial"/>
                <w:sz w:val="13"/>
                <w:szCs w:val="13"/>
                <w:color w:val="auto"/>
              </w:rPr>
              <w:t>447,865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422,705</w:t>
            </w:r>
          </w:p>
        </w:tc>
        <w:tc>
          <w:tcPr>
            <w:tcW w:w="0" w:type="dxa"/>
            <w:vAlign w:val="bottom"/>
          </w:tcPr>
          <w:p>
            <w:pPr>
              <w:spacing w:after="0"/>
              <w:rPr>
                <w:sz w:val="1"/>
                <w:szCs w:val="1"/>
                <w:color w:val="auto"/>
              </w:rPr>
            </w:pPr>
          </w:p>
        </w:tc>
      </w:tr>
      <w:tr>
        <w:trPr>
          <w:trHeight w:val="175"/>
        </w:trPr>
        <w:tc>
          <w:tcPr>
            <w:tcW w:w="8640" w:type="dxa"/>
            <w:vAlign w:val="bottom"/>
            <w:gridSpan w:val="3"/>
          </w:tcPr>
          <w:p>
            <w:pPr>
              <w:ind w:left="240"/>
              <w:spacing w:after="0"/>
              <w:rPr>
                <w:sz w:val="20"/>
                <w:szCs w:val="20"/>
                <w:color w:val="auto"/>
              </w:rPr>
            </w:pPr>
            <w:r>
              <w:rPr>
                <w:rFonts w:ascii="Arial" w:cs="Arial" w:eastAsia="Arial" w:hAnsi="Arial"/>
                <w:sz w:val="13"/>
                <w:szCs w:val="13"/>
                <w:color w:val="auto"/>
              </w:rPr>
              <w:t>Deferred tax liability</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3"/>
          </w:tcPr>
          <w:p>
            <w:pPr>
              <w:jc w:val="right"/>
              <w:ind w:right="17"/>
              <w:spacing w:after="0"/>
              <w:rPr>
                <w:sz w:val="20"/>
                <w:szCs w:val="20"/>
                <w:color w:val="auto"/>
              </w:rPr>
            </w:pPr>
            <w:r>
              <w:rPr>
                <w:rFonts w:ascii="Arial" w:cs="Arial" w:eastAsia="Arial" w:hAnsi="Arial"/>
                <w:sz w:val="13"/>
                <w:szCs w:val="13"/>
                <w:color w:val="auto"/>
              </w:rPr>
              <w:t>22,350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640" w:type="dxa"/>
            <w:vAlign w:val="bottom"/>
            <w:gridSpan w:val="3"/>
          </w:tcPr>
          <w:p>
            <w:pPr>
              <w:ind w:left="240"/>
              <w:spacing w:after="0"/>
              <w:rPr>
                <w:sz w:val="20"/>
                <w:szCs w:val="20"/>
                <w:color w:val="auto"/>
              </w:rPr>
            </w:pPr>
            <w:r>
              <w:rPr>
                <w:rFonts w:ascii="Arial" w:cs="Arial" w:eastAsia="Arial" w:hAnsi="Arial"/>
                <w:sz w:val="13"/>
                <w:szCs w:val="13"/>
                <w:color w:val="auto"/>
              </w:rPr>
              <w:t>Other non-current liabilities</w:t>
            </w:r>
          </w:p>
        </w:tc>
        <w:tc>
          <w:tcPr>
            <w:tcW w:w="160" w:type="dxa"/>
            <w:vAlign w:val="bottom"/>
          </w:tcPr>
          <w:p>
            <w:pPr>
              <w:spacing w:after="0"/>
              <w:rPr>
                <w:sz w:val="15"/>
                <w:szCs w:val="15"/>
                <w:color w:val="auto"/>
              </w:rPr>
            </w:pPr>
          </w:p>
        </w:tc>
        <w:tc>
          <w:tcPr>
            <w:tcW w:w="180" w:type="dxa"/>
            <w:vAlign w:val="bottom"/>
            <w:tcBorders>
              <w:bottom w:val="single" w:sz="8" w:color="B6B6B6"/>
            </w:tcBorders>
          </w:tcPr>
          <w:p>
            <w:pPr>
              <w:spacing w:after="0"/>
              <w:rPr>
                <w:sz w:val="15"/>
                <w:szCs w:val="15"/>
                <w:color w:val="auto"/>
              </w:rPr>
            </w:pPr>
          </w:p>
        </w:tc>
        <w:tc>
          <w:tcPr>
            <w:tcW w:w="600" w:type="dxa"/>
            <w:vAlign w:val="bottom"/>
            <w:tcBorders>
              <w:bottom w:val="single" w:sz="8" w:color="B6B6B6"/>
            </w:tcBorders>
          </w:tcPr>
          <w:p>
            <w:pPr>
              <w:spacing w:after="0"/>
              <w:rPr>
                <w:sz w:val="15"/>
                <w:szCs w:val="15"/>
                <w:color w:val="auto"/>
              </w:rPr>
            </w:pPr>
          </w:p>
        </w:tc>
        <w:tc>
          <w:tcPr>
            <w:tcW w:w="400" w:type="dxa"/>
            <w:vAlign w:val="bottom"/>
            <w:tcBorders>
              <w:bottom w:val="single" w:sz="8" w:color="B6B6B6"/>
            </w:tcBorders>
            <w:gridSpan w:val="2"/>
          </w:tcPr>
          <w:p>
            <w:pPr>
              <w:jc w:val="right"/>
              <w:ind w:right="17"/>
              <w:spacing w:after="0"/>
              <w:rPr>
                <w:sz w:val="20"/>
                <w:szCs w:val="20"/>
                <w:color w:val="auto"/>
              </w:rPr>
            </w:pPr>
            <w:r>
              <w:rPr>
                <w:rFonts w:ascii="Arial" w:cs="Arial" w:eastAsia="Arial" w:hAnsi="Arial"/>
                <w:sz w:val="13"/>
                <w:szCs w:val="13"/>
                <w:color w:val="auto"/>
                <w:w w:val="92"/>
              </w:rPr>
              <w:t>9,200</w:t>
            </w:r>
          </w:p>
        </w:tc>
        <w:tc>
          <w:tcPr>
            <w:tcW w:w="80" w:type="dxa"/>
            <w:vAlign w:val="bottom"/>
          </w:tcPr>
          <w:p>
            <w:pPr>
              <w:spacing w:after="0"/>
              <w:rPr>
                <w:sz w:val="15"/>
                <w:szCs w:val="15"/>
                <w:color w:val="auto"/>
              </w:rPr>
            </w:pPr>
          </w:p>
        </w:tc>
        <w:tc>
          <w:tcPr>
            <w:tcW w:w="220" w:type="dxa"/>
            <w:vAlign w:val="bottom"/>
            <w:tcBorders>
              <w:bottom w:val="single" w:sz="8" w:color="B6B6B6"/>
            </w:tcBorders>
          </w:tcPr>
          <w:p>
            <w:pPr>
              <w:spacing w:after="0"/>
              <w:rPr>
                <w:sz w:val="15"/>
                <w:szCs w:val="15"/>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9,095</w:t>
            </w:r>
          </w:p>
        </w:tc>
        <w:tc>
          <w:tcPr>
            <w:tcW w:w="0" w:type="dxa"/>
            <w:vAlign w:val="bottom"/>
          </w:tcPr>
          <w:p>
            <w:pPr>
              <w:spacing w:after="0"/>
              <w:rPr>
                <w:sz w:val="1"/>
                <w:szCs w:val="1"/>
                <w:color w:val="auto"/>
              </w:rPr>
            </w:pPr>
          </w:p>
        </w:tc>
      </w:tr>
      <w:tr>
        <w:trPr>
          <w:trHeight w:val="169"/>
        </w:trPr>
        <w:tc>
          <w:tcPr>
            <w:tcW w:w="8640" w:type="dxa"/>
            <w:vAlign w:val="bottom"/>
            <w:gridSpan w:val="3"/>
          </w:tcPr>
          <w:p>
            <w:pPr>
              <w:ind w:left="20"/>
              <w:spacing w:after="0"/>
              <w:rPr>
                <w:sz w:val="20"/>
                <w:szCs w:val="20"/>
                <w:color w:val="auto"/>
              </w:rPr>
            </w:pPr>
            <w:r>
              <w:rPr>
                <w:rFonts w:ascii="Arial" w:cs="Arial" w:eastAsia="Arial" w:hAnsi="Arial"/>
                <w:sz w:val="13"/>
                <w:szCs w:val="13"/>
                <w:color w:val="auto"/>
              </w:rPr>
              <w:t>Total non-current liabilities</w:t>
            </w:r>
          </w:p>
        </w:tc>
        <w:tc>
          <w:tcPr>
            <w:tcW w:w="160" w:type="dxa"/>
            <w:vAlign w:val="bottom"/>
          </w:tcPr>
          <w:p>
            <w:pPr>
              <w:spacing w:after="0"/>
              <w:rPr>
                <w:sz w:val="14"/>
                <w:szCs w:val="14"/>
                <w:color w:val="auto"/>
              </w:rPr>
            </w:pPr>
          </w:p>
        </w:tc>
        <w:tc>
          <w:tcPr>
            <w:tcW w:w="180" w:type="dxa"/>
            <w:vAlign w:val="bottom"/>
            <w:tcBorders>
              <w:bottom w:val="single" w:sz="8" w:color="B6B6B6"/>
            </w:tcBorders>
          </w:tcPr>
          <w:p>
            <w:pPr>
              <w:spacing w:after="0"/>
              <w:rPr>
                <w:sz w:val="14"/>
                <w:szCs w:val="14"/>
                <w:color w:val="auto"/>
              </w:rPr>
            </w:pPr>
          </w:p>
        </w:tc>
        <w:tc>
          <w:tcPr>
            <w:tcW w:w="1000" w:type="dxa"/>
            <w:vAlign w:val="bottom"/>
            <w:tcBorders>
              <w:bottom w:val="single" w:sz="8" w:color="B6B6B6"/>
            </w:tcBorders>
            <w:gridSpan w:val="3"/>
          </w:tcPr>
          <w:p>
            <w:pPr>
              <w:jc w:val="right"/>
              <w:ind w:right="17"/>
              <w:spacing w:after="0"/>
              <w:rPr>
                <w:sz w:val="20"/>
                <w:szCs w:val="20"/>
                <w:color w:val="auto"/>
              </w:rPr>
            </w:pPr>
            <w:r>
              <w:rPr>
                <w:rFonts w:ascii="Arial" w:cs="Arial" w:eastAsia="Arial" w:hAnsi="Arial"/>
                <w:sz w:val="13"/>
                <w:szCs w:val="13"/>
                <w:color w:val="auto"/>
              </w:rPr>
              <w:t>691,971</w:t>
            </w:r>
          </w:p>
        </w:tc>
        <w:tc>
          <w:tcPr>
            <w:tcW w:w="80" w:type="dxa"/>
            <w:vAlign w:val="bottom"/>
          </w:tcPr>
          <w:p>
            <w:pPr>
              <w:spacing w:after="0"/>
              <w:rPr>
                <w:sz w:val="14"/>
                <w:szCs w:val="14"/>
                <w:color w:val="auto"/>
              </w:rPr>
            </w:pPr>
          </w:p>
        </w:tc>
        <w:tc>
          <w:tcPr>
            <w:tcW w:w="220" w:type="dxa"/>
            <w:vAlign w:val="bottom"/>
            <w:tcBorders>
              <w:bottom w:val="single" w:sz="8" w:color="B6B6B6"/>
            </w:tcBorders>
          </w:tcPr>
          <w:p>
            <w:pPr>
              <w:spacing w:after="0"/>
              <w:rPr>
                <w:sz w:val="14"/>
                <w:szCs w:val="14"/>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674,602</w:t>
            </w:r>
          </w:p>
        </w:tc>
        <w:tc>
          <w:tcPr>
            <w:tcW w:w="0" w:type="dxa"/>
            <w:vAlign w:val="bottom"/>
          </w:tcPr>
          <w:p>
            <w:pPr>
              <w:spacing w:after="0"/>
              <w:rPr>
                <w:sz w:val="1"/>
                <w:szCs w:val="1"/>
                <w:color w:val="auto"/>
              </w:rPr>
            </w:pPr>
          </w:p>
        </w:tc>
      </w:tr>
      <w:tr>
        <w:trPr>
          <w:trHeight w:val="148"/>
        </w:trPr>
        <w:tc>
          <w:tcPr>
            <w:tcW w:w="864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Commitments and Contingencies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640" w:type="dxa"/>
            <w:vAlign w:val="bottom"/>
            <w:gridSpan w:val="3"/>
          </w:tcPr>
          <w:p>
            <w:pPr>
              <w:ind w:left="20"/>
              <w:spacing w:after="0" w:line="144" w:lineRule="exact"/>
              <w:rPr>
                <w:sz w:val="20"/>
                <w:szCs w:val="20"/>
                <w:color w:val="auto"/>
              </w:rPr>
            </w:pPr>
            <w:r>
              <w:rPr>
                <w:rFonts w:ascii="Arial" w:cs="Arial" w:eastAsia="Arial" w:hAnsi="Arial"/>
                <w:sz w:val="13"/>
                <w:szCs w:val="13"/>
                <w:color w:val="auto"/>
                <w:w w:val="97"/>
              </w:rPr>
              <w:t>Series A redeemable convertible preferred stock — $0.0001 par value; 50 shares authorized; 50 shares issued and outstanding as of both December 31,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8640" w:type="dxa"/>
            <w:vAlign w:val="bottom"/>
            <w:gridSpan w:val="3"/>
          </w:tcPr>
          <w:p>
            <w:pPr>
              <w:ind w:left="20"/>
              <w:spacing w:after="0"/>
              <w:rPr>
                <w:sz w:val="20"/>
                <w:szCs w:val="20"/>
                <w:color w:val="auto"/>
              </w:rPr>
            </w:pPr>
            <w:r>
              <w:rPr>
                <w:rFonts w:ascii="Arial" w:cs="Arial" w:eastAsia="Arial" w:hAnsi="Arial"/>
                <w:sz w:val="13"/>
                <w:szCs w:val="13"/>
                <w:color w:val="auto"/>
                <w:w w:val="98"/>
              </w:rPr>
              <w:t>2024 and December 31, 2023. Liquidation preference of $54.6 million and $50.9 million as of December 31, 2024 and December 31, 2023, respectively.</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jc w:val="right"/>
              <w:ind w:right="17"/>
              <w:spacing w:after="0"/>
              <w:rPr>
                <w:sz w:val="20"/>
                <w:szCs w:val="20"/>
                <w:color w:val="auto"/>
              </w:rPr>
            </w:pPr>
            <w:r>
              <w:rPr>
                <w:rFonts w:ascii="Arial" w:cs="Arial" w:eastAsia="Arial" w:hAnsi="Arial"/>
                <w:sz w:val="13"/>
                <w:szCs w:val="13"/>
                <w:color w:val="auto"/>
              </w:rPr>
              <w:t>52,962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49,302</w:t>
            </w:r>
          </w:p>
        </w:tc>
        <w:tc>
          <w:tcPr>
            <w:tcW w:w="0" w:type="dxa"/>
            <w:vAlign w:val="bottom"/>
          </w:tcPr>
          <w:p>
            <w:pPr>
              <w:spacing w:after="0"/>
              <w:rPr>
                <w:sz w:val="1"/>
                <w:szCs w:val="1"/>
                <w:color w:val="auto"/>
              </w:rPr>
            </w:pPr>
          </w:p>
        </w:tc>
      </w:tr>
      <w:tr>
        <w:trPr>
          <w:trHeight w:val="181"/>
        </w:trPr>
        <w:tc>
          <w:tcPr>
            <w:tcW w:w="8640" w:type="dxa"/>
            <w:vAlign w:val="bottom"/>
            <w:gridSpan w:val="3"/>
          </w:tcPr>
          <w:p>
            <w:pPr>
              <w:ind w:left="20"/>
              <w:spacing w:after="0"/>
              <w:rPr>
                <w:sz w:val="20"/>
                <w:szCs w:val="20"/>
                <w:color w:val="auto"/>
              </w:rPr>
            </w:pPr>
            <w:r>
              <w:rPr>
                <w:rFonts w:ascii="Arial" w:cs="Arial" w:eastAsia="Arial" w:hAnsi="Arial"/>
                <w:sz w:val="13"/>
                <w:szCs w:val="13"/>
                <w:b w:val="1"/>
                <w:bCs w:val="1"/>
                <w:i w:val="1"/>
                <w:iCs w:val="1"/>
                <w:color w:val="auto"/>
              </w:rPr>
              <w:t>Stockholders’ equity:</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8980" w:type="dxa"/>
            <w:vAlign w:val="bottom"/>
            <w:gridSpan w:val="5"/>
          </w:tcPr>
          <w:p>
            <w:pPr>
              <w:ind w:left="240"/>
              <w:spacing w:after="0" w:line="139" w:lineRule="exact"/>
              <w:rPr>
                <w:sz w:val="20"/>
                <w:szCs w:val="20"/>
                <w:color w:val="auto"/>
              </w:rPr>
            </w:pPr>
            <w:r>
              <w:rPr>
                <w:rFonts w:ascii="Arial" w:cs="Arial" w:eastAsia="Arial" w:hAnsi="Arial"/>
                <w:sz w:val="13"/>
                <w:szCs w:val="13"/>
                <w:color w:val="auto"/>
              </w:rPr>
              <w:t>Class A common stock – $0.0001 par value; 1,100,000 shares authorized; 10,614 and 9,823 shares issued; 10,292 and 9,651 shares outstanding as of</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8640" w:type="dxa"/>
            <w:vAlign w:val="bottom"/>
            <w:gridSpan w:val="3"/>
          </w:tcPr>
          <w:p>
            <w:pPr>
              <w:ind w:left="240"/>
              <w:spacing w:after="0"/>
              <w:rPr>
                <w:sz w:val="20"/>
                <w:szCs w:val="20"/>
                <w:color w:val="auto"/>
              </w:rPr>
            </w:pPr>
            <w:r>
              <w:rPr>
                <w:rFonts w:ascii="Arial" w:cs="Arial" w:eastAsia="Arial" w:hAnsi="Arial"/>
                <w:sz w:val="13"/>
                <w:szCs w:val="13"/>
                <w:color w:val="auto"/>
              </w:rPr>
              <w:t>December 31, 2024 and December 31, 2023, respectively.</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gridSpan w:val="2"/>
          </w:tcPr>
          <w:p>
            <w:pPr>
              <w:jc w:val="right"/>
              <w:ind w:right="17"/>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5"/>
        </w:trPr>
        <w:tc>
          <w:tcPr>
            <w:tcW w:w="8640" w:type="dxa"/>
            <w:vAlign w:val="bottom"/>
            <w:gridSpan w:val="3"/>
          </w:tcPr>
          <w:p>
            <w:pPr>
              <w:ind w:left="240"/>
              <w:spacing w:after="0" w:line="144" w:lineRule="exact"/>
              <w:rPr>
                <w:sz w:val="20"/>
                <w:szCs w:val="20"/>
                <w:color w:val="auto"/>
              </w:rPr>
            </w:pPr>
            <w:r>
              <w:rPr>
                <w:rFonts w:ascii="Arial" w:cs="Arial" w:eastAsia="Arial" w:hAnsi="Arial"/>
                <w:sz w:val="13"/>
                <w:szCs w:val="13"/>
                <w:color w:val="auto"/>
                <w:w w:val="97"/>
              </w:rPr>
              <w:t>Class B common stock – $0.0001 par value; 615,917 shares authorized; 12,711 and 12,814 shares issued and outstanding as of December 31, 2024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8640" w:type="dxa"/>
            <w:vAlign w:val="bottom"/>
            <w:gridSpan w:val="3"/>
          </w:tcPr>
          <w:p>
            <w:pPr>
              <w:ind w:left="240"/>
              <w:spacing w:after="0"/>
              <w:rPr>
                <w:sz w:val="20"/>
                <w:szCs w:val="20"/>
                <w:color w:val="auto"/>
              </w:rPr>
            </w:pPr>
            <w:r>
              <w:rPr>
                <w:rFonts w:ascii="Arial" w:cs="Arial" w:eastAsia="Arial" w:hAnsi="Arial"/>
                <w:sz w:val="13"/>
                <w:szCs w:val="13"/>
                <w:color w:val="auto"/>
              </w:rPr>
              <w:t>and December 31, 2023, respectively.</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gridSpan w:val="2"/>
          </w:tcPr>
          <w:p>
            <w:pPr>
              <w:jc w:val="right"/>
              <w:ind w:right="17"/>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5"/>
        </w:trPr>
        <w:tc>
          <w:tcPr>
            <w:tcW w:w="8640" w:type="dxa"/>
            <w:vAlign w:val="bottom"/>
            <w:gridSpan w:val="3"/>
          </w:tcPr>
          <w:p>
            <w:pPr>
              <w:ind w:left="240"/>
              <w:spacing w:after="0" w:line="144" w:lineRule="exact"/>
              <w:rPr>
                <w:sz w:val="20"/>
                <w:szCs w:val="20"/>
                <w:color w:val="auto"/>
              </w:rPr>
            </w:pPr>
            <w:r>
              <w:rPr>
                <w:rFonts w:ascii="Arial" w:cs="Arial" w:eastAsia="Arial" w:hAnsi="Arial"/>
                <w:sz w:val="13"/>
                <w:szCs w:val="13"/>
                <w:color w:val="auto"/>
                <w:w w:val="96"/>
              </w:rPr>
              <w:t>Preferred stock – $0.0001 par value; 20,000 shares authorized (including 50 shares of Series A redeemable convertible preferred stock authorized and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640" w:type="dxa"/>
            <w:vAlign w:val="bottom"/>
            <w:gridSpan w:val="3"/>
          </w:tcPr>
          <w:p>
            <w:pPr>
              <w:ind w:left="240"/>
              <w:spacing w:after="0" w:line="126" w:lineRule="exact"/>
              <w:rPr>
                <w:sz w:val="20"/>
                <w:szCs w:val="20"/>
                <w:color w:val="auto"/>
              </w:rPr>
            </w:pPr>
            <w:r>
              <w:rPr>
                <w:rFonts w:ascii="Arial" w:cs="Arial" w:eastAsia="Arial" w:hAnsi="Arial"/>
                <w:sz w:val="13"/>
                <w:szCs w:val="13"/>
                <w:color w:val="auto"/>
                <w:w w:val="97"/>
              </w:rPr>
              <w:t>200 shares of Series A-1 convertible preferred stock authorized); 50 shares issued and outstanding as of both December 31, 2024 and December 31,</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7940" w:type="dxa"/>
            <w:vAlign w:val="bottom"/>
          </w:tcPr>
          <w:p>
            <w:pPr>
              <w:ind w:left="240"/>
              <w:spacing w:after="0"/>
              <w:rPr>
                <w:sz w:val="20"/>
                <w:szCs w:val="20"/>
                <w:color w:val="auto"/>
              </w:rPr>
            </w:pPr>
            <w:r>
              <w:rPr>
                <w:rFonts w:ascii="Arial" w:cs="Arial" w:eastAsia="Arial" w:hAnsi="Arial"/>
                <w:sz w:val="13"/>
                <w:szCs w:val="13"/>
                <w:color w:val="auto"/>
              </w:rPr>
              <w:t>2023.</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8640" w:type="dxa"/>
            <w:vAlign w:val="bottom"/>
            <w:gridSpan w:val="3"/>
          </w:tcPr>
          <w:p>
            <w:pPr>
              <w:ind w:left="240"/>
              <w:spacing w:after="0" w:line="140" w:lineRule="exact"/>
              <w:rPr>
                <w:sz w:val="20"/>
                <w:szCs w:val="20"/>
                <w:color w:val="auto"/>
              </w:rPr>
            </w:pPr>
            <w:r>
              <w:rPr>
                <w:rFonts w:ascii="Arial" w:cs="Arial" w:eastAsia="Arial" w:hAnsi="Arial"/>
                <w:sz w:val="13"/>
                <w:szCs w:val="13"/>
                <w:color w:val="auto"/>
                <w:w w:val="98"/>
              </w:rPr>
              <w:t>Series A-1 convertible preferred stock— $0.0001 par value; 200 shares authorized; no shares issued and outstanding as of both December 31, 2024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8640" w:type="dxa"/>
            <w:vAlign w:val="bottom"/>
            <w:gridSpan w:val="3"/>
          </w:tcPr>
          <w:p>
            <w:pPr>
              <w:ind w:left="240"/>
              <w:spacing w:after="0"/>
              <w:rPr>
                <w:sz w:val="20"/>
                <w:szCs w:val="20"/>
                <w:color w:val="auto"/>
              </w:rPr>
            </w:pPr>
            <w:r>
              <w:rPr>
                <w:rFonts w:ascii="Arial" w:cs="Arial" w:eastAsia="Arial" w:hAnsi="Arial"/>
                <w:sz w:val="13"/>
                <w:szCs w:val="13"/>
                <w:color w:val="auto"/>
              </w:rPr>
              <w:t>and December 31, 2023.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640" w:type="dxa"/>
            <w:vAlign w:val="bottom"/>
            <w:gridSpan w:val="3"/>
          </w:tcPr>
          <w:p>
            <w:pPr>
              <w:ind w:left="240"/>
              <w:spacing w:after="0"/>
              <w:rPr>
                <w:sz w:val="20"/>
                <w:szCs w:val="20"/>
                <w:color w:val="auto"/>
              </w:rPr>
            </w:pPr>
            <w:r>
              <w:rPr>
                <w:rFonts w:ascii="Arial" w:cs="Arial" w:eastAsia="Arial" w:hAnsi="Arial"/>
                <w:sz w:val="13"/>
                <w:szCs w:val="13"/>
                <w:color w:val="auto"/>
              </w:rPr>
              <w:t>Treasury stock – at cost; 322 and 173 shares of Class A common stock as of December 31, 2024 and December 31, 2023, respectively.</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3"/>
          </w:tcPr>
          <w:p>
            <w:pPr>
              <w:jc w:val="right"/>
              <w:spacing w:after="0"/>
              <w:rPr>
                <w:sz w:val="20"/>
                <w:szCs w:val="20"/>
                <w:color w:val="auto"/>
              </w:rPr>
            </w:pPr>
            <w:r>
              <w:rPr>
                <w:rFonts w:ascii="Arial" w:cs="Arial" w:eastAsia="Arial" w:hAnsi="Arial"/>
                <w:sz w:val="13"/>
                <w:szCs w:val="13"/>
                <w:color w:val="auto"/>
              </w:rPr>
              <w:t>(4,150)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(2,640)</w:t>
            </w:r>
          </w:p>
        </w:tc>
        <w:tc>
          <w:tcPr>
            <w:tcW w:w="0" w:type="dxa"/>
            <w:vAlign w:val="bottom"/>
          </w:tcPr>
          <w:p>
            <w:pPr>
              <w:spacing w:after="0"/>
              <w:rPr>
                <w:sz w:val="1"/>
                <w:szCs w:val="1"/>
                <w:color w:val="auto"/>
              </w:rPr>
            </w:pPr>
          </w:p>
        </w:tc>
      </w:tr>
      <w:tr>
        <w:trPr>
          <w:trHeight w:val="175"/>
        </w:trPr>
        <w:tc>
          <w:tcPr>
            <w:tcW w:w="8640" w:type="dxa"/>
            <w:vAlign w:val="bottom"/>
            <w:gridSpan w:val="3"/>
          </w:tcPr>
          <w:p>
            <w:pPr>
              <w:ind w:left="240"/>
              <w:spacing w:after="0"/>
              <w:rPr>
                <w:sz w:val="20"/>
                <w:szCs w:val="20"/>
                <w:color w:val="auto"/>
              </w:rPr>
            </w:pPr>
            <w:r>
              <w:rPr>
                <w:rFonts w:ascii="Arial" w:cs="Arial" w:eastAsia="Arial" w:hAnsi="Arial"/>
                <w:sz w:val="13"/>
                <w:szCs w:val="13"/>
                <w:color w:val="auto"/>
              </w:rPr>
              <w:t>Additional paid-in capital</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3"/>
          </w:tcPr>
          <w:p>
            <w:pPr>
              <w:jc w:val="right"/>
              <w:ind w:right="17"/>
              <w:spacing w:after="0"/>
              <w:rPr>
                <w:sz w:val="20"/>
                <w:szCs w:val="20"/>
                <w:color w:val="auto"/>
              </w:rPr>
            </w:pPr>
            <w:r>
              <w:rPr>
                <w:rFonts w:ascii="Arial" w:cs="Arial" w:eastAsia="Arial" w:hAnsi="Arial"/>
                <w:sz w:val="13"/>
                <w:szCs w:val="13"/>
                <w:color w:val="auto"/>
              </w:rPr>
              <w:t>669,346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654,059</w:t>
            </w:r>
          </w:p>
        </w:tc>
        <w:tc>
          <w:tcPr>
            <w:tcW w:w="0" w:type="dxa"/>
            <w:vAlign w:val="bottom"/>
          </w:tcPr>
          <w:p>
            <w:pPr>
              <w:spacing w:after="0"/>
              <w:rPr>
                <w:sz w:val="1"/>
                <w:szCs w:val="1"/>
                <w:color w:val="auto"/>
              </w:rPr>
            </w:pPr>
          </w:p>
        </w:tc>
      </w:tr>
      <w:tr>
        <w:trPr>
          <w:trHeight w:val="176"/>
        </w:trPr>
        <w:tc>
          <w:tcPr>
            <w:tcW w:w="8640" w:type="dxa"/>
            <w:vAlign w:val="bottom"/>
            <w:gridSpan w:val="3"/>
          </w:tcPr>
          <w:p>
            <w:pPr>
              <w:ind w:left="240"/>
              <w:spacing w:after="0"/>
              <w:rPr>
                <w:sz w:val="20"/>
                <w:szCs w:val="20"/>
                <w:color w:val="auto"/>
              </w:rPr>
            </w:pPr>
            <w:r>
              <w:rPr>
                <w:rFonts w:ascii="Arial" w:cs="Arial" w:eastAsia="Arial" w:hAnsi="Arial"/>
                <w:sz w:val="13"/>
                <w:szCs w:val="13"/>
                <w:color w:val="auto"/>
              </w:rPr>
              <w:t>Accumulated other comprehensive income (loss)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(151)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183"/>
        </w:trPr>
        <w:tc>
          <w:tcPr>
            <w:tcW w:w="8640" w:type="dxa"/>
            <w:vAlign w:val="bottom"/>
            <w:gridSpan w:val="3"/>
          </w:tcPr>
          <w:p>
            <w:pPr>
              <w:ind w:left="240"/>
              <w:spacing w:after="0"/>
              <w:rPr>
                <w:sz w:val="20"/>
                <w:szCs w:val="20"/>
                <w:color w:val="auto"/>
              </w:rPr>
            </w:pPr>
            <w:r>
              <w:rPr>
                <w:rFonts w:ascii="Arial" w:cs="Arial" w:eastAsia="Arial" w:hAnsi="Arial"/>
                <w:sz w:val="13"/>
                <w:szCs w:val="13"/>
                <w:color w:val="auto"/>
              </w:rPr>
              <w:t>Accumulated deficit</w:t>
            </w:r>
          </w:p>
        </w:tc>
        <w:tc>
          <w:tcPr>
            <w:tcW w:w="160" w:type="dxa"/>
            <w:vAlign w:val="bottom"/>
          </w:tcPr>
          <w:p>
            <w:pPr>
              <w:spacing w:after="0"/>
              <w:rPr>
                <w:sz w:val="15"/>
                <w:szCs w:val="15"/>
                <w:color w:val="auto"/>
              </w:rPr>
            </w:pPr>
          </w:p>
        </w:tc>
        <w:tc>
          <w:tcPr>
            <w:tcW w:w="180" w:type="dxa"/>
            <w:vAlign w:val="bottom"/>
            <w:tcBorders>
              <w:bottom w:val="single" w:sz="8" w:color="B6B6B6"/>
            </w:tcBorders>
          </w:tcPr>
          <w:p>
            <w:pPr>
              <w:spacing w:after="0"/>
              <w:rPr>
                <w:sz w:val="15"/>
                <w:szCs w:val="15"/>
                <w:color w:val="auto"/>
              </w:rPr>
            </w:pPr>
          </w:p>
        </w:tc>
        <w:tc>
          <w:tcPr>
            <w:tcW w:w="1000" w:type="dxa"/>
            <w:vAlign w:val="bottom"/>
            <w:tcBorders>
              <w:bottom w:val="single" w:sz="8" w:color="B6B6B6"/>
            </w:tcBorders>
            <w:gridSpan w:val="3"/>
          </w:tcPr>
          <w:p>
            <w:pPr>
              <w:jc w:val="right"/>
              <w:spacing w:after="0"/>
              <w:rPr>
                <w:sz w:val="20"/>
                <w:szCs w:val="20"/>
                <w:color w:val="auto"/>
              </w:rPr>
            </w:pPr>
            <w:r>
              <w:rPr>
                <w:rFonts w:ascii="Arial" w:cs="Arial" w:eastAsia="Arial" w:hAnsi="Arial"/>
                <w:sz w:val="13"/>
                <w:szCs w:val="13"/>
                <w:color w:val="auto"/>
              </w:rPr>
              <w:t>(423,208)</w:t>
            </w:r>
          </w:p>
        </w:tc>
        <w:tc>
          <w:tcPr>
            <w:tcW w:w="80" w:type="dxa"/>
            <w:vAlign w:val="bottom"/>
          </w:tcPr>
          <w:p>
            <w:pPr>
              <w:spacing w:after="0"/>
              <w:rPr>
                <w:sz w:val="15"/>
                <w:szCs w:val="15"/>
                <w:color w:val="auto"/>
              </w:rPr>
            </w:pPr>
          </w:p>
        </w:tc>
        <w:tc>
          <w:tcPr>
            <w:tcW w:w="220" w:type="dxa"/>
            <w:vAlign w:val="bottom"/>
            <w:tcBorders>
              <w:bottom w:val="single" w:sz="8" w:color="B6B6B6"/>
            </w:tcBorders>
          </w:tcPr>
          <w:p>
            <w:pPr>
              <w:spacing w:after="0"/>
              <w:rPr>
                <w:sz w:val="15"/>
                <w:szCs w:val="15"/>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(420,280)</w:t>
            </w:r>
          </w:p>
        </w:tc>
        <w:tc>
          <w:tcPr>
            <w:tcW w:w="0" w:type="dxa"/>
            <w:vAlign w:val="bottom"/>
          </w:tcPr>
          <w:p>
            <w:pPr>
              <w:spacing w:after="0"/>
              <w:rPr>
                <w:sz w:val="1"/>
                <w:szCs w:val="1"/>
                <w:color w:val="auto"/>
              </w:rPr>
            </w:pPr>
          </w:p>
        </w:tc>
      </w:tr>
      <w:tr>
        <w:trPr>
          <w:trHeight w:val="169"/>
        </w:trPr>
        <w:tc>
          <w:tcPr>
            <w:tcW w:w="8640" w:type="dxa"/>
            <w:vAlign w:val="bottom"/>
            <w:gridSpan w:val="3"/>
          </w:tcPr>
          <w:p>
            <w:pPr>
              <w:ind w:left="20"/>
              <w:spacing w:after="0"/>
              <w:rPr>
                <w:sz w:val="20"/>
                <w:szCs w:val="20"/>
                <w:color w:val="auto"/>
              </w:rPr>
            </w:pPr>
            <w:r>
              <w:rPr>
                <w:rFonts w:ascii="Arial" w:cs="Arial" w:eastAsia="Arial" w:hAnsi="Arial"/>
                <w:sz w:val="13"/>
                <w:szCs w:val="13"/>
                <w:color w:val="auto"/>
              </w:rPr>
              <w:t>Total stockholders’ equity attributable to GoHealth, Inc.</w:t>
            </w:r>
          </w:p>
        </w:tc>
        <w:tc>
          <w:tcPr>
            <w:tcW w:w="160" w:type="dxa"/>
            <w:vAlign w:val="bottom"/>
          </w:tcPr>
          <w:p>
            <w:pPr>
              <w:spacing w:after="0"/>
              <w:rPr>
                <w:sz w:val="14"/>
                <w:szCs w:val="14"/>
                <w:color w:val="auto"/>
              </w:rPr>
            </w:pPr>
          </w:p>
        </w:tc>
        <w:tc>
          <w:tcPr>
            <w:tcW w:w="180" w:type="dxa"/>
            <w:vAlign w:val="bottom"/>
            <w:tcBorders>
              <w:bottom w:val="single" w:sz="8" w:color="B6B6B6"/>
            </w:tcBorders>
          </w:tcPr>
          <w:p>
            <w:pPr>
              <w:spacing w:after="0"/>
              <w:rPr>
                <w:sz w:val="14"/>
                <w:szCs w:val="14"/>
                <w:color w:val="auto"/>
              </w:rPr>
            </w:pPr>
          </w:p>
        </w:tc>
        <w:tc>
          <w:tcPr>
            <w:tcW w:w="1000" w:type="dxa"/>
            <w:vAlign w:val="bottom"/>
            <w:tcBorders>
              <w:bottom w:val="single" w:sz="8" w:color="B6B6B6"/>
            </w:tcBorders>
            <w:gridSpan w:val="3"/>
          </w:tcPr>
          <w:p>
            <w:pPr>
              <w:jc w:val="right"/>
              <w:ind w:right="17"/>
              <w:spacing w:after="0"/>
              <w:rPr>
                <w:sz w:val="20"/>
                <w:szCs w:val="20"/>
                <w:color w:val="auto"/>
              </w:rPr>
            </w:pPr>
            <w:r>
              <w:rPr>
                <w:rFonts w:ascii="Arial" w:cs="Arial" w:eastAsia="Arial" w:hAnsi="Arial"/>
                <w:sz w:val="13"/>
                <w:szCs w:val="13"/>
                <w:color w:val="auto"/>
              </w:rPr>
              <w:t>241,839</w:t>
            </w:r>
          </w:p>
        </w:tc>
        <w:tc>
          <w:tcPr>
            <w:tcW w:w="80" w:type="dxa"/>
            <w:vAlign w:val="bottom"/>
          </w:tcPr>
          <w:p>
            <w:pPr>
              <w:spacing w:after="0"/>
              <w:rPr>
                <w:sz w:val="14"/>
                <w:szCs w:val="14"/>
                <w:color w:val="auto"/>
              </w:rPr>
            </w:pPr>
          </w:p>
        </w:tc>
        <w:tc>
          <w:tcPr>
            <w:tcW w:w="220" w:type="dxa"/>
            <w:vAlign w:val="bottom"/>
            <w:tcBorders>
              <w:bottom w:val="single" w:sz="8" w:color="B6B6B6"/>
            </w:tcBorders>
          </w:tcPr>
          <w:p>
            <w:pPr>
              <w:spacing w:after="0"/>
              <w:rPr>
                <w:sz w:val="14"/>
                <w:szCs w:val="14"/>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231,014</w:t>
            </w:r>
          </w:p>
        </w:tc>
        <w:tc>
          <w:tcPr>
            <w:tcW w:w="0" w:type="dxa"/>
            <w:vAlign w:val="bottom"/>
          </w:tcPr>
          <w:p>
            <w:pPr>
              <w:spacing w:after="0"/>
              <w:rPr>
                <w:sz w:val="1"/>
                <w:szCs w:val="1"/>
                <w:color w:val="auto"/>
              </w:rPr>
            </w:pPr>
          </w:p>
        </w:tc>
      </w:tr>
      <w:tr>
        <w:trPr>
          <w:trHeight w:val="169"/>
        </w:trPr>
        <w:tc>
          <w:tcPr>
            <w:tcW w:w="8640" w:type="dxa"/>
            <w:vAlign w:val="bottom"/>
            <w:gridSpan w:val="3"/>
          </w:tcPr>
          <w:p>
            <w:pPr>
              <w:ind w:left="20"/>
              <w:spacing w:after="0"/>
              <w:rPr>
                <w:sz w:val="20"/>
                <w:szCs w:val="20"/>
                <w:color w:val="auto"/>
              </w:rPr>
            </w:pPr>
            <w:r>
              <w:rPr>
                <w:rFonts w:ascii="Arial" w:cs="Arial" w:eastAsia="Arial" w:hAnsi="Arial"/>
                <w:sz w:val="13"/>
                <w:szCs w:val="13"/>
                <w:color w:val="auto"/>
              </w:rPr>
              <w:t>Non-controlling interests</w:t>
            </w:r>
          </w:p>
        </w:tc>
        <w:tc>
          <w:tcPr>
            <w:tcW w:w="160" w:type="dxa"/>
            <w:vAlign w:val="bottom"/>
          </w:tcPr>
          <w:p>
            <w:pPr>
              <w:spacing w:after="0"/>
              <w:rPr>
                <w:sz w:val="14"/>
                <w:szCs w:val="14"/>
                <w:color w:val="auto"/>
              </w:rPr>
            </w:pPr>
          </w:p>
        </w:tc>
        <w:tc>
          <w:tcPr>
            <w:tcW w:w="180" w:type="dxa"/>
            <w:vAlign w:val="bottom"/>
            <w:tcBorders>
              <w:bottom w:val="single" w:sz="8" w:color="B6B6B6"/>
            </w:tcBorders>
          </w:tcPr>
          <w:p>
            <w:pPr>
              <w:spacing w:after="0"/>
              <w:rPr>
                <w:sz w:val="14"/>
                <w:szCs w:val="14"/>
                <w:color w:val="auto"/>
              </w:rPr>
            </w:pPr>
          </w:p>
        </w:tc>
        <w:tc>
          <w:tcPr>
            <w:tcW w:w="1000" w:type="dxa"/>
            <w:vAlign w:val="bottom"/>
            <w:tcBorders>
              <w:bottom w:val="single" w:sz="8" w:color="B6B6B6"/>
            </w:tcBorders>
            <w:gridSpan w:val="3"/>
          </w:tcPr>
          <w:p>
            <w:pPr>
              <w:jc w:val="right"/>
              <w:ind w:right="17"/>
              <w:spacing w:after="0"/>
              <w:rPr>
                <w:sz w:val="20"/>
                <w:szCs w:val="20"/>
                <w:color w:val="auto"/>
              </w:rPr>
            </w:pPr>
            <w:r>
              <w:rPr>
                <w:rFonts w:ascii="Arial" w:cs="Arial" w:eastAsia="Arial" w:hAnsi="Arial"/>
                <w:sz w:val="13"/>
                <w:szCs w:val="13"/>
                <w:color w:val="auto"/>
              </w:rPr>
              <w:t>163,599</w:t>
            </w:r>
          </w:p>
        </w:tc>
        <w:tc>
          <w:tcPr>
            <w:tcW w:w="80" w:type="dxa"/>
            <w:vAlign w:val="bottom"/>
          </w:tcPr>
          <w:p>
            <w:pPr>
              <w:spacing w:after="0"/>
              <w:rPr>
                <w:sz w:val="14"/>
                <w:szCs w:val="14"/>
                <w:color w:val="auto"/>
              </w:rPr>
            </w:pPr>
          </w:p>
        </w:tc>
        <w:tc>
          <w:tcPr>
            <w:tcW w:w="220" w:type="dxa"/>
            <w:vAlign w:val="bottom"/>
            <w:tcBorders>
              <w:bottom w:val="single" w:sz="8" w:color="B6B6B6"/>
            </w:tcBorders>
          </w:tcPr>
          <w:p>
            <w:pPr>
              <w:spacing w:after="0"/>
              <w:rPr>
                <w:sz w:val="14"/>
                <w:szCs w:val="14"/>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174,639</w:t>
            </w:r>
          </w:p>
        </w:tc>
        <w:tc>
          <w:tcPr>
            <w:tcW w:w="0" w:type="dxa"/>
            <w:vAlign w:val="bottom"/>
          </w:tcPr>
          <w:p>
            <w:pPr>
              <w:spacing w:after="0"/>
              <w:rPr>
                <w:sz w:val="1"/>
                <w:szCs w:val="1"/>
                <w:color w:val="auto"/>
              </w:rPr>
            </w:pPr>
          </w:p>
        </w:tc>
      </w:tr>
      <w:tr>
        <w:trPr>
          <w:trHeight w:val="171"/>
        </w:trPr>
        <w:tc>
          <w:tcPr>
            <w:tcW w:w="8640" w:type="dxa"/>
            <w:vAlign w:val="bottom"/>
            <w:gridSpan w:val="3"/>
          </w:tcPr>
          <w:p>
            <w:pPr>
              <w:ind w:left="20"/>
              <w:spacing w:after="0"/>
              <w:rPr>
                <w:sz w:val="20"/>
                <w:szCs w:val="20"/>
                <w:color w:val="auto"/>
              </w:rPr>
            </w:pPr>
            <w:r>
              <w:rPr>
                <w:rFonts w:ascii="Arial" w:cs="Arial" w:eastAsia="Arial" w:hAnsi="Arial"/>
                <w:sz w:val="13"/>
                <w:szCs w:val="13"/>
                <w:color w:val="auto"/>
              </w:rPr>
              <w:t>Total stockholders’ equity</w:t>
            </w:r>
          </w:p>
        </w:tc>
        <w:tc>
          <w:tcPr>
            <w:tcW w:w="160" w:type="dxa"/>
            <w:vAlign w:val="bottom"/>
          </w:tcPr>
          <w:p>
            <w:pPr>
              <w:spacing w:after="0"/>
              <w:rPr>
                <w:sz w:val="14"/>
                <w:szCs w:val="14"/>
                <w:color w:val="auto"/>
              </w:rPr>
            </w:pPr>
          </w:p>
        </w:tc>
        <w:tc>
          <w:tcPr>
            <w:tcW w:w="180" w:type="dxa"/>
            <w:vAlign w:val="bottom"/>
            <w:tcBorders>
              <w:bottom w:val="single" w:sz="8" w:color="B6B6B6"/>
            </w:tcBorders>
          </w:tcPr>
          <w:p>
            <w:pPr>
              <w:spacing w:after="0"/>
              <w:rPr>
                <w:sz w:val="14"/>
                <w:szCs w:val="14"/>
                <w:color w:val="auto"/>
              </w:rPr>
            </w:pPr>
          </w:p>
        </w:tc>
        <w:tc>
          <w:tcPr>
            <w:tcW w:w="1000" w:type="dxa"/>
            <w:vAlign w:val="bottom"/>
            <w:tcBorders>
              <w:bottom w:val="single" w:sz="8" w:color="B6B6B6"/>
            </w:tcBorders>
            <w:gridSpan w:val="3"/>
          </w:tcPr>
          <w:p>
            <w:pPr>
              <w:jc w:val="right"/>
              <w:ind w:right="17"/>
              <w:spacing w:after="0"/>
              <w:rPr>
                <w:sz w:val="20"/>
                <w:szCs w:val="20"/>
                <w:color w:val="auto"/>
              </w:rPr>
            </w:pPr>
            <w:r>
              <w:rPr>
                <w:rFonts w:ascii="Arial" w:cs="Arial" w:eastAsia="Arial" w:hAnsi="Arial"/>
                <w:sz w:val="13"/>
                <w:szCs w:val="13"/>
                <w:color w:val="auto"/>
              </w:rPr>
              <w:t>405,438</w:t>
            </w:r>
          </w:p>
        </w:tc>
        <w:tc>
          <w:tcPr>
            <w:tcW w:w="80" w:type="dxa"/>
            <w:vAlign w:val="bottom"/>
          </w:tcPr>
          <w:p>
            <w:pPr>
              <w:spacing w:after="0"/>
              <w:rPr>
                <w:sz w:val="14"/>
                <w:szCs w:val="14"/>
                <w:color w:val="auto"/>
              </w:rPr>
            </w:pPr>
          </w:p>
        </w:tc>
        <w:tc>
          <w:tcPr>
            <w:tcW w:w="220" w:type="dxa"/>
            <w:vAlign w:val="bottom"/>
            <w:tcBorders>
              <w:bottom w:val="single" w:sz="8" w:color="B6B6B6"/>
            </w:tcBorders>
          </w:tcPr>
          <w:p>
            <w:pPr>
              <w:spacing w:after="0"/>
              <w:rPr>
                <w:sz w:val="14"/>
                <w:szCs w:val="14"/>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405,653</w:t>
            </w:r>
          </w:p>
        </w:tc>
        <w:tc>
          <w:tcPr>
            <w:tcW w:w="0" w:type="dxa"/>
            <w:vAlign w:val="bottom"/>
          </w:tcPr>
          <w:p>
            <w:pPr>
              <w:spacing w:after="0"/>
              <w:rPr>
                <w:sz w:val="1"/>
                <w:szCs w:val="1"/>
                <w:color w:val="auto"/>
              </w:rPr>
            </w:pPr>
          </w:p>
        </w:tc>
      </w:tr>
      <w:tr>
        <w:trPr>
          <w:trHeight w:val="174"/>
        </w:trPr>
        <w:tc>
          <w:tcPr>
            <w:tcW w:w="8640" w:type="dxa"/>
            <w:vAlign w:val="bottom"/>
            <w:gridSpan w:val="3"/>
          </w:tcPr>
          <w:p>
            <w:pPr>
              <w:ind w:left="20"/>
              <w:spacing w:after="0"/>
              <w:rPr>
                <w:sz w:val="20"/>
                <w:szCs w:val="20"/>
                <w:color w:val="auto"/>
              </w:rPr>
            </w:pPr>
            <w:r>
              <w:rPr>
                <w:rFonts w:ascii="Arial" w:cs="Arial" w:eastAsia="Arial" w:hAnsi="Arial"/>
                <w:sz w:val="13"/>
                <w:szCs w:val="13"/>
                <w:b w:val="1"/>
                <w:bCs w:val="1"/>
                <w:color w:val="auto"/>
              </w:rPr>
              <w:t>Total liabilities, redeemable convertible preferred stock and stockholders’ equity</w:t>
            </w:r>
          </w:p>
        </w:tc>
        <w:tc>
          <w:tcPr>
            <w:tcW w:w="160" w:type="dxa"/>
            <w:vAlign w:val="bottom"/>
          </w:tcPr>
          <w:p>
            <w:pPr>
              <w:spacing w:after="0"/>
              <w:rPr>
                <w:sz w:val="15"/>
                <w:szCs w:val="15"/>
                <w:color w:val="auto"/>
              </w:rPr>
            </w:pPr>
          </w:p>
        </w:tc>
        <w:tc>
          <w:tcPr>
            <w:tcW w:w="180" w:type="dxa"/>
            <w:vAlign w:val="bottom"/>
            <w:tcBorders>
              <w:bottom w:val="single" w:sz="8" w:color="B6B6B6"/>
            </w:tcBorders>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B6B6B6"/>
            </w:tcBorders>
            <w:gridSpan w:val="3"/>
          </w:tcPr>
          <w:p>
            <w:pPr>
              <w:jc w:val="right"/>
              <w:ind w:right="17"/>
              <w:spacing w:after="0"/>
              <w:rPr>
                <w:sz w:val="20"/>
                <w:szCs w:val="20"/>
                <w:color w:val="auto"/>
              </w:rPr>
            </w:pPr>
            <w:r>
              <w:rPr>
                <w:rFonts w:ascii="Arial" w:cs="Arial" w:eastAsia="Arial" w:hAnsi="Arial"/>
                <w:sz w:val="13"/>
                <w:szCs w:val="13"/>
                <w:b w:val="1"/>
                <w:bCs w:val="1"/>
                <w:color w:val="auto"/>
              </w:rPr>
              <w:t>1,488,423</w:t>
            </w:r>
          </w:p>
        </w:tc>
        <w:tc>
          <w:tcPr>
            <w:tcW w:w="80" w:type="dxa"/>
            <w:vAlign w:val="bottom"/>
          </w:tcPr>
          <w:p>
            <w:pPr>
              <w:spacing w:after="0"/>
              <w:rPr>
                <w:sz w:val="15"/>
                <w:szCs w:val="15"/>
                <w:color w:val="auto"/>
              </w:rPr>
            </w:pPr>
          </w:p>
        </w:tc>
        <w:tc>
          <w:tcPr>
            <w:tcW w:w="220" w:type="dxa"/>
            <w:vAlign w:val="bottom"/>
            <w:tcBorders>
              <w:bottom w:val="single" w:sz="8" w:color="B6B6B6"/>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3"/>
                <w:szCs w:val="13"/>
                <w:b w:val="1"/>
                <w:bCs w:val="1"/>
                <w:color w:val="auto"/>
              </w:rPr>
              <w:t>1,499,570</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Borders>
              <w:bottom w:val="single" w:sz="8" w:color="B6B6B6"/>
            </w:tcBorders>
          </w:tcPr>
          <w:p>
            <w:pPr>
              <w:spacing w:after="0" w:line="20" w:lineRule="exact"/>
              <w:rPr>
                <w:sz w:val="1"/>
                <w:szCs w:val="1"/>
                <w:color w:val="auto"/>
              </w:rPr>
            </w:pPr>
          </w:p>
        </w:tc>
        <w:tc>
          <w:tcPr>
            <w:tcW w:w="600" w:type="dxa"/>
            <w:vAlign w:val="bottom"/>
            <w:tcBorders>
              <w:bottom w:val="single" w:sz="8" w:color="B6B6B6"/>
            </w:tcBorders>
          </w:tcPr>
          <w:p>
            <w:pPr>
              <w:spacing w:after="0" w:line="20" w:lineRule="exact"/>
              <w:rPr>
                <w:sz w:val="1"/>
                <w:szCs w:val="1"/>
                <w:color w:val="auto"/>
              </w:rPr>
            </w:pPr>
          </w:p>
        </w:tc>
        <w:tc>
          <w:tcPr>
            <w:tcW w:w="100" w:type="dxa"/>
            <w:vAlign w:val="bottom"/>
            <w:tcBorders>
              <w:bottom w:val="single" w:sz="8" w:color="B6B6B6"/>
            </w:tcBorders>
          </w:tcPr>
          <w:p>
            <w:pPr>
              <w:spacing w:after="0" w:line="20" w:lineRule="exact"/>
              <w:rPr>
                <w:sz w:val="1"/>
                <w:szCs w:val="1"/>
                <w:color w:val="auto"/>
              </w:rPr>
            </w:pPr>
          </w:p>
        </w:tc>
        <w:tc>
          <w:tcPr>
            <w:tcW w:w="300" w:type="dxa"/>
            <w:vAlign w:val="bottom"/>
            <w:tcBorders>
              <w:bottom w:val="single" w:sz="8" w:color="B6B6B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B6B6B6"/>
            </w:tcBorders>
          </w:tcPr>
          <w:p>
            <w:pPr>
              <w:spacing w:after="0" w:line="20" w:lineRule="exact"/>
              <w:rPr>
                <w:sz w:val="1"/>
                <w:szCs w:val="1"/>
                <w:color w:val="auto"/>
              </w:rPr>
            </w:pPr>
          </w:p>
        </w:tc>
        <w:tc>
          <w:tcPr>
            <w:tcW w:w="96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7"/>
        </w:trPr>
        <w:tc>
          <w:tcPr>
            <w:tcW w:w="8980" w:type="dxa"/>
            <w:vAlign w:val="bottom"/>
            <w:gridSpan w:val="5"/>
          </w:tcPr>
          <w:p>
            <w:pPr>
              <w:spacing w:after="0"/>
              <w:rPr>
                <w:sz w:val="20"/>
                <w:szCs w:val="20"/>
                <w:color w:val="auto"/>
              </w:rPr>
            </w:pPr>
            <w:r>
              <w:rPr>
                <w:rFonts w:ascii="Arial" w:cs="Arial" w:eastAsia="Arial" w:hAnsi="Arial"/>
                <w:sz w:val="16"/>
                <w:szCs w:val="16"/>
                <w:color w:val="auto"/>
              </w:rPr>
              <w:t>The following table sets forth the net cash provided by (used in) operating activities for the periods presented (unaudited):</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7940" w:type="dxa"/>
            <w:vAlign w:val="bottom"/>
            <w:tcBorders>
              <w:bottom w:val="single" w:sz="8" w:color="929292"/>
            </w:tcBorders>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0" w:type="dxa"/>
            <w:vAlign w:val="bottom"/>
            <w:gridSpan w:val="8"/>
            <w:vMerge w:val="restart"/>
          </w:tcPr>
          <w:p>
            <w:pPr>
              <w:jc w:val="right"/>
              <w:ind w:right="557"/>
              <w:spacing w:after="0"/>
              <w:rPr>
                <w:sz w:val="20"/>
                <w:szCs w:val="20"/>
                <w:color w:val="auto"/>
              </w:rPr>
            </w:pPr>
            <w:r>
              <w:rPr>
                <w:rFonts w:ascii="Arial" w:cs="Arial" w:eastAsia="Arial" w:hAnsi="Arial"/>
                <w:sz w:val="14"/>
                <w:szCs w:val="14"/>
                <w:color w:val="auto"/>
              </w:rPr>
              <w:t>Twelve months ended Dec. 31,</w:t>
            </w:r>
          </w:p>
        </w:tc>
        <w:tc>
          <w:tcPr>
            <w:tcW w:w="0" w:type="dxa"/>
            <w:vAlign w:val="bottom"/>
          </w:tcPr>
          <w:p>
            <w:pPr>
              <w:spacing w:after="0"/>
              <w:rPr>
                <w:sz w:val="1"/>
                <w:szCs w:val="1"/>
                <w:color w:val="auto"/>
              </w:rPr>
            </w:pPr>
          </w:p>
        </w:tc>
      </w:tr>
      <w:tr>
        <w:trPr>
          <w:trHeight w:val="174"/>
        </w:trPr>
        <w:tc>
          <w:tcPr>
            <w:tcW w:w="7940" w:type="dxa"/>
            <w:vAlign w:val="bottom"/>
            <w:tcBorders>
              <w:left w:val="single" w:sz="8" w:color="929292"/>
              <w:right w:val="single" w:sz="8" w:color="929292"/>
            </w:tcBorders>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0" w:type="dxa"/>
            <w:vAlign w:val="bottom"/>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7940" w:type="dxa"/>
            <w:vAlign w:val="bottom"/>
            <w:tcBorders>
              <w:left w:val="single" w:sz="8" w:color="929292"/>
              <w:right w:val="single" w:sz="8" w:color="929292"/>
            </w:tcBorders>
          </w:tcPr>
          <w:p>
            <w:pPr>
              <w:ind w:left="2240"/>
              <w:spacing w:after="0"/>
              <w:rPr>
                <w:sz w:val="20"/>
                <w:szCs w:val="20"/>
                <w:color w:val="auto"/>
              </w:rPr>
            </w:pPr>
            <w:r>
              <w:rPr>
                <w:rFonts w:ascii="Arial" w:cs="Arial" w:eastAsia="Arial" w:hAnsi="Arial"/>
                <w:sz w:val="14"/>
                <w:szCs w:val="14"/>
                <w:b w:val="1"/>
                <w:bCs w:val="1"/>
                <w:color w:val="151D8E"/>
              </w:rPr>
              <w:t>Net cash provided by (used in) operating activities</w:t>
            </w:r>
          </w:p>
        </w:tc>
        <w:tc>
          <w:tcPr>
            <w:tcW w:w="80" w:type="dxa"/>
            <w:vAlign w:val="bottom"/>
          </w:tcPr>
          <w:p>
            <w:pPr>
              <w:spacing w:after="0"/>
              <w:rPr>
                <w:sz w:val="18"/>
                <w:szCs w:val="18"/>
                <w:color w:val="auto"/>
              </w:rPr>
            </w:pPr>
          </w:p>
        </w:tc>
        <w:tc>
          <w:tcPr>
            <w:tcW w:w="620" w:type="dxa"/>
            <w:vAlign w:val="bottom"/>
            <w:tcBorders>
              <w:bottom w:val="single" w:sz="8" w:color="B6B6B6"/>
            </w:tcBorders>
          </w:tcPr>
          <w:p>
            <w:pPr>
              <w:spacing w:after="0"/>
              <w:rPr>
                <w:sz w:val="18"/>
                <w:szCs w:val="18"/>
                <w:color w:val="auto"/>
              </w:rPr>
            </w:pPr>
          </w:p>
        </w:tc>
        <w:tc>
          <w:tcPr>
            <w:tcW w:w="340" w:type="dxa"/>
            <w:vAlign w:val="bottom"/>
            <w:tcBorders>
              <w:bottom w:val="single" w:sz="8" w:color="B6B6B6"/>
            </w:tcBorders>
            <w:gridSpan w:val="2"/>
          </w:tcPr>
          <w:p>
            <w:pPr>
              <w:jc w:val="right"/>
              <w:spacing w:after="0"/>
              <w:rPr>
                <w:sz w:val="20"/>
                <w:szCs w:val="20"/>
                <w:color w:val="auto"/>
              </w:rPr>
            </w:pPr>
            <w:r>
              <w:rPr>
                <w:rFonts w:ascii="Arial" w:cs="Arial" w:eastAsia="Arial" w:hAnsi="Arial"/>
                <w:sz w:val="14"/>
                <w:szCs w:val="14"/>
                <w:color w:val="auto"/>
                <w:w w:val="96"/>
              </w:rPr>
              <w:t>2024</w:t>
            </w:r>
          </w:p>
        </w:tc>
        <w:tc>
          <w:tcPr>
            <w:tcW w:w="600" w:type="dxa"/>
            <w:vAlign w:val="bottom"/>
            <w:tcBorders>
              <w:bottom w:val="single" w:sz="8" w:color="B6B6B6"/>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B6B6B6"/>
            </w:tcBorders>
          </w:tcPr>
          <w:p>
            <w:pPr>
              <w:spacing w:after="0"/>
              <w:rPr>
                <w:sz w:val="18"/>
                <w:szCs w:val="18"/>
                <w:color w:val="auto"/>
              </w:rPr>
            </w:pPr>
          </w:p>
        </w:tc>
        <w:tc>
          <w:tcPr>
            <w:tcW w:w="80" w:type="dxa"/>
            <w:vAlign w:val="bottom"/>
            <w:tcBorders>
              <w:bottom w:val="single" w:sz="8" w:color="B6B6B6"/>
            </w:tcBorders>
          </w:tcPr>
          <w:p>
            <w:pPr>
              <w:spacing w:after="0"/>
              <w:rPr>
                <w:sz w:val="18"/>
                <w:szCs w:val="18"/>
                <w:color w:val="auto"/>
              </w:rPr>
            </w:pPr>
          </w:p>
        </w:tc>
        <w:tc>
          <w:tcPr>
            <w:tcW w:w="220" w:type="dxa"/>
            <w:vAlign w:val="bottom"/>
            <w:tcBorders>
              <w:bottom w:val="single" w:sz="8" w:color="B6B6B6"/>
            </w:tcBorders>
          </w:tcPr>
          <w:p>
            <w:pPr>
              <w:spacing w:after="0"/>
              <w:rPr>
                <w:sz w:val="18"/>
                <w:szCs w:val="18"/>
                <w:color w:val="auto"/>
              </w:rPr>
            </w:pPr>
          </w:p>
        </w:tc>
        <w:tc>
          <w:tcPr>
            <w:tcW w:w="960" w:type="dxa"/>
            <w:vAlign w:val="bottom"/>
            <w:tcBorders>
              <w:bottom w:val="single" w:sz="8" w:color="B6B6B6"/>
            </w:tcBorders>
          </w:tcPr>
          <w:p>
            <w:pPr>
              <w:jc w:val="right"/>
              <w:ind w:right="557"/>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192"/>
        </w:trPr>
        <w:tc>
          <w:tcPr>
            <w:tcW w:w="7940" w:type="dxa"/>
            <w:vAlign w:val="bottom"/>
            <w:tcBorders>
              <w:left w:val="single" w:sz="8" w:color="929292"/>
              <w:bottom w:val="single" w:sz="8" w:color="929292"/>
              <w:right w:val="single" w:sz="8" w:color="929292"/>
            </w:tcBorders>
          </w:tcPr>
          <w:p>
            <w:pPr>
              <w:spacing w:after="0"/>
              <w:rPr>
                <w:sz w:val="16"/>
                <w:szCs w:val="16"/>
                <w:color w:val="auto"/>
              </w:rPr>
            </w:pPr>
          </w:p>
        </w:tc>
        <w:tc>
          <w:tcPr>
            <w:tcW w:w="70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(21,607)</w:t>
            </w:r>
          </w:p>
        </w:tc>
        <w:tc>
          <w:tcPr>
            <w:tcW w:w="400" w:type="dxa"/>
            <w:vAlign w:val="bottom"/>
            <w:gridSpan w:val="2"/>
          </w:tcPr>
          <w:p>
            <w:pPr>
              <w:jc w:val="right"/>
              <w:ind w:right="13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109,141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881" w:right="339" w:bottom="1440" w:gutter="0" w:footer="0" w:header="0"/>
        </w:sectPr>
      </w:pPr>
    </w:p>
    <w:bookmarkStart w:id="12" w:name="page13"/>
    <w:bookmarkEnd w:id="12"/>
    <w:p>
      <w:pPr>
        <w:ind w:right="540"/>
        <w:spacing w:after="0" w:line="268" w:lineRule="auto"/>
        <w:rPr>
          <w:sz w:val="20"/>
          <w:szCs w:val="20"/>
          <w:color w:val="auto"/>
        </w:rPr>
      </w:pPr>
      <w:r>
        <w:rPr>
          <w:rFonts w:ascii="Arial" w:cs="Arial" w:eastAsia="Arial" w:hAnsi="Arial"/>
          <w:sz w:val="16"/>
          <w:szCs w:val="16"/>
          <w:color w:val="auto"/>
        </w:rPr>
        <w:t>In addition to traditional financial metrics, we rely upon certain business and operating metrics to evaluate our business performance and facilitate our operations. Below are the most relevant business and operating metrics for our single operating and reportable segment.</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number of Submissions for the periods presented:</w:t>
      </w:r>
    </w:p>
    <w:p>
      <w:pPr>
        <w:spacing w:after="0" w:line="200" w:lineRule="exact"/>
        <w:rPr>
          <w:sz w:val="20"/>
          <w:szCs w:val="20"/>
          <w:color w:val="auto"/>
        </w:rPr>
      </w:pPr>
    </w:p>
    <w:p>
      <w:pPr>
        <w:spacing w:after="0" w:line="285"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260" w:type="dxa"/>
            <w:vAlign w:val="bottom"/>
            <w:tcBorders>
              <w:top w:val="single" w:sz="8" w:color="929292"/>
              <w:left w:val="single" w:sz="8" w:color="929292"/>
            </w:tcBorders>
          </w:tcPr>
          <w:p>
            <w:pPr>
              <w:spacing w:after="0"/>
              <w:rPr>
                <w:sz w:val="17"/>
                <w:szCs w:val="17"/>
                <w:color w:val="auto"/>
              </w:rPr>
            </w:pPr>
          </w:p>
        </w:tc>
        <w:tc>
          <w:tcPr>
            <w:tcW w:w="100" w:type="dxa"/>
            <w:vAlign w:val="bottom"/>
            <w:tcBorders>
              <w:top w:val="single" w:sz="8" w:color="929292"/>
            </w:tcBorders>
            <w:shd w:val="clear" w:color="auto" w:fill="929292"/>
          </w:tcPr>
          <w:p>
            <w:pPr>
              <w:spacing w:after="0"/>
              <w:rPr>
                <w:sz w:val="17"/>
                <w:szCs w:val="17"/>
                <w:color w:val="auto"/>
              </w:rPr>
            </w:pPr>
          </w:p>
        </w:tc>
        <w:tc>
          <w:tcPr>
            <w:tcW w:w="3420" w:type="dxa"/>
            <w:vAlign w:val="bottom"/>
            <w:gridSpan w:val="4"/>
          </w:tcPr>
          <w:p>
            <w:pPr>
              <w:jc w:val="center"/>
              <w:ind w:right="80"/>
              <w:spacing w:after="0"/>
              <w:rPr>
                <w:sz w:val="20"/>
                <w:szCs w:val="20"/>
                <w:color w:val="auto"/>
              </w:rPr>
            </w:pPr>
            <w:r>
              <w:rPr>
                <w:rFonts w:ascii="Arial" w:cs="Arial" w:eastAsia="Arial" w:hAnsi="Arial"/>
                <w:sz w:val="14"/>
                <w:szCs w:val="14"/>
                <w:color w:val="auto"/>
              </w:rPr>
              <w:t>Three months ended Dec. 31,</w:t>
            </w: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260" w:type="dxa"/>
            <w:vAlign w:val="bottom"/>
            <w:tcBorders>
              <w:left w:val="single" w:sz="8" w:color="929292"/>
            </w:tcBorders>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1620" w:type="dxa"/>
            <w:vAlign w:val="bottom"/>
          </w:tcPr>
          <w:p>
            <w:pPr>
              <w:jc w:val="right"/>
              <w:ind w:right="588"/>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16"/>
                <w:szCs w:val="16"/>
                <w:color w:val="auto"/>
              </w:rPr>
            </w:pPr>
          </w:p>
        </w:tc>
        <w:tc>
          <w:tcPr>
            <w:tcW w:w="1620" w:type="dxa"/>
            <w:vAlign w:val="bottom"/>
          </w:tcPr>
          <w:p>
            <w:pPr>
              <w:jc w:val="right"/>
              <w:ind w:right="56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6"/>
                <w:szCs w:val="16"/>
                <w:color w:val="auto"/>
              </w:rPr>
            </w:pPr>
          </w:p>
        </w:tc>
        <w:tc>
          <w:tcPr>
            <w:tcW w:w="1720" w:type="dxa"/>
            <w:vAlign w:val="bottom"/>
            <w:gridSpan w:val="2"/>
          </w:tcPr>
          <w:p>
            <w:pPr>
              <w:ind w:left="560"/>
              <w:spacing w:after="0"/>
              <w:rPr>
                <w:sz w:val="20"/>
                <w:szCs w:val="20"/>
                <w:color w:val="auto"/>
              </w:rPr>
            </w:pPr>
            <w:r>
              <w:rPr>
                <w:rFonts w:ascii="Arial" w:cs="Arial" w:eastAsia="Arial" w:hAnsi="Arial"/>
                <w:sz w:val="14"/>
                <w:szCs w:val="14"/>
                <w:color w:val="auto"/>
              </w:rPr>
              <w:t>Change</w:t>
            </w:r>
          </w:p>
        </w:tc>
        <w:tc>
          <w:tcPr>
            <w:tcW w:w="1740" w:type="dxa"/>
            <w:vAlign w:val="bottom"/>
          </w:tcPr>
          <w:p>
            <w:pPr>
              <w:jc w:val="right"/>
              <w:ind w:right="46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4260" w:type="dxa"/>
            <w:vAlign w:val="bottom"/>
            <w:tcBorders>
              <w:left w:val="single" w:sz="8" w:color="929292"/>
            </w:tcBorders>
            <w:vMerge w:val="restart"/>
          </w:tcPr>
          <w:p>
            <w:pPr>
              <w:ind w:left="1700"/>
              <w:spacing w:after="0"/>
              <w:rPr>
                <w:sz w:val="20"/>
                <w:szCs w:val="20"/>
                <w:color w:val="auto"/>
              </w:rPr>
            </w:pPr>
            <w:r>
              <w:rPr>
                <w:rFonts w:ascii="Arial" w:cs="Arial" w:eastAsia="Arial" w:hAnsi="Arial"/>
                <w:sz w:val="14"/>
                <w:szCs w:val="14"/>
                <w:b w:val="1"/>
                <w:bCs w:val="1"/>
                <w:color w:val="00497F"/>
              </w:rPr>
              <w:t>Submissions</w:t>
            </w:r>
          </w:p>
        </w:tc>
        <w:tc>
          <w:tcPr>
            <w:tcW w:w="100" w:type="dxa"/>
            <w:vAlign w:val="bottom"/>
            <w:tcBorders>
              <w:top w:val="single" w:sz="8" w:color="929292"/>
            </w:tcBorders>
            <w:shd w:val="clear" w:color="auto" w:fill="929292"/>
          </w:tcPr>
          <w:p>
            <w:pPr>
              <w:spacing w:after="0"/>
              <w:rPr>
                <w:sz w:val="16"/>
                <w:szCs w:val="16"/>
                <w:color w:val="auto"/>
              </w:rPr>
            </w:pPr>
          </w:p>
        </w:tc>
        <w:tc>
          <w:tcPr>
            <w:tcW w:w="1620" w:type="dxa"/>
            <w:vAlign w:val="bottom"/>
            <w:tcBorders>
              <w:top w:val="single" w:sz="8" w:color="B6B6B6"/>
            </w:tcBorders>
          </w:tcPr>
          <w:p>
            <w:pPr>
              <w:jc w:val="right"/>
              <w:ind w:right="8"/>
              <w:spacing w:after="0"/>
              <w:rPr>
                <w:sz w:val="20"/>
                <w:szCs w:val="20"/>
                <w:color w:val="auto"/>
              </w:rPr>
            </w:pPr>
            <w:r>
              <w:rPr>
                <w:rFonts w:ascii="Arial" w:cs="Arial" w:eastAsia="Arial" w:hAnsi="Arial"/>
                <w:sz w:val="14"/>
                <w:szCs w:val="14"/>
                <w:color w:val="auto"/>
              </w:rPr>
              <w:t>481,445</w:t>
            </w:r>
          </w:p>
        </w:tc>
        <w:tc>
          <w:tcPr>
            <w:tcW w:w="80" w:type="dxa"/>
            <w:vAlign w:val="bottom"/>
          </w:tcPr>
          <w:p>
            <w:pPr>
              <w:spacing w:after="0"/>
              <w:rPr>
                <w:sz w:val="16"/>
                <w:szCs w:val="16"/>
                <w:color w:val="auto"/>
              </w:rPr>
            </w:pPr>
          </w:p>
        </w:tc>
        <w:tc>
          <w:tcPr>
            <w:tcW w:w="16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288,127</w:t>
            </w:r>
          </w:p>
        </w:tc>
        <w:tc>
          <w:tcPr>
            <w:tcW w:w="100" w:type="dxa"/>
            <w:vAlign w:val="bottom"/>
          </w:tcPr>
          <w:p>
            <w:pPr>
              <w:spacing w:after="0"/>
              <w:rPr>
                <w:sz w:val="16"/>
                <w:szCs w:val="16"/>
                <w:color w:val="auto"/>
              </w:rPr>
            </w:pPr>
          </w:p>
        </w:tc>
        <w:tc>
          <w:tcPr>
            <w:tcW w:w="16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193,318</w:t>
            </w:r>
          </w:p>
        </w:tc>
        <w:tc>
          <w:tcPr>
            <w:tcW w:w="100" w:type="dxa"/>
            <w:vAlign w:val="bottom"/>
          </w:tcPr>
          <w:p>
            <w:pPr>
              <w:spacing w:after="0"/>
              <w:rPr>
                <w:sz w:val="16"/>
                <w:szCs w:val="16"/>
                <w:color w:val="auto"/>
              </w:rPr>
            </w:pPr>
          </w:p>
        </w:tc>
        <w:tc>
          <w:tcPr>
            <w:tcW w:w="174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67.1 %</w:t>
            </w:r>
          </w:p>
        </w:tc>
        <w:tc>
          <w:tcPr>
            <w:tcW w:w="0" w:type="dxa"/>
            <w:vAlign w:val="bottom"/>
          </w:tcPr>
          <w:p>
            <w:pPr>
              <w:spacing w:after="0"/>
              <w:rPr>
                <w:sz w:val="1"/>
                <w:szCs w:val="1"/>
                <w:color w:val="auto"/>
              </w:rPr>
            </w:pPr>
          </w:p>
        </w:tc>
      </w:tr>
      <w:tr>
        <w:trPr>
          <w:trHeight w:val="195"/>
        </w:trPr>
        <w:tc>
          <w:tcPr>
            <w:tcW w:w="4260" w:type="dxa"/>
            <w:vAlign w:val="bottom"/>
            <w:tcBorders>
              <w:left w:val="single" w:sz="8" w:color="929292"/>
            </w:tcBorders>
            <w:vMerge w:val="continue"/>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3420" w:type="dxa"/>
            <w:vAlign w:val="bottom"/>
            <w:gridSpan w:val="4"/>
            <w:vMerge w:val="restart"/>
          </w:tcPr>
          <w:p>
            <w:pPr>
              <w:jc w:val="center"/>
              <w:ind w:right="100"/>
              <w:spacing w:after="0"/>
              <w:rPr>
                <w:sz w:val="20"/>
                <w:szCs w:val="20"/>
                <w:color w:val="auto"/>
              </w:rPr>
            </w:pPr>
            <w:r>
              <w:rPr>
                <w:rFonts w:ascii="Arial" w:cs="Arial" w:eastAsia="Arial" w:hAnsi="Arial"/>
                <w:sz w:val="14"/>
                <w:szCs w:val="14"/>
                <w:color w:val="auto"/>
              </w:rPr>
              <w:t>Twelve months ended Dec. 31,</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60" w:type="dxa"/>
            <w:vAlign w:val="bottom"/>
            <w:tcBorders>
              <w:left w:val="single" w:sz="8" w:color="929292"/>
            </w:tcBorders>
          </w:tcPr>
          <w:p>
            <w:pPr>
              <w:spacing w:after="0"/>
              <w:rPr>
                <w:sz w:val="14"/>
                <w:szCs w:val="14"/>
                <w:color w:val="auto"/>
              </w:rPr>
            </w:pPr>
          </w:p>
        </w:tc>
        <w:tc>
          <w:tcPr>
            <w:tcW w:w="100" w:type="dxa"/>
            <w:vAlign w:val="bottom"/>
            <w:shd w:val="clear" w:color="auto" w:fill="929292"/>
          </w:tcPr>
          <w:p>
            <w:pPr>
              <w:spacing w:after="0"/>
              <w:rPr>
                <w:sz w:val="14"/>
                <w:szCs w:val="14"/>
                <w:color w:val="auto"/>
              </w:rPr>
            </w:pPr>
          </w:p>
        </w:tc>
        <w:tc>
          <w:tcPr>
            <w:tcW w:w="3420" w:type="dxa"/>
            <w:vAlign w:val="bottom"/>
            <w:gridSpan w:val="4"/>
            <w:vMerge w:val="continue"/>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260" w:type="dxa"/>
            <w:vAlign w:val="bottom"/>
            <w:tcBorders>
              <w:left w:val="single" w:sz="8" w:color="929292"/>
            </w:tcBorders>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1620" w:type="dxa"/>
            <w:vAlign w:val="bottom"/>
          </w:tcPr>
          <w:p>
            <w:pPr>
              <w:jc w:val="right"/>
              <w:ind w:right="588"/>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17"/>
                <w:szCs w:val="17"/>
                <w:color w:val="auto"/>
              </w:rPr>
            </w:pPr>
          </w:p>
        </w:tc>
        <w:tc>
          <w:tcPr>
            <w:tcW w:w="1620" w:type="dxa"/>
            <w:vAlign w:val="bottom"/>
          </w:tcPr>
          <w:p>
            <w:pPr>
              <w:jc w:val="right"/>
              <w:ind w:right="56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1720" w:type="dxa"/>
            <w:vAlign w:val="bottom"/>
            <w:gridSpan w:val="2"/>
          </w:tcPr>
          <w:p>
            <w:pPr>
              <w:ind w:left="560"/>
              <w:spacing w:after="0"/>
              <w:rPr>
                <w:sz w:val="20"/>
                <w:szCs w:val="20"/>
                <w:color w:val="auto"/>
              </w:rPr>
            </w:pPr>
            <w:r>
              <w:rPr>
                <w:rFonts w:ascii="Arial" w:cs="Arial" w:eastAsia="Arial" w:hAnsi="Arial"/>
                <w:sz w:val="14"/>
                <w:szCs w:val="14"/>
                <w:color w:val="auto"/>
              </w:rPr>
              <w:t>Change</w:t>
            </w:r>
          </w:p>
        </w:tc>
        <w:tc>
          <w:tcPr>
            <w:tcW w:w="1740" w:type="dxa"/>
            <w:vAlign w:val="bottom"/>
          </w:tcPr>
          <w:p>
            <w:pPr>
              <w:jc w:val="right"/>
              <w:ind w:right="46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6"/>
        </w:trPr>
        <w:tc>
          <w:tcPr>
            <w:tcW w:w="4260" w:type="dxa"/>
            <w:vAlign w:val="bottom"/>
            <w:tcBorders>
              <w:left w:val="single" w:sz="8" w:color="929292"/>
              <w:bottom w:val="single" w:sz="8" w:color="929292"/>
            </w:tcBorders>
          </w:tcPr>
          <w:p>
            <w:pPr>
              <w:spacing w:after="0"/>
              <w:rPr>
                <w:sz w:val="17"/>
                <w:szCs w:val="17"/>
                <w:color w:val="auto"/>
              </w:rPr>
            </w:pPr>
          </w:p>
        </w:tc>
        <w:tc>
          <w:tcPr>
            <w:tcW w:w="100" w:type="dxa"/>
            <w:vAlign w:val="bottom"/>
            <w:tcBorders>
              <w:top w:val="single" w:sz="8" w:color="929292"/>
              <w:bottom w:val="single" w:sz="8" w:color="929292"/>
            </w:tcBorders>
            <w:shd w:val="clear" w:color="auto" w:fill="929292"/>
          </w:tcPr>
          <w:p>
            <w:pPr>
              <w:spacing w:after="0"/>
              <w:rPr>
                <w:sz w:val="17"/>
                <w:szCs w:val="17"/>
                <w:color w:val="auto"/>
              </w:rPr>
            </w:pPr>
          </w:p>
        </w:tc>
        <w:tc>
          <w:tcPr>
            <w:tcW w:w="1620" w:type="dxa"/>
            <w:vAlign w:val="bottom"/>
            <w:tcBorders>
              <w:top w:val="single" w:sz="8" w:color="B6B6B6"/>
            </w:tcBorders>
          </w:tcPr>
          <w:p>
            <w:pPr>
              <w:jc w:val="right"/>
              <w:ind w:right="8"/>
              <w:spacing w:after="0"/>
              <w:rPr>
                <w:sz w:val="20"/>
                <w:szCs w:val="20"/>
                <w:color w:val="auto"/>
              </w:rPr>
            </w:pPr>
            <w:r>
              <w:rPr>
                <w:rFonts w:ascii="Arial" w:cs="Arial" w:eastAsia="Arial" w:hAnsi="Arial"/>
                <w:sz w:val="14"/>
                <w:szCs w:val="14"/>
                <w:color w:val="auto"/>
              </w:rPr>
              <w:t>1,016,182</w:t>
            </w:r>
          </w:p>
        </w:tc>
        <w:tc>
          <w:tcPr>
            <w:tcW w:w="80" w:type="dxa"/>
            <w:vAlign w:val="bottom"/>
          </w:tcPr>
          <w:p>
            <w:pPr>
              <w:spacing w:after="0"/>
              <w:rPr>
                <w:sz w:val="17"/>
                <w:szCs w:val="17"/>
                <w:color w:val="auto"/>
              </w:rPr>
            </w:pPr>
          </w:p>
        </w:tc>
        <w:tc>
          <w:tcPr>
            <w:tcW w:w="16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826,159</w:t>
            </w:r>
          </w:p>
        </w:tc>
        <w:tc>
          <w:tcPr>
            <w:tcW w:w="100" w:type="dxa"/>
            <w:vAlign w:val="bottom"/>
          </w:tcPr>
          <w:p>
            <w:pPr>
              <w:spacing w:after="0"/>
              <w:rPr>
                <w:sz w:val="17"/>
                <w:szCs w:val="17"/>
                <w:color w:val="auto"/>
              </w:rPr>
            </w:pPr>
          </w:p>
        </w:tc>
        <w:tc>
          <w:tcPr>
            <w:tcW w:w="16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190,023</w:t>
            </w:r>
          </w:p>
        </w:tc>
        <w:tc>
          <w:tcPr>
            <w:tcW w:w="100" w:type="dxa"/>
            <w:vAlign w:val="bottom"/>
          </w:tcPr>
          <w:p>
            <w:pPr>
              <w:spacing w:after="0"/>
              <w:rPr>
                <w:sz w:val="17"/>
                <w:szCs w:val="17"/>
                <w:color w:val="auto"/>
              </w:rPr>
            </w:pPr>
          </w:p>
        </w:tc>
        <w:tc>
          <w:tcPr>
            <w:tcW w:w="174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23.0 %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Sales per Submission for the periods presented:</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280" w:type="dxa"/>
            <w:vAlign w:val="bottom"/>
            <w:tcBorders>
              <w:top w:val="single" w:sz="8" w:color="929292"/>
              <w:left w:val="single" w:sz="8" w:color="929292"/>
            </w:tcBorders>
          </w:tcPr>
          <w:p>
            <w:pPr>
              <w:spacing w:after="0"/>
              <w:rPr>
                <w:sz w:val="17"/>
                <w:szCs w:val="17"/>
                <w:color w:val="auto"/>
              </w:rPr>
            </w:pPr>
          </w:p>
        </w:tc>
        <w:tc>
          <w:tcPr>
            <w:tcW w:w="100" w:type="dxa"/>
            <w:vAlign w:val="bottom"/>
            <w:tcBorders>
              <w:top w:val="single" w:sz="8" w:color="929292"/>
            </w:tcBorders>
            <w:shd w:val="clear" w:color="auto" w:fill="929292"/>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gridSpan w:val="5"/>
          </w:tcPr>
          <w:p>
            <w:pPr>
              <w:jc w:val="center"/>
              <w:ind w:right="480"/>
              <w:spacing w:after="0"/>
              <w:rPr>
                <w:sz w:val="20"/>
                <w:szCs w:val="20"/>
                <w:color w:val="auto"/>
              </w:rPr>
            </w:pPr>
            <w:r>
              <w:rPr>
                <w:rFonts w:ascii="Arial" w:cs="Arial" w:eastAsia="Arial" w:hAnsi="Arial"/>
                <w:sz w:val="14"/>
                <w:szCs w:val="14"/>
                <w:color w:val="auto"/>
              </w:rPr>
              <w:t>Three months ended Dec. 31,</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280" w:type="dxa"/>
            <w:vAlign w:val="bottom"/>
            <w:tcBorders>
              <w:left w:val="single" w:sz="8" w:color="929292"/>
            </w:tcBorders>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color w:val="auto"/>
              </w:rPr>
              <w:t>$ Change</w:t>
            </w:r>
          </w:p>
        </w:tc>
        <w:tc>
          <w:tcPr>
            <w:tcW w:w="1740" w:type="dxa"/>
            <w:vAlign w:val="bottom"/>
          </w:tcPr>
          <w:p>
            <w:pPr>
              <w:jc w:val="right"/>
              <w:ind w:right="46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4280" w:type="dxa"/>
            <w:vAlign w:val="bottom"/>
            <w:tcBorders>
              <w:left w:val="single" w:sz="8" w:color="929292"/>
            </w:tcBorders>
            <w:vMerge w:val="restart"/>
          </w:tcPr>
          <w:p>
            <w:pPr>
              <w:ind w:left="1400"/>
              <w:spacing w:after="0"/>
              <w:rPr>
                <w:sz w:val="20"/>
                <w:szCs w:val="20"/>
                <w:color w:val="auto"/>
              </w:rPr>
            </w:pPr>
            <w:r>
              <w:rPr>
                <w:rFonts w:ascii="Arial" w:cs="Arial" w:eastAsia="Arial" w:hAnsi="Arial"/>
                <w:sz w:val="14"/>
                <w:szCs w:val="14"/>
                <w:b w:val="1"/>
                <w:bCs w:val="1"/>
                <w:color w:val="00497F"/>
              </w:rPr>
              <w:t>Sales Per Submission</w:t>
            </w:r>
          </w:p>
        </w:tc>
        <w:tc>
          <w:tcPr>
            <w:tcW w:w="100" w:type="dxa"/>
            <w:vAlign w:val="bottom"/>
            <w:tcBorders>
              <w:top w:val="single" w:sz="8" w:color="929292"/>
            </w:tcBorders>
            <w:shd w:val="clear" w:color="auto" w:fill="929292"/>
          </w:tcPr>
          <w:p>
            <w:pPr>
              <w:spacing w:after="0"/>
              <w:rPr>
                <w:sz w:val="16"/>
                <w:szCs w:val="16"/>
                <w:color w:val="auto"/>
              </w:rPr>
            </w:pPr>
          </w:p>
        </w:tc>
        <w:tc>
          <w:tcPr>
            <w:tcW w:w="380" w:type="dxa"/>
            <w:vAlign w:val="bottom"/>
            <w:tcBorders>
              <w:top w:val="single" w:sz="8" w:color="B6B6B6"/>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804</w:t>
            </w:r>
          </w:p>
        </w:tc>
        <w:tc>
          <w:tcPr>
            <w:tcW w:w="100" w:type="dxa"/>
            <w:vAlign w:val="bottom"/>
          </w:tcPr>
          <w:p>
            <w:pPr>
              <w:spacing w:after="0"/>
              <w:rPr>
                <w:sz w:val="16"/>
                <w:szCs w:val="16"/>
                <w:color w:val="auto"/>
              </w:rPr>
            </w:pPr>
          </w:p>
        </w:tc>
        <w:tc>
          <w:tcPr>
            <w:tcW w:w="380" w:type="dxa"/>
            <w:vAlign w:val="bottom"/>
            <w:tcBorders>
              <w:top w:val="single" w:sz="8" w:color="B6B6B6"/>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957</w:t>
            </w:r>
          </w:p>
        </w:tc>
        <w:tc>
          <w:tcPr>
            <w:tcW w:w="100" w:type="dxa"/>
            <w:vAlign w:val="bottom"/>
          </w:tcPr>
          <w:p>
            <w:pPr>
              <w:spacing w:after="0"/>
              <w:rPr>
                <w:sz w:val="16"/>
                <w:szCs w:val="16"/>
                <w:color w:val="auto"/>
              </w:rPr>
            </w:pPr>
          </w:p>
        </w:tc>
        <w:tc>
          <w:tcPr>
            <w:tcW w:w="300" w:type="dxa"/>
            <w:vAlign w:val="bottom"/>
            <w:tcBorders>
              <w:top w:val="single" w:sz="8" w:color="B6B6B6"/>
            </w:tcBorders>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6"/>
                <w:szCs w:val="16"/>
                <w:color w:val="auto"/>
              </w:rPr>
            </w:pPr>
          </w:p>
        </w:tc>
        <w:tc>
          <w:tcPr>
            <w:tcW w:w="174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95"/>
        </w:trPr>
        <w:tc>
          <w:tcPr>
            <w:tcW w:w="4280" w:type="dxa"/>
            <w:vAlign w:val="bottom"/>
            <w:tcBorders>
              <w:left w:val="single" w:sz="8" w:color="929292"/>
            </w:tcBorders>
            <w:vMerge w:val="continue"/>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5"/>
            <w:vMerge w:val="restart"/>
          </w:tcPr>
          <w:p>
            <w:pPr>
              <w:jc w:val="center"/>
              <w:ind w:right="480"/>
              <w:spacing w:after="0"/>
              <w:rPr>
                <w:sz w:val="20"/>
                <w:szCs w:val="20"/>
                <w:color w:val="auto"/>
              </w:rPr>
            </w:pPr>
            <w:r>
              <w:rPr>
                <w:rFonts w:ascii="Arial" w:cs="Arial" w:eastAsia="Arial" w:hAnsi="Arial"/>
                <w:sz w:val="14"/>
                <w:szCs w:val="14"/>
                <w:color w:val="auto"/>
              </w:rPr>
              <w:t>Twelve months ended Dec. 31,</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280" w:type="dxa"/>
            <w:vAlign w:val="bottom"/>
            <w:tcBorders>
              <w:left w:val="single" w:sz="8" w:color="929292"/>
            </w:tcBorders>
          </w:tcPr>
          <w:p>
            <w:pPr>
              <w:spacing w:after="0"/>
              <w:rPr>
                <w:sz w:val="14"/>
                <w:szCs w:val="14"/>
                <w:color w:val="auto"/>
              </w:rPr>
            </w:pPr>
          </w:p>
        </w:tc>
        <w:tc>
          <w:tcPr>
            <w:tcW w:w="100" w:type="dxa"/>
            <w:vAlign w:val="bottom"/>
            <w:shd w:val="clear" w:color="auto" w:fill="929292"/>
          </w:tcPr>
          <w:p>
            <w:pPr>
              <w:spacing w:after="0"/>
              <w:rPr>
                <w:sz w:val="14"/>
                <w:szCs w:val="14"/>
                <w:color w:val="auto"/>
              </w:rPr>
            </w:pPr>
          </w:p>
        </w:tc>
        <w:tc>
          <w:tcPr>
            <w:tcW w:w="380" w:type="dxa"/>
            <w:vAlign w:val="bottom"/>
          </w:tcPr>
          <w:p>
            <w:pPr>
              <w:spacing w:after="0"/>
              <w:rPr>
                <w:sz w:val="14"/>
                <w:szCs w:val="14"/>
                <w:color w:val="auto"/>
              </w:rPr>
            </w:pPr>
          </w:p>
        </w:tc>
        <w:tc>
          <w:tcPr>
            <w:tcW w:w="3020" w:type="dxa"/>
            <w:vAlign w:val="bottom"/>
            <w:gridSpan w:val="5"/>
            <w:vMerge w:val="continue"/>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280" w:type="dxa"/>
            <w:vAlign w:val="bottom"/>
            <w:tcBorders>
              <w:left w:val="single" w:sz="8" w:color="929292"/>
            </w:tcBorders>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color w:val="auto"/>
              </w:rPr>
              <w:t>$ Change</w:t>
            </w:r>
          </w:p>
        </w:tc>
        <w:tc>
          <w:tcPr>
            <w:tcW w:w="1740" w:type="dxa"/>
            <w:vAlign w:val="bottom"/>
          </w:tcPr>
          <w:p>
            <w:pPr>
              <w:jc w:val="right"/>
              <w:ind w:right="46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6"/>
        </w:trPr>
        <w:tc>
          <w:tcPr>
            <w:tcW w:w="4280" w:type="dxa"/>
            <w:vAlign w:val="bottom"/>
            <w:tcBorders>
              <w:left w:val="single" w:sz="8" w:color="929292"/>
              <w:bottom w:val="single" w:sz="8" w:color="929292"/>
            </w:tcBorders>
          </w:tcPr>
          <w:p>
            <w:pPr>
              <w:spacing w:after="0"/>
              <w:rPr>
                <w:sz w:val="17"/>
                <w:szCs w:val="17"/>
                <w:color w:val="auto"/>
              </w:rPr>
            </w:pPr>
          </w:p>
        </w:tc>
        <w:tc>
          <w:tcPr>
            <w:tcW w:w="100" w:type="dxa"/>
            <w:vAlign w:val="bottom"/>
            <w:tcBorders>
              <w:top w:val="single" w:sz="8" w:color="929292"/>
              <w:bottom w:val="single" w:sz="8" w:color="929292"/>
            </w:tcBorders>
            <w:shd w:val="clear" w:color="auto" w:fill="929292"/>
          </w:tcPr>
          <w:p>
            <w:pPr>
              <w:spacing w:after="0"/>
              <w:rPr>
                <w:sz w:val="17"/>
                <w:szCs w:val="17"/>
                <w:color w:val="auto"/>
              </w:rPr>
            </w:pPr>
          </w:p>
        </w:tc>
        <w:tc>
          <w:tcPr>
            <w:tcW w:w="380" w:type="dxa"/>
            <w:vAlign w:val="bottom"/>
            <w:tcBorders>
              <w:top w:val="single" w:sz="8" w:color="B6B6B6"/>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781</w:t>
            </w:r>
          </w:p>
        </w:tc>
        <w:tc>
          <w:tcPr>
            <w:tcW w:w="100" w:type="dxa"/>
            <w:vAlign w:val="bottom"/>
          </w:tcPr>
          <w:p>
            <w:pPr>
              <w:spacing w:after="0"/>
              <w:rPr>
                <w:sz w:val="17"/>
                <w:szCs w:val="17"/>
                <w:color w:val="auto"/>
              </w:rPr>
            </w:pPr>
          </w:p>
        </w:tc>
        <w:tc>
          <w:tcPr>
            <w:tcW w:w="380" w:type="dxa"/>
            <w:vAlign w:val="bottom"/>
            <w:tcBorders>
              <w:top w:val="single" w:sz="8" w:color="B6B6B6"/>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866</w:t>
            </w:r>
          </w:p>
        </w:tc>
        <w:tc>
          <w:tcPr>
            <w:tcW w:w="100" w:type="dxa"/>
            <w:vAlign w:val="bottom"/>
          </w:tcPr>
          <w:p>
            <w:pPr>
              <w:spacing w:after="0"/>
              <w:rPr>
                <w:sz w:val="17"/>
                <w:szCs w:val="17"/>
                <w:color w:val="auto"/>
              </w:rPr>
            </w:pPr>
          </w:p>
        </w:tc>
        <w:tc>
          <w:tcPr>
            <w:tcW w:w="300" w:type="dxa"/>
            <w:vAlign w:val="bottom"/>
            <w:tcBorders>
              <w:top w:val="single" w:sz="8" w:color="B6B6B6"/>
            </w:tcBorders>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7"/>
                <w:szCs w:val="17"/>
                <w:color w:val="auto"/>
              </w:rPr>
            </w:pPr>
          </w:p>
        </w:tc>
        <w:tc>
          <w:tcPr>
            <w:tcW w:w="174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Direct Operating Cost per Submission for the periods presented:</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280" w:type="dxa"/>
            <w:vAlign w:val="bottom"/>
            <w:tcBorders>
              <w:top w:val="single" w:sz="8" w:color="929292"/>
              <w:left w:val="single" w:sz="8" w:color="929292"/>
            </w:tcBorders>
          </w:tcPr>
          <w:p>
            <w:pPr>
              <w:spacing w:after="0"/>
              <w:rPr>
                <w:sz w:val="17"/>
                <w:szCs w:val="17"/>
                <w:color w:val="auto"/>
              </w:rPr>
            </w:pPr>
          </w:p>
        </w:tc>
        <w:tc>
          <w:tcPr>
            <w:tcW w:w="100" w:type="dxa"/>
            <w:vAlign w:val="bottom"/>
            <w:tcBorders>
              <w:top w:val="single" w:sz="8" w:color="929292"/>
            </w:tcBorders>
            <w:shd w:val="clear" w:color="auto" w:fill="929292"/>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gridSpan w:val="5"/>
          </w:tcPr>
          <w:p>
            <w:pPr>
              <w:jc w:val="center"/>
              <w:ind w:right="480"/>
              <w:spacing w:after="0"/>
              <w:rPr>
                <w:sz w:val="20"/>
                <w:szCs w:val="20"/>
                <w:color w:val="auto"/>
              </w:rPr>
            </w:pPr>
            <w:r>
              <w:rPr>
                <w:rFonts w:ascii="Arial" w:cs="Arial" w:eastAsia="Arial" w:hAnsi="Arial"/>
                <w:sz w:val="14"/>
                <w:szCs w:val="14"/>
                <w:color w:val="auto"/>
              </w:rPr>
              <w:t>Three months ended Dec. 31,</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280" w:type="dxa"/>
            <w:vAlign w:val="bottom"/>
            <w:tcBorders>
              <w:left w:val="single" w:sz="8" w:color="929292"/>
            </w:tcBorders>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color w:val="auto"/>
              </w:rPr>
              <w:t>$ Change</w:t>
            </w:r>
          </w:p>
        </w:tc>
        <w:tc>
          <w:tcPr>
            <w:tcW w:w="1740" w:type="dxa"/>
            <w:vAlign w:val="bottom"/>
          </w:tcPr>
          <w:p>
            <w:pPr>
              <w:jc w:val="right"/>
              <w:ind w:right="46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2"/>
        </w:trPr>
        <w:tc>
          <w:tcPr>
            <w:tcW w:w="4280" w:type="dxa"/>
            <w:vAlign w:val="bottom"/>
            <w:tcBorders>
              <w:left w:val="single" w:sz="8" w:color="929292"/>
            </w:tcBorders>
            <w:vMerge w:val="restart"/>
          </w:tcPr>
          <w:p>
            <w:pPr>
              <w:ind w:left="840"/>
              <w:spacing w:after="0"/>
              <w:rPr>
                <w:sz w:val="20"/>
                <w:szCs w:val="20"/>
                <w:color w:val="auto"/>
              </w:rPr>
            </w:pPr>
            <w:r>
              <w:rPr>
                <w:rFonts w:ascii="Arial" w:cs="Arial" w:eastAsia="Arial" w:hAnsi="Arial"/>
                <w:sz w:val="14"/>
                <w:szCs w:val="14"/>
                <w:b w:val="1"/>
                <w:bCs w:val="1"/>
                <w:color w:val="00497F"/>
              </w:rPr>
              <w:t>Direct Operating Cost Per Submission</w:t>
            </w:r>
          </w:p>
        </w:tc>
        <w:tc>
          <w:tcPr>
            <w:tcW w:w="100" w:type="dxa"/>
            <w:vAlign w:val="bottom"/>
            <w:tcBorders>
              <w:top w:val="single" w:sz="8" w:color="929292"/>
            </w:tcBorders>
            <w:shd w:val="clear" w:color="auto" w:fill="929292"/>
          </w:tcPr>
          <w:p>
            <w:pPr>
              <w:spacing w:after="0"/>
              <w:rPr>
                <w:sz w:val="16"/>
                <w:szCs w:val="16"/>
                <w:color w:val="auto"/>
              </w:rPr>
            </w:pPr>
          </w:p>
        </w:tc>
        <w:tc>
          <w:tcPr>
            <w:tcW w:w="380" w:type="dxa"/>
            <w:vAlign w:val="bottom"/>
            <w:tcBorders>
              <w:top w:val="single" w:sz="8" w:color="B6B6B6"/>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501</w:t>
            </w:r>
          </w:p>
        </w:tc>
        <w:tc>
          <w:tcPr>
            <w:tcW w:w="100" w:type="dxa"/>
            <w:vAlign w:val="bottom"/>
          </w:tcPr>
          <w:p>
            <w:pPr>
              <w:spacing w:after="0"/>
              <w:rPr>
                <w:sz w:val="16"/>
                <w:szCs w:val="16"/>
                <w:color w:val="auto"/>
              </w:rPr>
            </w:pPr>
          </w:p>
        </w:tc>
        <w:tc>
          <w:tcPr>
            <w:tcW w:w="380" w:type="dxa"/>
            <w:vAlign w:val="bottom"/>
            <w:tcBorders>
              <w:top w:val="single" w:sz="8" w:color="B6B6B6"/>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688</w:t>
            </w:r>
          </w:p>
        </w:tc>
        <w:tc>
          <w:tcPr>
            <w:tcW w:w="100" w:type="dxa"/>
            <w:vAlign w:val="bottom"/>
          </w:tcPr>
          <w:p>
            <w:pPr>
              <w:spacing w:after="0"/>
              <w:rPr>
                <w:sz w:val="16"/>
                <w:szCs w:val="16"/>
                <w:color w:val="auto"/>
              </w:rPr>
            </w:pPr>
          </w:p>
        </w:tc>
        <w:tc>
          <w:tcPr>
            <w:tcW w:w="300" w:type="dxa"/>
            <w:vAlign w:val="bottom"/>
            <w:tcBorders>
              <w:top w:val="single" w:sz="8" w:color="B6B6B6"/>
            </w:tcBorders>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6"/>
                <w:szCs w:val="16"/>
                <w:color w:val="auto"/>
              </w:rPr>
            </w:pPr>
          </w:p>
        </w:tc>
        <w:tc>
          <w:tcPr>
            <w:tcW w:w="174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195"/>
        </w:trPr>
        <w:tc>
          <w:tcPr>
            <w:tcW w:w="4280" w:type="dxa"/>
            <w:vAlign w:val="bottom"/>
            <w:tcBorders>
              <w:left w:val="single" w:sz="8" w:color="929292"/>
            </w:tcBorders>
            <w:vMerge w:val="continue"/>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5"/>
            <w:vMerge w:val="restart"/>
          </w:tcPr>
          <w:p>
            <w:pPr>
              <w:jc w:val="center"/>
              <w:ind w:right="480"/>
              <w:spacing w:after="0"/>
              <w:rPr>
                <w:sz w:val="20"/>
                <w:szCs w:val="20"/>
                <w:color w:val="auto"/>
              </w:rPr>
            </w:pPr>
            <w:r>
              <w:rPr>
                <w:rFonts w:ascii="Arial" w:cs="Arial" w:eastAsia="Arial" w:hAnsi="Arial"/>
                <w:sz w:val="14"/>
                <w:szCs w:val="14"/>
                <w:color w:val="auto"/>
              </w:rPr>
              <w:t>Twelve months ended Dec. 31,</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80" w:type="dxa"/>
            <w:vAlign w:val="bottom"/>
            <w:tcBorders>
              <w:left w:val="single" w:sz="8" w:color="929292"/>
            </w:tcBorders>
          </w:tcPr>
          <w:p>
            <w:pPr>
              <w:spacing w:after="0"/>
              <w:rPr>
                <w:sz w:val="14"/>
                <w:szCs w:val="14"/>
                <w:color w:val="auto"/>
              </w:rPr>
            </w:pPr>
          </w:p>
        </w:tc>
        <w:tc>
          <w:tcPr>
            <w:tcW w:w="100" w:type="dxa"/>
            <w:vAlign w:val="bottom"/>
            <w:shd w:val="clear" w:color="auto" w:fill="929292"/>
          </w:tcPr>
          <w:p>
            <w:pPr>
              <w:spacing w:after="0"/>
              <w:rPr>
                <w:sz w:val="14"/>
                <w:szCs w:val="14"/>
                <w:color w:val="auto"/>
              </w:rPr>
            </w:pPr>
          </w:p>
        </w:tc>
        <w:tc>
          <w:tcPr>
            <w:tcW w:w="380" w:type="dxa"/>
            <w:vAlign w:val="bottom"/>
          </w:tcPr>
          <w:p>
            <w:pPr>
              <w:spacing w:after="0"/>
              <w:rPr>
                <w:sz w:val="14"/>
                <w:szCs w:val="14"/>
                <w:color w:val="auto"/>
              </w:rPr>
            </w:pPr>
          </w:p>
        </w:tc>
        <w:tc>
          <w:tcPr>
            <w:tcW w:w="3020" w:type="dxa"/>
            <w:vAlign w:val="bottom"/>
            <w:gridSpan w:val="5"/>
            <w:vMerge w:val="continue"/>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280" w:type="dxa"/>
            <w:vAlign w:val="bottom"/>
            <w:tcBorders>
              <w:left w:val="single" w:sz="8" w:color="929292"/>
            </w:tcBorders>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color w:val="auto"/>
              </w:rPr>
              <w:t>$ Change</w:t>
            </w:r>
          </w:p>
        </w:tc>
        <w:tc>
          <w:tcPr>
            <w:tcW w:w="1740" w:type="dxa"/>
            <w:vAlign w:val="bottom"/>
          </w:tcPr>
          <w:p>
            <w:pPr>
              <w:jc w:val="right"/>
              <w:ind w:right="46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6"/>
        </w:trPr>
        <w:tc>
          <w:tcPr>
            <w:tcW w:w="4280" w:type="dxa"/>
            <w:vAlign w:val="bottom"/>
            <w:tcBorders>
              <w:left w:val="single" w:sz="8" w:color="929292"/>
              <w:bottom w:val="single" w:sz="8" w:color="929292"/>
            </w:tcBorders>
          </w:tcPr>
          <w:p>
            <w:pPr>
              <w:spacing w:after="0"/>
              <w:rPr>
                <w:sz w:val="17"/>
                <w:szCs w:val="17"/>
                <w:color w:val="auto"/>
              </w:rPr>
            </w:pPr>
          </w:p>
        </w:tc>
        <w:tc>
          <w:tcPr>
            <w:tcW w:w="100" w:type="dxa"/>
            <w:vAlign w:val="bottom"/>
            <w:tcBorders>
              <w:top w:val="single" w:sz="8" w:color="929292"/>
              <w:bottom w:val="single" w:sz="8" w:color="929292"/>
            </w:tcBorders>
            <w:shd w:val="clear" w:color="auto" w:fill="929292"/>
          </w:tcPr>
          <w:p>
            <w:pPr>
              <w:spacing w:after="0"/>
              <w:rPr>
                <w:sz w:val="17"/>
                <w:szCs w:val="17"/>
                <w:color w:val="auto"/>
              </w:rPr>
            </w:pPr>
          </w:p>
        </w:tc>
        <w:tc>
          <w:tcPr>
            <w:tcW w:w="380" w:type="dxa"/>
            <w:vAlign w:val="bottom"/>
            <w:tcBorders>
              <w:top w:val="single" w:sz="8" w:color="B6B6B6"/>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578</w:t>
            </w:r>
          </w:p>
        </w:tc>
        <w:tc>
          <w:tcPr>
            <w:tcW w:w="100" w:type="dxa"/>
            <w:vAlign w:val="bottom"/>
          </w:tcPr>
          <w:p>
            <w:pPr>
              <w:spacing w:after="0"/>
              <w:rPr>
                <w:sz w:val="17"/>
                <w:szCs w:val="17"/>
                <w:color w:val="auto"/>
              </w:rPr>
            </w:pPr>
          </w:p>
        </w:tc>
        <w:tc>
          <w:tcPr>
            <w:tcW w:w="380" w:type="dxa"/>
            <w:vAlign w:val="bottom"/>
            <w:tcBorders>
              <w:top w:val="single" w:sz="8" w:color="B6B6B6"/>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683</w:t>
            </w:r>
          </w:p>
        </w:tc>
        <w:tc>
          <w:tcPr>
            <w:tcW w:w="100" w:type="dxa"/>
            <w:vAlign w:val="bottom"/>
          </w:tcPr>
          <w:p>
            <w:pPr>
              <w:spacing w:after="0"/>
              <w:rPr>
                <w:sz w:val="17"/>
                <w:szCs w:val="17"/>
                <w:color w:val="auto"/>
              </w:rPr>
            </w:pPr>
          </w:p>
        </w:tc>
        <w:tc>
          <w:tcPr>
            <w:tcW w:w="300" w:type="dxa"/>
            <w:vAlign w:val="bottom"/>
            <w:tcBorders>
              <w:top w:val="single" w:sz="8" w:color="B6B6B6"/>
            </w:tcBorders>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7"/>
                <w:szCs w:val="17"/>
                <w:color w:val="auto"/>
              </w:rPr>
            </w:pPr>
          </w:p>
        </w:tc>
        <w:tc>
          <w:tcPr>
            <w:tcW w:w="1740" w:type="dxa"/>
            <w:vAlign w:val="bottom"/>
            <w:tcBorders>
              <w:top w:val="single" w:sz="8" w:color="B6B6B6"/>
            </w:tcBorders>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our Direct Operating Cost of Submission (in thousands) and Sales/Direct Operating Cost of Submission for the periods presented:</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30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2740" w:type="dxa"/>
            <w:vAlign w:val="bottom"/>
            <w:gridSpan w:val="4"/>
          </w:tcPr>
          <w:p>
            <w:pPr>
              <w:jc w:val="right"/>
              <w:ind w:right="28"/>
              <w:spacing w:after="0"/>
              <w:rPr>
                <w:sz w:val="20"/>
                <w:szCs w:val="20"/>
                <w:color w:val="auto"/>
              </w:rPr>
            </w:pPr>
            <w:r>
              <w:rPr>
                <w:rFonts w:ascii="Arial" w:cs="Arial" w:eastAsia="Arial" w:hAnsi="Arial"/>
                <w:sz w:val="14"/>
                <w:szCs w:val="14"/>
                <w:color w:val="auto"/>
              </w:rPr>
              <w:t>Three months ended Dec. 31,</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80" w:type="dxa"/>
            <w:vAlign w:val="bottom"/>
            <w:gridSpan w:val="4"/>
          </w:tcPr>
          <w:p>
            <w:pPr>
              <w:jc w:val="right"/>
              <w:ind w:right="628"/>
              <w:spacing w:after="0"/>
              <w:rPr>
                <w:sz w:val="20"/>
                <w:szCs w:val="20"/>
                <w:color w:val="auto"/>
              </w:rPr>
            </w:pPr>
            <w:r>
              <w:rPr>
                <w:rFonts w:ascii="Arial" w:cs="Arial" w:eastAsia="Arial" w:hAnsi="Arial"/>
                <w:sz w:val="14"/>
                <w:szCs w:val="14"/>
                <w:color w:val="auto"/>
              </w:rPr>
              <w:t>Twelve months ended Dec. 31,</w:t>
            </w:r>
          </w:p>
        </w:tc>
      </w:tr>
      <w:tr>
        <w:trPr>
          <w:trHeight w:val="192"/>
        </w:trPr>
        <w:tc>
          <w:tcPr>
            <w:tcW w:w="4300" w:type="dxa"/>
            <w:vAlign w:val="bottom"/>
          </w:tcPr>
          <w:p>
            <w:pPr>
              <w:spacing w:after="0"/>
              <w:rPr>
                <w:sz w:val="16"/>
                <w:szCs w:val="16"/>
                <w:color w:val="auto"/>
              </w:rPr>
            </w:pPr>
          </w:p>
        </w:tc>
        <w:tc>
          <w:tcPr>
            <w:tcW w:w="100" w:type="dxa"/>
            <w:vAlign w:val="bottom"/>
            <w:tcBorders>
              <w:bottom w:val="single" w:sz="8" w:color="929292"/>
            </w:tcBorders>
            <w:shd w:val="clear" w:color="auto" w:fill="929292"/>
          </w:tcPr>
          <w:p>
            <w:pPr>
              <w:spacing w:after="0"/>
              <w:rPr>
                <w:sz w:val="16"/>
                <w:szCs w:val="16"/>
                <w:color w:val="auto"/>
              </w:rPr>
            </w:pPr>
          </w:p>
        </w:tc>
        <w:tc>
          <w:tcPr>
            <w:tcW w:w="102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2024</w:t>
            </w:r>
          </w:p>
        </w:tc>
        <w:tc>
          <w:tcPr>
            <w:tcW w:w="620" w:type="dxa"/>
            <w:vAlign w:val="bottom"/>
            <w:tcBorders>
              <w:bottom w:val="single" w:sz="8" w:color="929292"/>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2023</w:t>
            </w:r>
          </w:p>
        </w:tc>
        <w:tc>
          <w:tcPr>
            <w:tcW w:w="620" w:type="dxa"/>
            <w:vAlign w:val="bottom"/>
            <w:tcBorders>
              <w:bottom w:val="single" w:sz="8" w:color="929292"/>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929292"/>
            </w:tcBorders>
          </w:tcPr>
          <w:p>
            <w:pPr>
              <w:spacing w:after="0"/>
              <w:rPr>
                <w:sz w:val="16"/>
                <w:szCs w:val="16"/>
                <w:color w:val="auto"/>
              </w:rPr>
            </w:pPr>
          </w:p>
        </w:tc>
        <w:tc>
          <w:tcPr>
            <w:tcW w:w="1260" w:type="dxa"/>
            <w:vAlign w:val="bottom"/>
            <w:tcBorders>
              <w:bottom w:val="single" w:sz="8" w:color="929292"/>
            </w:tcBorders>
          </w:tcPr>
          <w:p>
            <w:pPr>
              <w:jc w:val="right"/>
              <w:ind w:right="588"/>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16"/>
                <w:szCs w:val="16"/>
                <w:color w:val="auto"/>
              </w:rPr>
            </w:pPr>
          </w:p>
        </w:tc>
        <w:tc>
          <w:tcPr>
            <w:tcW w:w="380" w:type="dxa"/>
            <w:vAlign w:val="bottom"/>
            <w:tcBorders>
              <w:bottom w:val="single" w:sz="8" w:color="929292"/>
            </w:tcBorders>
          </w:tcPr>
          <w:p>
            <w:pPr>
              <w:spacing w:after="0"/>
              <w:rPr>
                <w:sz w:val="16"/>
                <w:szCs w:val="16"/>
                <w:color w:val="auto"/>
              </w:rPr>
            </w:pPr>
          </w:p>
        </w:tc>
        <w:tc>
          <w:tcPr>
            <w:tcW w:w="1260" w:type="dxa"/>
            <w:vAlign w:val="bottom"/>
            <w:tcBorders>
              <w:bottom w:val="single" w:sz="8" w:color="929292"/>
            </w:tcBorders>
          </w:tcPr>
          <w:p>
            <w:pPr>
              <w:jc w:val="right"/>
              <w:ind w:right="588"/>
              <w:spacing w:after="0"/>
              <w:rPr>
                <w:sz w:val="20"/>
                <w:szCs w:val="20"/>
                <w:color w:val="auto"/>
              </w:rPr>
            </w:pPr>
            <w:r>
              <w:rPr>
                <w:rFonts w:ascii="Arial" w:cs="Arial" w:eastAsia="Arial" w:hAnsi="Arial"/>
                <w:sz w:val="14"/>
                <w:szCs w:val="14"/>
                <w:color w:val="auto"/>
              </w:rPr>
              <w:t>2023</w:t>
            </w:r>
          </w:p>
        </w:tc>
      </w:tr>
      <w:tr>
        <w:trPr>
          <w:trHeight w:val="194"/>
        </w:trPr>
        <w:tc>
          <w:tcPr>
            <w:tcW w:w="4300" w:type="dxa"/>
            <w:vAlign w:val="bottom"/>
          </w:tcPr>
          <w:p>
            <w:pPr>
              <w:spacing w:after="0"/>
              <w:rPr>
                <w:sz w:val="20"/>
                <w:szCs w:val="20"/>
                <w:color w:val="auto"/>
              </w:rPr>
            </w:pPr>
            <w:r>
              <w:rPr>
                <w:rFonts w:ascii="Arial" w:cs="Arial" w:eastAsia="Arial" w:hAnsi="Arial"/>
                <w:sz w:val="14"/>
                <w:szCs w:val="14"/>
                <w:color w:val="auto"/>
              </w:rPr>
              <w:t>Direct Operating Cost of Submission</w:t>
            </w:r>
          </w:p>
        </w:tc>
        <w:tc>
          <w:tcPr>
            <w:tcW w:w="100" w:type="dxa"/>
            <w:vAlign w:val="bottom"/>
            <w:shd w:val="clear" w:color="auto" w:fill="929292"/>
          </w:tcPr>
          <w:p>
            <w:pPr>
              <w:spacing w:after="0"/>
              <w:rPr>
                <w:sz w:val="16"/>
                <w:szCs w:val="16"/>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241,259</w:t>
            </w:r>
          </w:p>
        </w:tc>
        <w:tc>
          <w:tcPr>
            <w:tcW w:w="100" w:type="dxa"/>
            <w:vAlign w:val="bottom"/>
          </w:tcPr>
          <w:p>
            <w:pPr>
              <w:spacing w:after="0"/>
              <w:rPr>
                <w:sz w:val="16"/>
                <w:szCs w:val="16"/>
                <w:color w:val="auto"/>
              </w:rPr>
            </w:pP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197,940</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587,371</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563,552</w:t>
            </w:r>
          </w:p>
        </w:tc>
      </w:tr>
      <w:tr>
        <w:trPr>
          <w:trHeight w:val="211"/>
        </w:trPr>
        <w:tc>
          <w:tcPr>
            <w:tcW w:w="4300" w:type="dxa"/>
            <w:vAlign w:val="bottom"/>
          </w:tcPr>
          <w:p>
            <w:pPr>
              <w:spacing w:after="0"/>
              <w:rPr>
                <w:sz w:val="20"/>
                <w:szCs w:val="20"/>
                <w:color w:val="auto"/>
              </w:rPr>
            </w:pPr>
            <w:r>
              <w:rPr>
                <w:rFonts w:ascii="Arial" w:cs="Arial" w:eastAsia="Arial" w:hAnsi="Arial"/>
                <w:sz w:val="14"/>
                <w:szCs w:val="14"/>
                <w:color w:val="auto"/>
              </w:rPr>
              <w:t>Sales/Direct Operating Cost of Submission</w:t>
            </w:r>
          </w:p>
        </w:tc>
        <w:tc>
          <w:tcPr>
            <w:tcW w:w="100" w:type="dxa"/>
            <w:vAlign w:val="bottom"/>
            <w:shd w:val="clear" w:color="auto" w:fill="929292"/>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sectPr>
      <w:pgSz w:w="11900" w:h="16838" w:orient="portrait"/>
      <w:cols w:equalWidth="0" w:num="1">
        <w:col w:w="11240"/>
      </w:cols>
      <w:pgMar w:left="320" w:top="8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2025-02-27T06:14:08Z</dcterms:created>
  <dcterms:modified xsi:type="dcterms:W3CDTF">2025-02-27T06:14:08Z</dcterms:modified>
</cp:coreProperties>
</file>