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May 23, 2023</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center"/>
        <w:rPr>
          <w:rFonts w:ascii="Arial;sans-serif" w:hAnsi="Arial;sans-serif"/>
          <w:b/>
          <w:color w:val="000000"/>
          <w:sz w:val="44"/>
        </w:rPr>
      </w:pPr>
      <w:r>
        <w:rPr>
          <w:rFonts w:ascii="Arial;sans-serif" w:hAnsi="Arial;sans-serif"/>
          <w:b/>
          <w:color w:val="000000"/>
          <w:sz w:val="44"/>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tbl>
      <w:tblPr>
        <w:tblW w:w="8817" w:type="dxa"/>
        <w:jc w:val="left"/>
        <w:tblInd w:w="0" w:type="dxa"/>
        <w:tblLayout w:type="fixed"/>
        <w:tblCellMar>
          <w:top w:w="28" w:type="dxa"/>
          <w:left w:w="28" w:type="dxa"/>
          <w:bottom w:w="28" w:type="dxa"/>
          <w:right w:w="28" w:type="dxa"/>
        </w:tblCellMar>
      </w:tblPr>
      <w:tblGrid>
        <w:gridCol w:w="1295"/>
        <w:gridCol w:w="1137"/>
        <w:gridCol w:w="1152"/>
        <w:gridCol w:w="762"/>
        <w:gridCol w:w="762"/>
        <w:gridCol w:w="770"/>
        <w:gridCol w:w="857"/>
        <w:gridCol w:w="857"/>
        <w:gridCol w:w="1225"/>
      </w:tblGrid>
      <w:tr>
        <w:trPr/>
        <w:tc>
          <w:tcPr>
            <w:tcW w:w="12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001-39390</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85-0563805</w:t>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272" w:type="dxa"/>
        <w:jc w:val="left"/>
        <w:tblInd w:w="0" w:type="dxa"/>
        <w:tblLayout w:type="fixed"/>
        <w:tblCellMar>
          <w:top w:w="28" w:type="dxa"/>
          <w:left w:w="28" w:type="dxa"/>
          <w:bottom w:w="28" w:type="dxa"/>
          <w:right w:w="28" w:type="dxa"/>
        </w:tblCellMar>
      </w:tblPr>
      <w:tblGrid>
        <w:gridCol w:w="602"/>
        <w:gridCol w:w="530"/>
        <w:gridCol w:w="530"/>
        <w:gridCol w:w="530"/>
        <w:gridCol w:w="530"/>
        <w:gridCol w:w="530"/>
        <w:gridCol w:w="299"/>
        <w:gridCol w:w="299"/>
        <w:gridCol w:w="422"/>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2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214 West Huron St.</w:t>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60654</w:t>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Chicago,</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Illinois</w:t>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611" w:type="dxa"/>
        <w:jc w:val="left"/>
        <w:tblInd w:w="0" w:type="dxa"/>
        <w:tblLayout w:type="fixed"/>
        <w:tblCellMar>
          <w:top w:w="28" w:type="dxa"/>
          <w:left w:w="28" w:type="dxa"/>
          <w:bottom w:w="28" w:type="dxa"/>
          <w:right w:w="28" w:type="dxa"/>
        </w:tblCellMar>
      </w:tblPr>
      <w:tblGrid>
        <w:gridCol w:w="124"/>
        <w:gridCol w:w="109"/>
        <w:gridCol w:w="109"/>
        <w:gridCol w:w="2713"/>
        <w:gridCol w:w="2713"/>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5.07. Submission of Matters to a Vote of Security Holders.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May 23, 2023, the Company held its 2023 Annual Meeting of Stockholders (the “Annual Meeting”). A total of 19,307,696 shares of the Company’s Preferred Stock and Class A and Class B common stock (collectively, “Stock”) were present in person or represented by proxy at the Annual Meeting, representing approximately 74% percent of the Company’s outstanding Stock as of the March 28, 2023 record date. The following are the voting results for the proposals considered and voted upon at the Annual Meeting, each of which was described in the Company’s Definitive Proxy Statement filed with the Securities and Exchange Commission on April 11, 2023.</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Item 1 — Election of three Class III directors for a term of office expiring on the date of the annual meeting of stockholders to be held in 2026 and until their respective successors have been duly elected and qualified.</w:t>
      </w:r>
    </w:p>
    <w:p>
      <w:pPr>
        <w:pStyle w:val="TextBody"/>
        <w:bidi w:val="0"/>
        <w:spacing w:before="0" w:after="0"/>
        <w:jc w:val="left"/>
        <w:rPr/>
      </w:pPr>
      <w:r>
        <w:rPr/>
      </w:r>
    </w:p>
    <w:tbl>
      <w:tblPr>
        <w:tblW w:w="5774" w:type="dxa"/>
        <w:jc w:val="left"/>
        <w:tblInd w:w="0" w:type="dxa"/>
        <w:tblLayout w:type="fixed"/>
        <w:tblCellMar>
          <w:top w:w="28" w:type="dxa"/>
          <w:left w:w="28" w:type="dxa"/>
          <w:bottom w:w="28" w:type="dxa"/>
          <w:right w:w="28" w:type="dxa"/>
        </w:tblCellMar>
      </w:tblPr>
      <w:tblGrid>
        <w:gridCol w:w="568"/>
        <w:gridCol w:w="502"/>
        <w:gridCol w:w="504"/>
        <w:gridCol w:w="344"/>
        <w:gridCol w:w="344"/>
        <w:gridCol w:w="348"/>
        <w:gridCol w:w="519"/>
        <w:gridCol w:w="519"/>
        <w:gridCol w:w="521"/>
        <w:gridCol w:w="470"/>
        <w:gridCol w:w="470"/>
        <w:gridCol w:w="665"/>
      </w:tblGrid>
      <w:tr>
        <w:trPr/>
        <w:tc>
          <w:tcPr>
            <w:tcW w:w="56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FOR</w:t>
            </w:r>
          </w:p>
        </w:tc>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WITHHELD</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Broker Non-Votes</w:t>
            </w:r>
          </w:p>
        </w:tc>
      </w:tr>
      <w:tr>
        <w:trPr/>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Clinton P. Jones</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16,476,370</w:t>
            </w:r>
          </w:p>
        </w:tc>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206,338</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2,624,988</w:t>
            </w:r>
          </w:p>
        </w:tc>
      </w:tr>
      <w:tr>
        <w:trPr/>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Jeremy W. Gelber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16,482,346</w:t>
            </w:r>
          </w:p>
        </w:tc>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200,362</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2,624,988</w:t>
            </w:r>
          </w:p>
        </w:tc>
      </w:tr>
      <w:tr>
        <w:trPr/>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Karolina H. Hilu</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16,668,150</w:t>
            </w:r>
          </w:p>
        </w:tc>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14,558</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2,624,988</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Item 2 — Ratification of the appointment of Ernst &amp; Young LLP as the Company’s independent registered public accounting firm for the year ending December 31, 2023.</w:t>
      </w:r>
    </w:p>
    <w:p>
      <w:pPr>
        <w:pStyle w:val="TextBody"/>
        <w:bidi w:val="0"/>
        <w:spacing w:before="0" w:after="0"/>
        <w:jc w:val="left"/>
        <w:rPr/>
      </w:pPr>
      <w:r>
        <w:rPr/>
      </w:r>
    </w:p>
    <w:tbl>
      <w:tblPr>
        <w:tblW w:w="5684" w:type="dxa"/>
        <w:jc w:val="left"/>
        <w:tblInd w:w="0" w:type="dxa"/>
        <w:tblLayout w:type="fixed"/>
        <w:tblCellMar>
          <w:top w:w="28" w:type="dxa"/>
          <w:left w:w="28" w:type="dxa"/>
          <w:bottom w:w="28" w:type="dxa"/>
          <w:right w:w="28" w:type="dxa"/>
        </w:tblCellMar>
      </w:tblPr>
      <w:tblGrid>
        <w:gridCol w:w="380"/>
        <w:gridCol w:w="333"/>
        <w:gridCol w:w="338"/>
        <w:gridCol w:w="464"/>
        <w:gridCol w:w="464"/>
        <w:gridCol w:w="466"/>
        <w:gridCol w:w="544"/>
        <w:gridCol w:w="544"/>
        <w:gridCol w:w="546"/>
        <w:gridCol w:w="470"/>
        <w:gridCol w:w="470"/>
        <w:gridCol w:w="665"/>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FOR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AGAINST</w:t>
            </w:r>
          </w:p>
        </w:tc>
        <w:tc>
          <w:tcPr>
            <w:tcW w:w="1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ABSTAINED</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19,286,046</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12,192</w:t>
            </w:r>
          </w:p>
        </w:tc>
        <w:tc>
          <w:tcPr>
            <w:tcW w:w="1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9,458</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Item 3 — Approval on an advisory basis, the compensation of the Company’s named executive officers.</w:t>
      </w:r>
    </w:p>
    <w:p>
      <w:pPr>
        <w:pStyle w:val="TextBody"/>
        <w:bidi w:val="0"/>
        <w:spacing w:before="0" w:after="0"/>
        <w:jc w:val="left"/>
        <w:rPr/>
      </w:pPr>
      <w:r>
        <w:rPr/>
      </w:r>
    </w:p>
    <w:tbl>
      <w:tblPr>
        <w:tblW w:w="5684" w:type="dxa"/>
        <w:jc w:val="left"/>
        <w:tblInd w:w="0" w:type="dxa"/>
        <w:tblLayout w:type="fixed"/>
        <w:tblCellMar>
          <w:top w:w="28" w:type="dxa"/>
          <w:left w:w="28" w:type="dxa"/>
          <w:bottom w:w="28" w:type="dxa"/>
          <w:right w:w="28" w:type="dxa"/>
        </w:tblCellMar>
      </w:tblPr>
      <w:tblGrid>
        <w:gridCol w:w="380"/>
        <w:gridCol w:w="333"/>
        <w:gridCol w:w="338"/>
        <w:gridCol w:w="464"/>
        <w:gridCol w:w="464"/>
        <w:gridCol w:w="466"/>
        <w:gridCol w:w="544"/>
        <w:gridCol w:w="544"/>
        <w:gridCol w:w="546"/>
        <w:gridCol w:w="470"/>
        <w:gridCol w:w="470"/>
        <w:gridCol w:w="665"/>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FOR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AGAINST</w:t>
            </w:r>
          </w:p>
        </w:tc>
        <w:tc>
          <w:tcPr>
            <w:tcW w:w="1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Votes ABSTAINED</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u w:val="single"/>
              </w:rPr>
            </w:pPr>
            <w:r>
              <w:rPr>
                <w:rFonts w:ascii="Arial;sans-serif" w:hAnsi="Arial;sans-serif"/>
                <w:b w:val="false"/>
                <w:color w:val="000000"/>
                <w:sz w:val="18"/>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16,604,620</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73,103</w:t>
            </w:r>
          </w:p>
        </w:tc>
        <w:tc>
          <w:tcPr>
            <w:tcW w:w="1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4,985</w:t>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2,624,988</w:t>
            </w:r>
          </w:p>
        </w:tc>
      </w:tr>
    </w:tbl>
    <w:p>
      <w:pPr>
        <w:pStyle w:val="TextBody"/>
        <w:bidi w:val="0"/>
        <w:spacing w:before="0" w:after="0"/>
        <w:jc w:val="left"/>
        <w:rPr/>
      </w:pPr>
      <w:r>
        <w:rPr/>
      </w:r>
    </w:p>
    <w:p>
      <w:pPr>
        <w:pStyle w:val="TextBody"/>
        <w:bidi w:val="0"/>
        <w:spacing w:lineRule="auto" w:line="232" w:before="0" w:after="0"/>
        <w:jc w:val="left"/>
        <w:rPr>
          <w:rFonts w:ascii="Arial;sans-serif" w:hAnsi="Arial;sans-serif"/>
          <w:b w:val="false"/>
          <w:color w:val="000000"/>
          <w:sz w:val="18"/>
        </w:rPr>
      </w:pPr>
      <w:r>
        <w:rPr>
          <w:rFonts w:ascii="Arial;sans-serif" w:hAnsi="Arial;sans-serif"/>
          <w:b w:val="false"/>
          <w:color w:val="000000"/>
          <w:sz w:val="18"/>
        </w:rPr>
        <w:t xml:space="preserve">Based on the foregoing voting results, Clinton P. Jones, Jeremy W. Gelber, and Karolina H. Hilu were elected as Class III directors and Items 2 and 3 were approved.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4184" w:type="dxa"/>
        <w:jc w:val="left"/>
        <w:tblInd w:w="0" w:type="dxa"/>
        <w:tblLayout w:type="fixed"/>
        <w:tblCellMar>
          <w:top w:w="28" w:type="dxa"/>
          <w:left w:w="28" w:type="dxa"/>
          <w:bottom w:w="28" w:type="dxa"/>
          <w:right w:w="28" w:type="dxa"/>
        </w:tblCellMar>
      </w:tblPr>
      <w:tblGrid>
        <w:gridCol w:w="201"/>
        <w:gridCol w:w="176"/>
        <w:gridCol w:w="178"/>
        <w:gridCol w:w="404"/>
        <w:gridCol w:w="404"/>
        <w:gridCol w:w="407"/>
        <w:gridCol w:w="250"/>
        <w:gridCol w:w="250"/>
        <w:gridCol w:w="250"/>
        <w:gridCol w:w="486"/>
        <w:gridCol w:w="486"/>
        <w:gridCol w:w="69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GOHEALTH,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25, 2023</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Brian Farley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Brian Farley</w:t>
            </w:r>
          </w:p>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3418</Characters>
  <CharactersWithSpaces>3954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