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11,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GoHealth,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924" w:type="dxa"/>
        <w:tblCellMar>
          <w:top w:w="0" w:type="dxa"/>
          <w:left w:w="0" w:type="dxa"/>
          <w:bottom w:w="0" w:type="dxa"/>
          <w:right w:w="0" w:type="dxa"/>
        </w:tblCellMar>
      </w:tblPr>
      <w:tr>
        <w:trPr>
          <w:trHeight w:val="214"/>
        </w:trPr>
        <w:tc>
          <w:tcPr>
            <w:tcW w:w="4120" w:type="dxa"/>
            <w:vAlign w:val="bottom"/>
          </w:tcPr>
          <w:p>
            <w:pPr>
              <w:jc w:val="center"/>
              <w:ind w:right="21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001-39390</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85-0563805</w:t>
            </w:r>
          </w:p>
        </w:tc>
      </w:tr>
      <w:tr>
        <w:trPr>
          <w:trHeight w:val="148"/>
        </w:trPr>
        <w:tc>
          <w:tcPr>
            <w:tcW w:w="4120" w:type="dxa"/>
            <w:vAlign w:val="bottom"/>
          </w:tcPr>
          <w:p>
            <w:pPr>
              <w:jc w:val="center"/>
              <w:ind w:right="21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3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120" w:type="dxa"/>
            <w:vAlign w:val="bottom"/>
          </w:tcPr>
          <w:p>
            <w:pPr>
              <w:jc w:val="center"/>
              <w:ind w:right="21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3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120" w:type="dxa"/>
            <w:vAlign w:val="bottom"/>
          </w:tcPr>
          <w:p>
            <w:pPr>
              <w:jc w:val="center"/>
              <w:ind w:left="1339"/>
              <w:spacing w:after="0"/>
              <w:rPr>
                <w:sz w:val="20"/>
                <w:szCs w:val="20"/>
                <w:color w:val="auto"/>
              </w:rPr>
            </w:pPr>
            <w:r>
              <w:rPr>
                <w:rFonts w:ascii="Times New Roman" w:cs="Times New Roman" w:eastAsia="Times New Roman" w:hAnsi="Times New Roman"/>
                <w:sz w:val="18"/>
                <w:szCs w:val="18"/>
                <w:b w:val="1"/>
                <w:bCs w:val="1"/>
                <w:color w:val="auto"/>
                <w:w w:val="99"/>
              </w:rPr>
              <w:t>214 West Huron St.</w:t>
            </w:r>
          </w:p>
        </w:tc>
        <w:tc>
          <w:tcPr>
            <w:tcW w:w="23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4120" w:type="dxa"/>
            <w:vAlign w:val="bottom"/>
          </w:tcPr>
          <w:p>
            <w:pPr>
              <w:jc w:val="center"/>
              <w:ind w:left="1339"/>
              <w:spacing w:after="0"/>
              <w:rPr>
                <w:sz w:val="20"/>
                <w:szCs w:val="20"/>
                <w:color w:val="auto"/>
              </w:rPr>
            </w:pPr>
            <w:r>
              <w:rPr>
                <w:rFonts w:ascii="Times New Roman" w:cs="Times New Roman" w:eastAsia="Times New Roman" w:hAnsi="Times New Roman"/>
                <w:sz w:val="18"/>
                <w:szCs w:val="18"/>
                <w:b w:val="1"/>
                <w:bCs w:val="1"/>
                <w:color w:val="auto"/>
              </w:rPr>
              <w:t>Chicago, Illinois</w:t>
            </w:r>
          </w:p>
        </w:tc>
        <w:tc>
          <w:tcPr>
            <w:tcW w:w="232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60654</w:t>
            </w:r>
          </w:p>
        </w:tc>
      </w:tr>
      <w:tr>
        <w:trPr>
          <w:trHeight w:val="190"/>
        </w:trPr>
        <w:tc>
          <w:tcPr>
            <w:tcW w:w="4120" w:type="dxa"/>
            <w:vAlign w:val="bottom"/>
          </w:tcPr>
          <w:p>
            <w:pPr>
              <w:jc w:val="center"/>
              <w:ind w:left="13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(312) 386-8200</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 Common Stock, $0.0001 par value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GOCO</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The Nasdaq Global Market</w:t>
            </w: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sectPr>
      </w:pPr>
    </w:p>
    <w:bookmarkStart w:id="1" w:name="page2"/>
    <w:bookmarkEnd w:id="1"/>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On November 11, 2020, GoHealth, Inc. issued a press release announcing its financial results for the quarter ended September 30, 2020. A copy of the press release is furnished as Exhibit 99.1 to this Current Report on Form 8-K.</w:t>
      </w:r>
    </w:p>
    <w:p>
      <w:pPr>
        <w:spacing w:after="0" w:line="162" w:lineRule="exact"/>
        <w:rPr>
          <w:sz w:val="20"/>
          <w:szCs w:val="20"/>
          <w:color w:val="auto"/>
        </w:rPr>
      </w:pPr>
    </w:p>
    <w:p>
      <w:pPr>
        <w:ind w:left="4" w:right="240"/>
        <w:spacing w:after="0" w:line="266" w:lineRule="auto"/>
        <w:rPr>
          <w:sz w:val="20"/>
          <w:szCs w:val="20"/>
          <w:color w:val="auto"/>
        </w:rPr>
      </w:pPr>
      <w:r>
        <w:rPr>
          <w:rFonts w:ascii="Times New Roman" w:cs="Times New Roman" w:eastAsia="Times New Roman" w:hAnsi="Times New Roman"/>
          <w:sz w:val="18"/>
          <w:szCs w:val="18"/>
          <w:color w:val="auto"/>
        </w:rPr>
        <w:t>The information furnished pursuant to this Item 2.02 and Exhibit 99.1 attached hereto shall not be deemed filed for purposes of Section 18 of the Securities Exchange Act of 1934 or otherwise subject to the liabilities of that section, nor shall it be deemed incorporated by reference in any filing under the Securities Act of 1933, except as shall be expressly set forth by specific reference in such filing.</w:t>
      </w:r>
    </w:p>
    <w:p>
      <w:pPr>
        <w:spacing w:after="0" w:line="32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2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73"/>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34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3420" w:type="dxa"/>
            <w:vAlign w:val="bottom"/>
            <w:gridSpan w:val="3"/>
          </w:tcPr>
          <w:p>
            <w:pPr>
              <w:ind w:left="540"/>
              <w:spacing w:after="0"/>
              <w:rPr>
                <w:rFonts w:ascii="Times New Roman" w:cs="Times New Roman" w:eastAsia="Times New Roman" w:hAnsi="Times New Roman"/>
                <w:sz w:val="18"/>
                <w:szCs w:val="18"/>
                <w:u w:val="single" w:color="auto"/>
                <w:color w:val="0000EE"/>
                <w:w w:val="99"/>
              </w:rPr>
            </w:pPr>
            <w:hyperlink w:anchor="page4">
              <w:r>
                <w:rPr>
                  <w:rFonts w:ascii="Times New Roman" w:cs="Times New Roman" w:eastAsia="Times New Roman" w:hAnsi="Times New Roman"/>
                  <w:sz w:val="18"/>
                  <w:szCs w:val="18"/>
                  <w:u w:val="single" w:color="auto"/>
                  <w:color w:val="0000EE"/>
                  <w:w w:val="99"/>
                </w:rPr>
                <w:t>Press release, dated November 11, 2020</w:t>
              </w:r>
            </w:hyperlink>
          </w:p>
        </w:tc>
        <w:tc>
          <w:tcPr>
            <w:tcW w:w="0" w:type="dxa"/>
            <w:vAlign w:val="bottom"/>
          </w:tcPr>
          <w:p>
            <w:pPr>
              <w:spacing w:after="0"/>
              <w:rPr>
                <w:sz w:val="1"/>
                <w:szCs w:val="1"/>
                <w:color w:val="auto"/>
              </w:rPr>
            </w:pPr>
          </w:p>
        </w:tc>
      </w:tr>
    </w:tbl>
    <w:p>
      <w:pPr>
        <w:sectPr>
          <w:pgSz w:w="11900" w:h="16838" w:orient="portrait"/>
          <w:cols w:equalWidth="0" w:num="1">
            <w:col w:w="10824"/>
          </w:cols>
          <w:pgMar w:left="436" w:top="266" w:right="6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40" w:type="dxa"/>
            <w:vAlign w:val="bottom"/>
          </w:tcPr>
          <w:p>
            <w:pPr>
              <w:spacing w:after="0"/>
              <w:rPr>
                <w:sz w:val="18"/>
                <w:szCs w:val="18"/>
                <w:color w:val="auto"/>
              </w:rPr>
            </w:pPr>
          </w:p>
        </w:tc>
        <w:tc>
          <w:tcPr>
            <w:tcW w:w="346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GoHealth, Inc.</w:t>
            </w:r>
          </w:p>
        </w:tc>
        <w:tc>
          <w:tcPr>
            <w:tcW w:w="3820" w:type="dxa"/>
            <w:vAlign w:val="bottom"/>
          </w:tcPr>
          <w:p>
            <w:pPr>
              <w:spacing w:after="0"/>
              <w:rPr>
                <w:sz w:val="18"/>
                <w:szCs w:val="18"/>
                <w:color w:val="auto"/>
              </w:rPr>
            </w:pPr>
          </w:p>
        </w:tc>
      </w:tr>
      <w:tr>
        <w:trPr>
          <w:trHeight w:val="238"/>
        </w:trPr>
        <w:tc>
          <w:tcPr>
            <w:tcW w:w="3740" w:type="dxa"/>
            <w:vAlign w:val="bottom"/>
          </w:tcPr>
          <w:p>
            <w:pPr>
              <w:spacing w:after="0"/>
              <w:rPr>
                <w:sz w:val="20"/>
                <w:szCs w:val="20"/>
                <w:color w:val="auto"/>
              </w:rPr>
            </w:pPr>
          </w:p>
        </w:tc>
        <w:tc>
          <w:tcPr>
            <w:tcW w:w="346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w:t>
            </w:r>
          </w:p>
        </w:tc>
        <w:tc>
          <w:tcPr>
            <w:tcW w:w="3820" w:type="dxa"/>
            <w:vAlign w:val="bottom"/>
          </w:tcPr>
          <w:p>
            <w:pPr>
              <w:spacing w:after="0"/>
              <w:rPr>
                <w:sz w:val="20"/>
                <w:szCs w:val="20"/>
                <w:color w:val="auto"/>
              </w:rPr>
            </w:pP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2020</w:t>
            </w:r>
          </w:p>
        </w:tc>
        <w:tc>
          <w:tcPr>
            <w:tcW w:w="346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jc w:val="center"/>
              <w:ind w:right="1070"/>
              <w:spacing w:after="0"/>
              <w:rPr>
                <w:sz w:val="20"/>
                <w:szCs w:val="20"/>
                <w:color w:val="auto"/>
              </w:rPr>
            </w:pPr>
            <w:r>
              <w:rPr>
                <w:rFonts w:ascii="Times New Roman" w:cs="Times New Roman" w:eastAsia="Times New Roman" w:hAnsi="Times New Roman"/>
                <w:sz w:val="18"/>
                <w:szCs w:val="18"/>
                <w:color w:val="auto"/>
                <w:w w:val="98"/>
              </w:rPr>
              <w:t>/s/ Travis J. Matthiesen</w:t>
            </w:r>
          </w:p>
        </w:tc>
      </w:tr>
      <w:tr>
        <w:trPr>
          <w:trHeight w:val="191"/>
        </w:trPr>
        <w:tc>
          <w:tcPr>
            <w:tcW w:w="37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3820" w:type="dxa"/>
            <w:vAlign w:val="bottom"/>
            <w:tcBorders>
              <w:top w:val="single" w:sz="8" w:color="auto"/>
            </w:tcBorders>
          </w:tcPr>
          <w:p>
            <w:pPr>
              <w:jc w:val="center"/>
              <w:ind w:right="1070"/>
              <w:spacing w:after="0" w:line="191" w:lineRule="exact"/>
              <w:rPr>
                <w:sz w:val="20"/>
                <w:szCs w:val="20"/>
                <w:color w:val="auto"/>
              </w:rPr>
            </w:pPr>
            <w:r>
              <w:rPr>
                <w:rFonts w:ascii="Times New Roman" w:cs="Times New Roman" w:eastAsia="Times New Roman" w:hAnsi="Times New Roman"/>
                <w:sz w:val="18"/>
                <w:szCs w:val="18"/>
                <w:color w:val="auto"/>
                <w:w w:val="99"/>
              </w:rPr>
              <w:t>Travis J. Matthiesen</w:t>
            </w:r>
          </w:p>
        </w:tc>
      </w:tr>
      <w:tr>
        <w:trPr>
          <w:trHeight w:val="234"/>
        </w:trPr>
        <w:tc>
          <w:tcPr>
            <w:tcW w:w="37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2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w w:val="99"/>
              </w:rPr>
              <w:t>Chief Financial Officer</w:t>
            </w:r>
          </w:p>
        </w:tc>
      </w:tr>
    </w:tbl>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GoHealth Reports Third Quarter 2020 Results and Increases 2020 Outlook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 Result of Strong Medicare Enrollments and Operating Leverage</w:t>
      </w:r>
    </w:p>
    <w:p>
      <w:pPr>
        <w:spacing w:after="0" w:line="20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CHICAGO, November 11, 2020 — GoHealth, Inc. (GoHealth or the Company) (Nasdaq: GOCO), a leading health insurance marketplace, announced financial results for the three and nine months ended September 30, 2020.</w:t>
      </w:r>
    </w:p>
    <w:p>
      <w:pPr>
        <w:spacing w:after="0" w:line="67" w:lineRule="exact"/>
        <w:rPr>
          <w:sz w:val="20"/>
          <w:szCs w:val="20"/>
          <w:color w:val="auto"/>
        </w:rPr>
      </w:pPr>
    </w:p>
    <w:p>
      <w:pPr>
        <w:ind w:left="960" w:right="8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quarter 2020 net revenues of $163.4 million increased 52% compared to the prior year period, and year-to-date 2020 net revenues of $431.4 million increased 72% compared to the prior year period</w:t>
      </w:r>
    </w:p>
    <w:p>
      <w:pPr>
        <w:spacing w:after="0" w:line="67" w:lineRule="exact"/>
        <w:rPr>
          <w:rFonts w:ascii="Times New Roman" w:cs="Times New Roman" w:eastAsia="Times New Roman" w:hAnsi="Times New Roman"/>
          <w:sz w:val="18"/>
          <w:szCs w:val="18"/>
          <w:color w:val="auto"/>
        </w:rPr>
      </w:pPr>
    </w:p>
    <w:p>
      <w:pPr>
        <w:ind w:left="960" w:right="220" w:hanging="424"/>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quarter 2020 net loss of $206.5 million, included $209.3 million of accelerated vesting of certain equity awards in connection with the IPO</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and year-to-date 2020 net loss of $230.3 million, included $209.3 million of accelerated vesting of certain equity awards in connection with the IPO</w:t>
      </w:r>
      <w:r>
        <w:rPr>
          <w:rFonts w:ascii="Times New Roman" w:cs="Times New Roman" w:eastAsia="Times New Roman" w:hAnsi="Times New Roman"/>
          <w:sz w:val="15"/>
          <w:szCs w:val="15"/>
          <w:color w:val="auto"/>
        </w:rPr>
        <w:t>1</w:t>
      </w:r>
    </w:p>
    <w:p>
      <w:pPr>
        <w:spacing w:after="0" w:line="81"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quarter 2020 adjusted EBITDA</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of $39.3 million increased 142% compared to the prior year period, and year-to-date 2020 adjusted EBITDA of $101.1 million increased 149% compared to the prior year period</w:t>
      </w:r>
    </w:p>
    <w:p>
      <w:pPr>
        <w:spacing w:after="0" w:line="67" w:lineRule="exact"/>
        <w:rPr>
          <w:rFonts w:ascii="Times New Roman" w:cs="Times New Roman" w:eastAsia="Times New Roman" w:hAnsi="Times New Roman"/>
          <w:sz w:val="18"/>
          <w:szCs w:val="18"/>
          <w:color w:val="auto"/>
        </w:rPr>
      </w:pPr>
    </w:p>
    <w:p>
      <w:pPr>
        <w:ind w:left="960" w:right="40" w:hanging="424"/>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updated its full year 2020 outlook, and now expects net revenues of $850-$890 million and adjusted EBITDA</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of $270-$290 million given the robust start to the Annual Enrollment Period, with 83% submission growth in October and a 4% improvement in agent conversion</w:t>
      </w:r>
    </w:p>
    <w:p>
      <w:pPr>
        <w:spacing w:after="0" w:line="17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Clint Jones, co-founder and CEO said, “GoHealth’s third quarter adjusted EBITDA growth of 142% was powered by 52% revenue growth and strong operating leverage as we continue to efficiently scale the business. These excellent results marked a continuation of year-to-date trends as consumers increasingly turn to GoHealth’s leading DTC platform to find the best Medicare policies to meet their unique needs.”</w:t>
      </w:r>
    </w:p>
    <w:p>
      <w:pPr>
        <w:spacing w:after="0" w:line="176" w:lineRule="exact"/>
        <w:rPr>
          <w:sz w:val="20"/>
          <w:szCs w:val="20"/>
          <w:color w:val="auto"/>
        </w:rPr>
      </w:pPr>
    </w:p>
    <w:p>
      <w:pPr>
        <w:ind w:right="140"/>
        <w:spacing w:after="0" w:line="277" w:lineRule="auto"/>
        <w:rPr>
          <w:sz w:val="20"/>
          <w:szCs w:val="20"/>
          <w:color w:val="auto"/>
        </w:rPr>
      </w:pPr>
      <w:r>
        <w:rPr>
          <w:rFonts w:ascii="Times New Roman" w:cs="Times New Roman" w:eastAsia="Times New Roman" w:hAnsi="Times New Roman"/>
          <w:sz w:val="17"/>
          <w:szCs w:val="17"/>
          <w:color w:val="auto"/>
        </w:rPr>
        <w:t>Jones continued, “Our proprietary, vertically-integrated technology platform and high performance marketing organization allow us to efficiently grow our carrier partners’ Medicare membership base. This growth is guided by our LTV/CAC focus, ensuring that we generate quick payback periods. Our TeleCare team administers GoHealth’s Encompass programs on behalf of our carrier partners and further supports consumer persistency by proactively engaging with and educating consumers about their benefits through Plan Fit Check calls. The strength and differentiation of our business model is evident in our third quarter operating cash flow of $33 million as well as a 5% increase in LTVs, fueled by improving persistency trends.”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Year-To-Date 2020 Highlights</w:t>
      </w:r>
    </w:p>
    <w:p>
      <w:pPr>
        <w:spacing w:after="0" w:line="30" w:lineRule="exact"/>
        <w:rPr>
          <w:sz w:val="20"/>
          <w:szCs w:val="20"/>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Medicare Submitted Policies</w:t>
      </w:r>
      <w:r>
        <w:rPr>
          <w:rFonts w:ascii="Times New Roman" w:cs="Times New Roman" w:eastAsia="Times New Roman" w:hAnsi="Times New Roman"/>
          <w:sz w:val="15"/>
          <w:szCs w:val="15"/>
          <w:color w:val="auto"/>
        </w:rPr>
        <w:t>3</w:t>
      </w:r>
      <w:r>
        <w:rPr>
          <w:rFonts w:ascii="Times New Roman" w:cs="Times New Roman" w:eastAsia="Times New Roman" w:hAnsi="Times New Roman"/>
          <w:sz w:val="18"/>
          <w:szCs w:val="18"/>
          <w:color w:val="auto"/>
        </w:rPr>
        <w:t xml:space="preserve"> grew 103% during the first nine months to 355,544</w:t>
      </w:r>
    </w:p>
    <w:p>
      <w:pPr>
        <w:spacing w:after="0" w:line="113"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Medicare—Internal revenue increased 172% to $316.2 million</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Medicare—Internal profit increased 191% to $123.9 million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growth of 149% as margins expanded from 16.2% to 23.4%</w:t>
      </w:r>
    </w:p>
    <w:p>
      <w:pPr>
        <w:spacing w:after="0" w:line="130"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LTV/CAC</w:t>
      </w:r>
      <w:r>
        <w:rPr>
          <w:rFonts w:ascii="Times New Roman" w:cs="Times New Roman" w:eastAsia="Times New Roman" w:hAnsi="Times New Roman"/>
          <w:sz w:val="15"/>
          <w:szCs w:val="15"/>
          <w:color w:val="auto"/>
        </w:rPr>
        <w:t>4</w:t>
      </w:r>
      <w:r>
        <w:rPr>
          <w:rFonts w:ascii="Times New Roman" w:cs="Times New Roman" w:eastAsia="Times New Roman" w:hAnsi="Times New Roman"/>
          <w:sz w:val="18"/>
          <w:szCs w:val="18"/>
          <w:color w:val="auto"/>
        </w:rPr>
        <w:t xml:space="preserve"> for the Medicare-Internal segment increased from 2.5x to 3.0x during the first nine months of 2020, driven by lower marketing costs per opportunity and higher agent sales conversion</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LTV per carrier approved Medicare Advantage submission increased 2% from $899 to $913 during the first nine months of 2020</w:t>
      </w:r>
    </w:p>
    <w:p>
      <w:pPr>
        <w:spacing w:after="0" w:line="130"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improvement in persistency during the first nine months compared to the prior year period</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LTV per carrier-approved Medicare Advantage submission increased 5% from $939 to $987 during the third quarter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positive year-to-date cash flow from operations of $28.8 million while increasing commission receivables by $117.9 million</w:t>
      </w:r>
    </w:p>
    <w:p>
      <w:pPr>
        <w:spacing w:after="0" w:line="130" w:lineRule="exact"/>
        <w:rPr>
          <w:rFonts w:ascii="Times New Roman" w:cs="Times New Roman" w:eastAsia="Times New Roman" w:hAnsi="Times New Roman"/>
          <w:sz w:val="18"/>
          <w:szCs w:val="18"/>
          <w:color w:val="auto"/>
        </w:rPr>
      </w:pPr>
    </w:p>
    <w:p>
      <w:pPr>
        <w:ind w:left="960" w:right="44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 increase in Medicare – Internal licensed agents from 849 to 1,493 as of September 30, 2020 and made substantial investments in training ahead of the Annual Enrollment Period</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over year new agent productivity +13%</w:t>
      </w:r>
    </w:p>
    <w:p>
      <w:pPr>
        <w:spacing w:after="0" w:line="130"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TeleCare team of 275 agents ramped up retention conversations including Plan Fit Checks to maximize satisfaction and improve recapture rates into AEP</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Enterprise programs to 26, including the addition of six new Encompass initiatives across multiple partners</w:t>
      </w:r>
    </w:p>
    <w:p>
      <w:pPr>
        <w:spacing w:after="0" w:line="130"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expanded carrier footprint with UnitedHealthcare, Aetna, Cigna, Kaiser Permanente and Allwell, providing consumers with market-leading plan options in almost all counties in the United States</w:t>
      </w:r>
    </w:p>
    <w:p>
      <w:pPr>
        <w:sectPr>
          <w:pgSz w:w="11900" w:h="16838" w:orient="portrait"/>
          <w:cols w:equalWidth="0" w:num="1">
            <w:col w:w="11020"/>
          </w:cols>
          <w:pgMar w:left="440" w:top="117" w:right="43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Financial Outlook</w:t>
      </w:r>
    </w:p>
    <w:p>
      <w:pPr>
        <w:spacing w:after="0" w:line="12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The trajectory of the US economy remains challenging to predict, particularly given the heightened uncertainty associated with the COVID-19 pandemic. During this time, demand for healthcare has demonstrated great resilience, and we believe that the COVID-19 pandemic has created favorable industry dynamics for technology-driven direct-to-consumer models such as GoHealth’s insurance marketplace. The Company has updated its outlook for the fiscal year ending December 31, 2020 based on current market conditions and expectations:</w:t>
      </w:r>
    </w:p>
    <w:p>
      <w:pPr>
        <w:spacing w:after="0" w:line="81" w:lineRule="exact"/>
        <w:rPr>
          <w:sz w:val="20"/>
          <w:szCs w:val="20"/>
          <w:color w:val="auto"/>
        </w:rPr>
      </w:pPr>
    </w:p>
    <w:p>
      <w:pPr>
        <w:ind w:left="964" w:hanging="424"/>
        <w:spacing w:after="0"/>
        <w:tabs>
          <w:tab w:leader="none" w:pos="9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Full year 2020 net revenue of $850 - $890 million, representing year-over-year growth of 58% - 65%</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Full year 2020 adjusted EBITDA of $270 - $290 million, representing year-over-year growth of 58% - 70%</w:t>
      </w:r>
    </w:p>
    <w:p>
      <w:pPr>
        <w:spacing w:after="0" w:line="229" w:lineRule="exact"/>
        <w:rPr>
          <w:sz w:val="20"/>
          <w:szCs w:val="20"/>
          <w:color w:val="auto"/>
        </w:rPr>
      </w:pPr>
    </w:p>
    <w:p>
      <w:pPr>
        <w:jc w:val="both"/>
        <w:ind w:left="4" w:right="80"/>
        <w:spacing w:after="0" w:line="261" w:lineRule="auto"/>
        <w:rPr>
          <w:sz w:val="20"/>
          <w:szCs w:val="20"/>
          <w:color w:val="auto"/>
        </w:rPr>
      </w:pPr>
      <w:r>
        <w:rPr>
          <w:rFonts w:ascii="Times New Roman" w:cs="Times New Roman" w:eastAsia="Times New Roman" w:hAnsi="Times New Roman"/>
          <w:sz w:val="18"/>
          <w:szCs w:val="18"/>
          <w:color w:val="auto"/>
        </w:rPr>
        <w:t>Jones concluded, “We are increasing our expectations for fiscal 2020 given our robust start to the Annual Enrollment Period, with October submissions up 83% over the prior October and well ahead of the 53% implied midpoint of revenue growth for the fourth quarter. The Medicare market is large and growing quickly, and we are just beginning to realize our long-term growth opportunity as we create value for our partners and deliver great results for our shareholders.”</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121" w:lineRule="exact"/>
        <w:rPr>
          <w:sz w:val="20"/>
          <w:szCs w:val="20"/>
          <w:color w:val="auto"/>
        </w:rPr>
      </w:pPr>
    </w:p>
    <w:p>
      <w:pPr>
        <w:ind w:left="4" w:right="200"/>
        <w:spacing w:after="0" w:line="276" w:lineRule="auto"/>
        <w:rPr>
          <w:sz w:val="20"/>
          <w:szCs w:val="20"/>
          <w:color w:val="auto"/>
        </w:rPr>
      </w:pPr>
      <w:r>
        <w:rPr>
          <w:rFonts w:ascii="Times New Roman" w:cs="Times New Roman" w:eastAsia="Times New Roman" w:hAnsi="Times New Roman"/>
          <w:sz w:val="17"/>
          <w:szCs w:val="17"/>
          <w:color w:val="auto"/>
        </w:rPr>
        <w:t xml:space="preserve">The Company will host a conference call today, Wednesday, November 11, 2020 at 5:00 pm (ET) to discuss its financial results. A live audio webcast and a supplemental presentation will be available online at </w:t>
      </w:r>
      <w:r>
        <w:rPr>
          <w:rFonts w:ascii="Times New Roman" w:cs="Times New Roman" w:eastAsia="Times New Roman" w:hAnsi="Times New Roman"/>
          <w:sz w:val="17"/>
          <w:szCs w:val="17"/>
          <w:u w:val="single" w:color="auto"/>
          <w:color w:val="auto"/>
        </w:rPr>
        <w:t>https://investors.gohealth.com</w:t>
      </w:r>
      <w:r>
        <w:rPr>
          <w:rFonts w:ascii="Times New Roman" w:cs="Times New Roman" w:eastAsia="Times New Roman" w:hAnsi="Times New Roman"/>
          <w:sz w:val="17"/>
          <w:szCs w:val="17"/>
          <w:color w:val="auto"/>
        </w:rPr>
        <w:t>. The conference call can also be accessed by dialing</w:t>
      </w:r>
    </w:p>
    <w:p>
      <w:pPr>
        <w:spacing w:after="0" w:line="1" w:lineRule="exact"/>
        <w:rPr>
          <w:sz w:val="20"/>
          <w:szCs w:val="20"/>
          <w:color w:val="auto"/>
        </w:rPr>
      </w:pPr>
    </w:p>
    <w:p>
      <w:pPr>
        <w:ind w:left="4" w:right="180"/>
        <w:spacing w:after="0" w:line="260" w:lineRule="auto"/>
        <w:rPr>
          <w:sz w:val="20"/>
          <w:szCs w:val="20"/>
          <w:color w:val="auto"/>
        </w:rPr>
      </w:pPr>
      <w:r>
        <w:rPr>
          <w:rFonts w:ascii="Times New Roman" w:cs="Times New Roman" w:eastAsia="Times New Roman" w:hAnsi="Times New Roman"/>
          <w:sz w:val="18"/>
          <w:szCs w:val="18"/>
          <w:color w:val="auto"/>
        </w:rPr>
        <w:t>1-833-519-1310 for U.S. participants, or 1-914-800-3876 for international participants, and referencing participant code 4374976. A replay of the call will be available via webcast for on-demand listening shortly after the completion of the call, at the same web link.</w:t>
      </w:r>
    </w:p>
    <w:p>
      <w:pPr>
        <w:spacing w:after="0" w:line="2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About GoHealth</w:t>
      </w:r>
    </w:p>
    <w:p>
      <w:pPr>
        <w:spacing w:after="0" w:line="121" w:lineRule="exact"/>
        <w:rPr>
          <w:sz w:val="20"/>
          <w:szCs w:val="20"/>
          <w:color w:val="auto"/>
        </w:rPr>
      </w:pPr>
    </w:p>
    <w:p>
      <w:pPr>
        <w:ind w:left="4" w:right="140"/>
        <w:spacing w:after="0" w:line="258" w:lineRule="auto"/>
        <w:rPr>
          <w:sz w:val="20"/>
          <w:szCs w:val="20"/>
          <w:color w:val="auto"/>
        </w:rPr>
      </w:pPr>
      <w:r>
        <w:rPr>
          <w:rFonts w:ascii="Times New Roman" w:cs="Times New Roman" w:eastAsia="Times New Roman" w:hAnsi="Times New Roman"/>
          <w:sz w:val="18"/>
          <w:szCs w:val="18"/>
          <w:color w:val="auto"/>
        </w:rPr>
        <w:t xml:space="preserve">As a leading health insurance marketplace, GoHealth’s mission is to improve access to healthcare in America. Enrolling in a health insurance plan can be confusing for customers, and the seemingly small differences between plans can lead to significant out-of-pocket costs or lack of access to critical medicines and even providers. GoHealth combines cutting-edge technology, data science and deep industry expertise to match customers with the healthcare policy and carrier that is best for them. Since its inception, GoHealth has enrolled millions of people in Medicare and individual and family plans. For more information, visit </w:t>
      </w:r>
      <w:r>
        <w:rPr>
          <w:rFonts w:ascii="Times New Roman" w:cs="Times New Roman" w:eastAsia="Times New Roman" w:hAnsi="Times New Roman"/>
          <w:sz w:val="18"/>
          <w:szCs w:val="18"/>
          <w:u w:val="single" w:color="auto"/>
          <w:color w:val="auto"/>
        </w:rPr>
        <w:t>https://www.gohealth.com</w:t>
      </w:r>
    </w:p>
    <w:p>
      <w:pPr>
        <w:spacing w:after="0" w:line="208" w:lineRule="exact"/>
        <w:rPr>
          <w:sz w:val="20"/>
          <w:szCs w:val="20"/>
          <w:color w:val="auto"/>
        </w:rPr>
      </w:pPr>
    </w:p>
    <w:p>
      <w:pPr>
        <w:ind w:left="424" w:hanging="424"/>
        <w:spacing w:after="0"/>
        <w:tabs>
          <w:tab w:leader="none" w:pos="424" w:val="left"/>
        </w:tabs>
        <w:numPr>
          <w:ilvl w:val="0"/>
          <w:numId w:val="6"/>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8"/>
          <w:szCs w:val="18"/>
          <w:i w:val="1"/>
          <w:iCs w:val="1"/>
          <w:color w:val="auto"/>
        </w:rPr>
        <w:t>Represents non-cash share-based compensation expense relating to the accelerated vesting of performance-vesting units in connection with the</w:t>
      </w:r>
    </w:p>
    <w:p>
      <w:pPr>
        <w:spacing w:after="0" w:line="225" w:lineRule="exact"/>
        <w:rPr>
          <w:sz w:val="20"/>
          <w:szCs w:val="20"/>
          <w:color w:val="auto"/>
        </w:rPr>
      </w:pPr>
    </w:p>
    <w:p>
      <w:pPr>
        <w:ind w:left="424" w:right="260" w:hanging="424"/>
        <w:spacing w:after="0" w:line="261" w:lineRule="auto"/>
        <w:tabs>
          <w:tab w:leader="none" w:pos="424" w:val="left"/>
        </w:tabs>
        <w:numPr>
          <w:ilvl w:val="0"/>
          <w:numId w:val="7"/>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8"/>
          <w:szCs w:val="18"/>
          <w:i w:val="1"/>
          <w:iCs w:val="1"/>
          <w:color w:val="auto"/>
        </w:rPr>
        <w:t>Adjusted EBITDA is a non-GAAP measure. For a definition of Adjusted EBITDA and a reconciliation to the most comparable GAAP measure, please refer to the appendix.</w:t>
      </w:r>
    </w:p>
    <w:p>
      <w:pPr>
        <w:spacing w:after="0" w:line="1" w:lineRule="exact"/>
        <w:rPr>
          <w:sz w:val="20"/>
          <w:szCs w:val="20"/>
          <w:color w:val="auto"/>
        </w:rPr>
      </w:pPr>
    </w:p>
    <w:p>
      <w:pPr>
        <w:ind w:left="424" w:hanging="424"/>
        <w:spacing w:after="0"/>
        <w:tabs>
          <w:tab w:leader="none" w:pos="424" w:val="left"/>
        </w:tabs>
        <w:numPr>
          <w:ilvl w:val="0"/>
          <w:numId w:val="8"/>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8"/>
          <w:szCs w:val="18"/>
          <w:i w:val="1"/>
          <w:iCs w:val="1"/>
          <w:color w:val="auto"/>
        </w:rPr>
        <w:t>Total Medicare Advantage Submitted Policies includes Commissionable and non-Commissionable Policies.</w:t>
      </w:r>
    </w:p>
    <w:p>
      <w:pPr>
        <w:spacing w:after="0" w:line="9" w:lineRule="exact"/>
        <w:rPr>
          <w:sz w:val="20"/>
          <w:szCs w:val="20"/>
          <w:color w:val="auto"/>
        </w:rPr>
      </w:pPr>
    </w:p>
    <w:p>
      <w:pPr>
        <w:jc w:val="both"/>
        <w:ind w:left="424" w:right="180" w:hanging="424"/>
        <w:spacing w:after="0" w:line="256" w:lineRule="auto"/>
        <w:tabs>
          <w:tab w:leader="none" w:pos="424" w:val="left"/>
        </w:tabs>
        <w:numPr>
          <w:ilvl w:val="0"/>
          <w:numId w:val="9"/>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8"/>
          <w:szCs w:val="18"/>
          <w:i w:val="1"/>
          <w:iCs w:val="1"/>
          <w:color w:val="auto"/>
        </w:rPr>
        <w:t>LTV/CAC defined as (i) aggregate commissions estimated to be collected over the estimated life of all Approved Submissions based on multiple factors, including but not limited to, contracted commission rates, carrier mix and expected policy persistency with applied constraints, or LTV, divided by (ii) the cost to convert a prospect into a customer less other non-commission carrier revenue for such period, or CAC.</w:t>
      </w:r>
    </w:p>
    <w:p>
      <w:pPr>
        <w:spacing w:after="0" w:line="2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Jay Koval, VP of Investor Relations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IR@gohealth.com</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Pressinquiries@gohealth.com</w:t>
      </w:r>
    </w:p>
    <w:p>
      <w:pPr>
        <w:sectPr>
          <w:pgSz w:w="11900" w:h="16838" w:orient="portrait"/>
          <w:cols w:equalWidth="0" w:num="1">
            <w:col w:w="10964"/>
          </w:cols>
          <w:pgMar w:left="436" w:top="266"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release contains forward-looking statements within the meaning of the Private Securities Litigation Reform Act of 1995. All statements other than statements of historical facts contained in this press release may be forward-looking statements. Statements regarding the Company’s future results of operations and financial position, business strategy and plans and objectives of management for future operations, including, among others, statements regarding expected financial performance and operational performance for the fiscal year 2020, including with respect to revenue and Adjusted EBITDA, and the Company’s performance during the Annual Enrollment Period, including with respect to agent conversion and implied growth for the fourth quarter of 2020, are forward-looking statements. In some cases, you can identify forward-looking statements by terms, such as “may,” “will,” “should,” “expects,” “plans,” “anticipates,” “could,” “intends,” “targets,” “projects,” “contemplates,” “believes,” “estimates,” “predicts,” “potential” or “continue” or the negative of these terms or other similar expressions. Accordingly, we caution you that any such forward-looking statements are not guarantees of future performance and are subject to risks, assumptions and uncertainties that are difficult to predict. Although the Company believes that the expectations reflected in these forward-looking statements are reasonable as of the date made, actual results may prove to be materially different from the results expressed or implied by the forward-looking statements. There are or will be important factors that could cause the Company’s actual results to differ materially from those indicated in these forward-looking statements, including, but are not limited to, the following: the Company’s ability to comply with the numerous, complex and frequently changing laws regulating the marketing and sale of Medicare plans; the potential for an adverse change in the Company’s relationships with carriers, including a loss of a carrier relationships; failure to grow the Company’s customer base or retain its existing customers; carriers’ ability to reduce commissions paid to the Company and adversely change their underwriting practices; significant consolidation in the healthcare industry which could adversely alter the Company’s relationships with carriers; information technology systems failures or capacity constraints interrupting the Company’s operations; factors that adversely impact the Company’s estimate of LTV; the Company’s dependence on agents to sell insurance plans; changes in the health insurance system and laws and regulation governing health insurance markets; the inability to effectively advertise the Company’s products; and our ability to successfully implement our business plan during a global economic downturn caused by the COVID-19 pandemic.</w:t>
      </w:r>
    </w:p>
    <w:p>
      <w:pPr>
        <w:spacing w:after="0" w:line="18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foregoing factors should not be construed as exhaustive and should be read together with the other cautionary statements included in this press release, as well as the cautionary statements and other risk factors set forth in the Company’s Quarterly Report on Form 10-Q for the third quarter ended September 30, 2020 filed with the SEC. If one or more events related to these or other risks or uncertainties materialize, or if the Company’s underlying assumptions prove to be incorrect, actual results may differ materially from what the Company anticipates. Many of the important factors that will determine these results are beyond the Company’s ability to control or predict. Accordingly, you should not place undue reliance on any such forward-looking statements. Any forward-looking statement speaks only as of the date on which it is made, and, except as otherwise required by law, the Company does not undertake any obligation to publicly update or review any forward-looking statement, whether as a result of new information, future developments or otherwise. New factors emerge from time to time, and it is not possible for us to predict which will arise. In addition, the Company cannot assess the impact of each factor on its business or the extent to which any factor, or combination of factors, may cause actual results to differ materially from those contained in any forward-looking statements.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 and Key Performance Indicators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this press release, we use supplemental measures of our performance that are derived from our consolidated financial information, but which are not presented in our Consolidated Financial Statements prepared in accordance with Generally Accepted Accounting Principles (GAAP). These non-GAAP financial measures include net income (loss) before interest expense, income tax expense (benefit) and depreciation and amortization expense, or EBITDA; Adjusted EBITDA and Adjusted EBITDA margin. Adjusted EBITDA is the primary financial performance measure used by management to evaluate its business and monitor its results of operations.</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Adjusted EBITDA represents EBITDA as further adjusted for share-based compensation, expense related to the accelerated vesting of certain equity awards, change in fair value of contingent consideration liability, Centerbridge Acquisition costs, severance costs and incremental organizational costs in connection with the IPO. Adjusted EBITDA margin represents Adjusted EBITDA divided by net revenues.</w:t>
      </w:r>
    </w:p>
    <w:p>
      <w:pPr>
        <w:spacing w:after="0" w:line="176" w:lineRule="exact"/>
        <w:rPr>
          <w:sz w:val="20"/>
          <w:szCs w:val="20"/>
          <w:color w:val="auto"/>
        </w:rPr>
      </w:pPr>
    </w:p>
    <w:p>
      <w:pPr>
        <w:jc w:val="both"/>
        <w:ind w:right="240"/>
        <w:spacing w:after="0" w:line="272" w:lineRule="auto"/>
        <w:rPr>
          <w:sz w:val="20"/>
          <w:szCs w:val="20"/>
          <w:color w:val="auto"/>
        </w:rPr>
      </w:pPr>
      <w:r>
        <w:rPr>
          <w:rFonts w:ascii="Times New Roman" w:cs="Times New Roman" w:eastAsia="Times New Roman" w:hAnsi="Times New Roman"/>
          <w:sz w:val="17"/>
          <w:szCs w:val="17"/>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w:t>
      </w:r>
    </w:p>
    <w:p>
      <w:pPr>
        <w:spacing w:after="0" w:line="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in this press release.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ectPr>
          <w:pgSz w:w="11900" w:h="16838" w:orient="portrait"/>
          <w:cols w:equalWidth="0" w:num="1">
            <w:col w:w="11000"/>
          </w:cols>
          <w:pgMar w:left="440" w:top="266" w:right="459" w:bottom="1440" w:gutter="0" w:footer="0" w:header="0"/>
        </w:sectPr>
      </w:pPr>
    </w:p>
    <w:bookmarkStart w:id="6" w:name="page7"/>
    <w:bookmarkEnd w:id="6"/>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non-GAAP financial measures are not meant to be considered as indicators of performance in isolation from or as a substitute for net income (loss) prepared in accordance with GAAP, and should be read only in conjunction with financial information presented on a GAAP basis. Reconciliations of each of EBITDA and Adjusted EBITDA to its most directly comparable GAAP financial measure, net income (loss), are presented in the tables below in this press release. We encourage you to review the reconciliations in conjunction with the presentation of the non-GAAP financial measures for each of the periods presented. In future periods, we may exclude similar items, may incur income and expenses similar to these excluded items and include other expenses, costs and non-recurring items.</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Management has provided its outlook regarding adjusted EBITDA, which is a non-GAAP financial measure and excludes certain charges. Management has not reconciled these non-GAAP financial measures to the corresponding GAAP financial measures because guidance for the various reconciling items are not provided. Management is unable to provide guidance for these reconciling items because we cannot determine their probable significance, as certain items are outside of our control and cannot be reasonably predicted since these items could vary significantly from period to period. Accordingly, reconciliations to the corresponding GAAP financial measures are not available without unreasonable effort.</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“LTV/CAC” refers to the Lifetime Value of Commissions per Consumer Acquisition Cost, which we define as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 or LTV, divided by (ii) the cost to convert a prospect into a customer less other noncommission carrier revenue for such period, or CAC. CAC is comprised of cost of revenue, marketing and advertising expenses and customer care and enrollment expenses less other revenue and is presented on a per commissionable Approved Submission basis. “Approved Submissions” refer to Submitted Policies approved by carriers for the identified product during the indicated period. “LTV Per Approved Submission” refers to the Lifetime Value of Commissions per Approved Submission, which we define as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 divided by (ii) the number of commissionable Approved Submissions for such period.</w:t>
      </w:r>
    </w:p>
    <w:p>
      <w:pPr>
        <w:sectPr>
          <w:pgSz w:w="11900" w:h="16838" w:orient="portrait"/>
          <w:cols w:equalWidth="0" w:num="1">
            <w:col w:w="11000"/>
          </w:cols>
          <w:pgMar w:left="440" w:top="270"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Combined Results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September 13, 2019, Centerbridge Capital Partners III, L.P., indirectly through a subsidiary of GoHealth Holdings, LLC, (formerly known as Blizzard Parent, LLC), an entity formed in contemplation of the acquisition, acquired a 100% interest in Norvax, LLC. We refer to this transaction as the “Centerbridge Acquisition.” As a result of the Centerbridge Acquisition, the Company’s financial results for the three and nine months ended September 30, 2019 are presented for two periods, the Predecessor and Successor periods, which relate to the period preceding the acquisition on September 13, 2019 and the period succeeding the acquisition, respectively. The Company’s financial results for the periods from July 1, 2019 through September 12, 2019 and from January 1, 2019 through September 12, 2019 are referred to as those of the “Predecessor” period. The Company’s financial results for the period from September 13, 2019 through September 30, 2019, the three months ended September 30, 2020 and the nine months ended September 30, 2020 are referred to as those of the “Successor” period. The Company’s results of operations as reported in our Consolidated Financial Statements for these periods are prepared in accordance with GAAP. Although GAAP requires that we report on the Company’s results for the period from July 1, 2019 through September 12, 2019, from January 1, 2019 through September 12, 2019 and the period from September 13, 2019 through September 30, 2019 separately, management views the Company’s operating results for the three and nine months ended September 30, 2019 by combining the results of the applicable Predecessor and Successor periods because such presentation provides the most meaningful comparison to its results for the three and nine months ended September 30, 2020.</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cannot adequately benchmark the operating results of the period from September 13, 2019 through September 30, 2019 against any of the current periods reported in its Consolidated Financial Statements without combining it with the period from July 1, 2019 through September 12, 2019 and the period from January 1, 2019 through September 12, 2019 and does not believe that reviewing the results of this period in isolation would be useful in identifying trends in or reaching conclusions regarding the Company’s overall operating performance. Management believes that the key performance metrics such as revenue, net (loss) income and Adjusted EBITDA for the Successor period when combined with the Predecessor period provides more meaningful comparisons to other periods and are useful in identifying current business trends. Accordingly, in addition to presenting the Company’s results of operations as reported in our Consolidated Financial Statements in accordance with GAAP, the tables and discussion throughout this press release also present the combined results for the three and nine months ended September 30, 2019.</w:t>
      </w:r>
    </w:p>
    <w:p>
      <w:pPr>
        <w:spacing w:after="0" w:line="192"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The combined results for the three months ended September 30, 2019, which we refer to herein as the results for the “three months ended September 30, 2019” represent the sum of the reported amounts for the Predecessor period from July 1, 2019 through September 12, 2019 and the Successor period from September 13, 2019 through September 30, 2019. The combined results for the nine months ended September 30, 2019, which we refer to herein as the results for the “nine months ended September 30, 2019” represent the sum of the reported amounts for the Predecessor period from January 1, 2019 through September 12, 2019 and the Successor period from September 13, 2019 through September 30, 2019. The combined results do not reflect the actual results the Company would have achieved had the Centerbridge Acquisition occurred on January 1, 2019 and may not be indicative of future results. These combined results are not considered to be prepared in accordance with GAAP and have not been prepared on a pro forma basis, which would reflect pro forma adjustments including, but not limited to: amortization expense for intangible assets, share-based compensation expense related to the Centerbridge Acquisition and the IPO, and transaction-related costs related to the Centerbridge Acquisition and the IPO.</w:t>
      </w:r>
    </w:p>
    <w:p>
      <w:pPr>
        <w:sectPr>
          <w:pgSz w:w="11900" w:h="16838" w:orient="portrait"/>
          <w:cols w:equalWidth="0" w:num="1">
            <w:col w:w="11000"/>
          </w:cols>
          <w:pgMar w:left="440" w:top="266" w:right="459" w:bottom="1440" w:gutter="0" w:footer="0" w:header="0"/>
        </w:sectPr>
      </w:pPr>
    </w:p>
    <w:bookmarkStart w:id="8" w:name="page9"/>
    <w:bookmarkEnd w:id="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following table sets forth the components of our results of operations for the periods indicated (unaudited):</w:t>
      </w:r>
    </w:p>
    <w:p>
      <w:pPr>
        <w:sectPr>
          <w:pgSz w:w="11900" w:h="16838" w:orient="portrait"/>
          <w:cols w:equalWidth="0" w:num="1">
            <w:col w:w="10964"/>
          </w:cols>
          <w:pgMar w:left="436" w:top="270" w:right="499" w:bottom="1440" w:gutter="0" w:footer="0" w:header="0"/>
        </w:sectPr>
      </w:pP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2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Period from</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gridSpan w:val="5"/>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 13, 2019</w:t>
            </w: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73"/>
        </w:trPr>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Sep 30, 2020</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 30, 2019</w:t>
            </w:r>
          </w:p>
        </w:tc>
        <w:tc>
          <w:tcPr>
            <w:tcW w:w="0" w:type="dxa"/>
            <w:vAlign w:val="bottom"/>
          </w:tcPr>
          <w:p>
            <w:pPr>
              <w:spacing w:after="0"/>
              <w:rPr>
                <w:sz w:val="1"/>
                <w:szCs w:val="1"/>
                <w:color w:val="auto"/>
              </w:rPr>
            </w:pPr>
          </w:p>
        </w:tc>
      </w:tr>
      <w:tr>
        <w:trPr>
          <w:trHeight w:val="115"/>
        </w:trPr>
        <w:tc>
          <w:tcPr>
            <w:tcW w:w="25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3"/>
            <w:vMerge w:val="restart"/>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58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6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25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share and per share amounts)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8"/>
              </w:rPr>
              <w:t>Revenues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20" w:type="dxa"/>
            <w:vAlign w:val="bottom"/>
            <w:tcBorders>
              <w:top w:val="single" w:sz="8" w:color="auto"/>
            </w:tcBorders>
          </w:tcPr>
          <w:p>
            <w:pPr>
              <w:spacing w:after="0" w:line="171" w:lineRule="exact"/>
              <w:rPr>
                <w:sz w:val="20"/>
                <w:szCs w:val="20"/>
                <w:color w:val="auto"/>
              </w:rPr>
            </w:pPr>
            <w:r>
              <w:rPr>
                <w:rFonts w:ascii="Times New Roman" w:cs="Times New Roman" w:eastAsia="Times New Roman" w:hAnsi="Times New Roman"/>
                <w:sz w:val="18"/>
                <w:szCs w:val="18"/>
                <w:color w:val="auto"/>
              </w:rPr>
              <w:t>Net revenues:</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Commission</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101,390</w:t>
            </w:r>
          </w:p>
        </w:tc>
        <w:tc>
          <w:tcPr>
            <w:tcW w:w="5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62.1%</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13,723</w:t>
            </w:r>
          </w:p>
        </w:tc>
        <w:tc>
          <w:tcPr>
            <w:tcW w:w="0" w:type="dxa"/>
            <w:vAlign w:val="bottom"/>
          </w:tcPr>
          <w:p>
            <w:pPr>
              <w:spacing w:after="0"/>
              <w:rPr>
                <w:sz w:val="1"/>
                <w:szCs w:val="1"/>
                <w:color w:val="auto"/>
              </w:rPr>
            </w:pPr>
          </w:p>
        </w:tc>
      </w:tr>
      <w:tr>
        <w:trPr>
          <w:trHeight w:val="234"/>
        </w:trPr>
        <w:tc>
          <w:tcPr>
            <w:tcW w:w="2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Enterprise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61,970</w:t>
            </w:r>
          </w:p>
        </w:tc>
        <w:tc>
          <w:tcPr>
            <w:tcW w:w="5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6,067</w:t>
            </w:r>
          </w:p>
        </w:tc>
        <w:tc>
          <w:tcPr>
            <w:tcW w:w="0" w:type="dxa"/>
            <w:vAlign w:val="bottom"/>
          </w:tcPr>
          <w:p>
            <w:pPr>
              <w:spacing w:after="0"/>
              <w:rPr>
                <w:sz w:val="1"/>
                <w:szCs w:val="1"/>
                <w:color w:val="auto"/>
              </w:rPr>
            </w:pPr>
          </w:p>
        </w:tc>
      </w:tr>
      <w:tr>
        <w:trPr>
          <w:trHeight w:val="20"/>
        </w:trPr>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5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163,360</w:t>
            </w:r>
          </w:p>
        </w:tc>
        <w:tc>
          <w:tcPr>
            <w:tcW w:w="580" w:type="dxa"/>
            <w:vAlign w:val="bottom"/>
          </w:tcPr>
          <w:p>
            <w:pPr>
              <w:spacing w:after="0"/>
              <w:rPr>
                <w:sz w:val="17"/>
                <w:szCs w:val="17"/>
                <w:color w:val="auto"/>
              </w:rPr>
            </w:pPr>
          </w:p>
        </w:tc>
        <w:tc>
          <w:tcPr>
            <w:tcW w:w="820" w:type="dxa"/>
            <w:vAlign w:val="bottom"/>
            <w:gridSpan w:val="2"/>
          </w:tcPr>
          <w:p>
            <w:pPr>
              <w:jc w:val="right"/>
              <w:ind w:right="80"/>
              <w:spacing w:after="0" w:line="205" w:lineRule="exact"/>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19,790</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jc w:val="right"/>
              <w:ind w:right="528"/>
              <w:spacing w:after="0"/>
              <w:rPr>
                <w:sz w:val="20"/>
                <w:szCs w:val="20"/>
                <w:color w:val="auto"/>
              </w:rPr>
            </w:pPr>
            <w:r>
              <w:rPr>
                <w:rFonts w:ascii="Times New Roman" w:cs="Times New Roman" w:eastAsia="Times New Roman" w:hAnsi="Times New Roman"/>
                <w:sz w:val="18"/>
                <w:szCs w:val="18"/>
                <w:color w:val="auto"/>
              </w:rPr>
              <w:t>25,827</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4,737</w:t>
            </w:r>
          </w:p>
        </w:tc>
        <w:tc>
          <w:tcPr>
            <w:tcW w:w="0" w:type="dxa"/>
            <w:vAlign w:val="bottom"/>
          </w:tcPr>
          <w:p>
            <w:pPr>
              <w:spacing w:after="0"/>
              <w:rPr>
                <w:sz w:val="1"/>
                <w:szCs w:val="1"/>
                <w:color w:val="auto"/>
              </w:rPr>
            </w:pPr>
          </w:p>
        </w:tc>
      </w:tr>
      <w:tr>
        <w:trPr>
          <w:trHeight w:val="216"/>
        </w:trPr>
        <w:tc>
          <w:tcPr>
            <w:tcW w:w="2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jc w:val="right"/>
              <w:ind w:right="528"/>
              <w:spacing w:after="0"/>
              <w:rPr>
                <w:sz w:val="20"/>
                <w:szCs w:val="20"/>
                <w:color w:val="auto"/>
              </w:rPr>
            </w:pPr>
            <w:r>
              <w:rPr>
                <w:rFonts w:ascii="Times New Roman" w:cs="Times New Roman" w:eastAsia="Times New Roman" w:hAnsi="Times New Roman"/>
                <w:sz w:val="18"/>
                <w:szCs w:val="18"/>
                <w:color w:val="auto"/>
              </w:rPr>
              <w:t>62,848</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7,140</w:t>
            </w:r>
          </w:p>
        </w:tc>
        <w:tc>
          <w:tcPr>
            <w:tcW w:w="0" w:type="dxa"/>
            <w:vAlign w:val="bottom"/>
          </w:tcPr>
          <w:p>
            <w:pPr>
              <w:spacing w:after="0"/>
              <w:rPr>
                <w:sz w:val="1"/>
                <w:szCs w:val="1"/>
                <w:color w:val="auto"/>
              </w:rPr>
            </w:pPr>
          </w:p>
        </w:tc>
      </w:tr>
      <w:tr>
        <w:trPr>
          <w:trHeight w:val="216"/>
        </w:trPr>
        <w:tc>
          <w:tcPr>
            <w:tcW w:w="2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Customer care and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enrollment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jc w:val="right"/>
              <w:ind w:right="528"/>
              <w:spacing w:after="0"/>
              <w:rPr>
                <w:sz w:val="20"/>
                <w:szCs w:val="20"/>
                <w:color w:val="auto"/>
              </w:rPr>
            </w:pPr>
            <w:r>
              <w:rPr>
                <w:rFonts w:ascii="Times New Roman" w:cs="Times New Roman" w:eastAsia="Times New Roman" w:hAnsi="Times New Roman"/>
                <w:sz w:val="18"/>
                <w:szCs w:val="18"/>
                <w:color w:val="auto"/>
              </w:rPr>
              <w:t>52,896</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4,625</w:t>
            </w:r>
          </w:p>
        </w:tc>
        <w:tc>
          <w:tcPr>
            <w:tcW w:w="0" w:type="dxa"/>
            <w:vAlign w:val="bottom"/>
          </w:tcPr>
          <w:p>
            <w:pPr>
              <w:spacing w:after="0"/>
              <w:rPr>
                <w:sz w:val="1"/>
                <w:szCs w:val="1"/>
                <w:color w:val="auto"/>
              </w:rPr>
            </w:pPr>
          </w:p>
        </w:tc>
      </w:tr>
      <w:tr>
        <w:trPr>
          <w:trHeight w:val="216"/>
        </w:trPr>
        <w:tc>
          <w:tcPr>
            <w:tcW w:w="2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jc w:val="right"/>
              <w:ind w:right="528"/>
              <w:spacing w:after="0"/>
              <w:rPr>
                <w:sz w:val="20"/>
                <w:szCs w:val="20"/>
                <w:color w:val="auto"/>
              </w:rPr>
            </w:pPr>
            <w:r>
              <w:rPr>
                <w:rFonts w:ascii="Times New Roman" w:cs="Times New Roman" w:eastAsia="Times New Roman" w:hAnsi="Times New Roman"/>
                <w:sz w:val="18"/>
                <w:szCs w:val="18"/>
                <w:color w:val="auto"/>
              </w:rPr>
              <w:t>39,520</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16"/>
        </w:trPr>
        <w:tc>
          <w:tcPr>
            <w:tcW w:w="2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156,551</w:t>
            </w:r>
          </w:p>
        </w:tc>
        <w:tc>
          <w:tcPr>
            <w:tcW w:w="5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2,286</w:t>
            </w:r>
          </w:p>
        </w:tc>
        <w:tc>
          <w:tcPr>
            <w:tcW w:w="0" w:type="dxa"/>
            <w:vAlign w:val="bottom"/>
          </w:tcPr>
          <w:p>
            <w:pPr>
              <w:spacing w:after="0"/>
              <w:rPr>
                <w:sz w:val="1"/>
                <w:szCs w:val="1"/>
                <w:color w:val="auto"/>
              </w:rPr>
            </w:pPr>
          </w:p>
        </w:tc>
      </w:tr>
      <w:tr>
        <w:trPr>
          <w:trHeight w:val="216"/>
        </w:trPr>
        <w:tc>
          <w:tcPr>
            <w:tcW w:w="2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Amortization of intangible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jc w:val="right"/>
              <w:ind w:right="528"/>
              <w:spacing w:after="0"/>
              <w:rPr>
                <w:sz w:val="20"/>
                <w:szCs w:val="20"/>
                <w:color w:val="auto"/>
              </w:rPr>
            </w:pPr>
            <w:r>
              <w:rPr>
                <w:rFonts w:ascii="Times New Roman" w:cs="Times New Roman" w:eastAsia="Times New Roman" w:hAnsi="Times New Roman"/>
                <w:sz w:val="18"/>
                <w:szCs w:val="18"/>
                <w:color w:val="auto"/>
              </w:rPr>
              <w:t>23,514</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4,703</w:t>
            </w:r>
          </w:p>
        </w:tc>
        <w:tc>
          <w:tcPr>
            <w:tcW w:w="0" w:type="dxa"/>
            <w:vAlign w:val="bottom"/>
          </w:tcPr>
          <w:p>
            <w:pPr>
              <w:spacing w:after="0"/>
              <w:rPr>
                <w:sz w:val="1"/>
                <w:szCs w:val="1"/>
                <w:color w:val="auto"/>
              </w:rPr>
            </w:pPr>
          </w:p>
        </w:tc>
      </w:tr>
      <w:tr>
        <w:trPr>
          <w:trHeight w:val="216"/>
        </w:trPr>
        <w:tc>
          <w:tcPr>
            <w:tcW w:w="2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Acquisition related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transaction costs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6,245</w:t>
            </w:r>
          </w:p>
        </w:tc>
        <w:tc>
          <w:tcPr>
            <w:tcW w:w="0" w:type="dxa"/>
            <w:vAlign w:val="bottom"/>
          </w:tcPr>
          <w:p>
            <w:pPr>
              <w:spacing w:after="0"/>
              <w:rPr>
                <w:sz w:val="1"/>
                <w:szCs w:val="1"/>
                <w:color w:val="auto"/>
              </w:rPr>
            </w:pPr>
          </w:p>
        </w:tc>
      </w:tr>
      <w:tr>
        <w:trPr>
          <w:trHeight w:val="20"/>
        </w:trPr>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361,156</w:t>
            </w:r>
          </w:p>
        </w:tc>
        <w:tc>
          <w:tcPr>
            <w:tcW w:w="2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221.1%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30,254</w:t>
            </w:r>
          </w:p>
        </w:tc>
        <w:tc>
          <w:tcPr>
            <w:tcW w:w="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5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(197,796)</w:t>
            </w:r>
          </w:p>
        </w:tc>
        <w:tc>
          <w:tcPr>
            <w:tcW w:w="580" w:type="dxa"/>
            <w:vAlign w:val="bottom"/>
            <w:vMerge w:val="continue"/>
          </w:tcPr>
          <w:p>
            <w:pPr>
              <w:spacing w:after="0"/>
              <w:rPr>
                <w:sz w:val="17"/>
                <w:szCs w:val="17"/>
                <w:color w:val="auto"/>
              </w:rPr>
            </w:pPr>
          </w:p>
        </w:tc>
        <w:tc>
          <w:tcPr>
            <w:tcW w:w="820" w:type="dxa"/>
            <w:vAlign w:val="bottom"/>
            <w:gridSpan w:val="2"/>
          </w:tcPr>
          <w:p>
            <w:pPr>
              <w:jc w:val="right"/>
              <w:ind w:right="80"/>
              <w:spacing w:after="0" w:line="205" w:lineRule="exact"/>
              <w:rPr>
                <w:sz w:val="20"/>
                <w:szCs w:val="20"/>
                <w:color w:val="auto"/>
              </w:rPr>
            </w:pPr>
            <w:r>
              <w:rPr>
                <w:rFonts w:ascii="Times New Roman" w:cs="Times New Roman" w:eastAsia="Times New Roman" w:hAnsi="Times New Roman"/>
                <w:sz w:val="18"/>
                <w:szCs w:val="18"/>
                <w:color w:val="auto"/>
              </w:rPr>
              <w:t>-121.1%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(10,464)</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8,636</w:t>
            </w:r>
          </w:p>
        </w:tc>
        <w:tc>
          <w:tcPr>
            <w:tcW w:w="5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1,289</w:t>
            </w:r>
          </w:p>
        </w:tc>
        <w:tc>
          <w:tcPr>
            <w:tcW w:w="0" w:type="dxa"/>
            <w:vAlign w:val="bottom"/>
          </w:tcPr>
          <w:p>
            <w:pPr>
              <w:spacing w:after="0"/>
              <w:rPr>
                <w:sz w:val="1"/>
                <w:szCs w:val="1"/>
                <w:color w:val="auto"/>
              </w:rPr>
            </w:pPr>
          </w:p>
        </w:tc>
      </w:tr>
      <w:tr>
        <w:trPr>
          <w:trHeight w:val="234"/>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3"/>
          </w:tcPr>
          <w:p>
            <w:pPr>
              <w:jc w:val="right"/>
              <w:ind w:right="528"/>
              <w:spacing w:after="0"/>
              <w:rPr>
                <w:sz w:val="20"/>
                <w:szCs w:val="20"/>
                <w:color w:val="auto"/>
              </w:rPr>
            </w:pPr>
            <w:r>
              <w:rPr>
                <w:rFonts w:ascii="Times New Roman" w:cs="Times New Roman" w:eastAsia="Times New Roman" w:hAnsi="Times New Roman"/>
                <w:sz w:val="18"/>
                <w:szCs w:val="18"/>
                <w:color w:val="auto"/>
              </w:rPr>
              <w:t>2</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(Loss) income before income</w:t>
            </w: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jc w:val="right"/>
              <w:ind w:right="468"/>
              <w:spacing w:after="0"/>
              <w:rPr>
                <w:sz w:val="20"/>
                <w:szCs w:val="20"/>
                <w:color w:val="auto"/>
              </w:rPr>
            </w:pPr>
            <w:r>
              <w:rPr>
                <w:rFonts w:ascii="Times New Roman" w:cs="Times New Roman" w:eastAsia="Times New Roman" w:hAnsi="Times New Roman"/>
                <w:sz w:val="18"/>
                <w:szCs w:val="18"/>
                <w:color w:val="auto"/>
              </w:rPr>
              <w:t>(206,434)</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(11,743)</w:t>
            </w:r>
          </w:p>
        </w:tc>
        <w:tc>
          <w:tcPr>
            <w:tcW w:w="0" w:type="dxa"/>
            <w:vAlign w:val="bottom"/>
          </w:tcPr>
          <w:p>
            <w:pPr>
              <w:spacing w:after="0"/>
              <w:rPr>
                <w:sz w:val="1"/>
                <w:szCs w:val="1"/>
                <w:color w:val="auto"/>
              </w:rPr>
            </w:pPr>
          </w:p>
        </w:tc>
      </w:tr>
      <w:tr>
        <w:trPr>
          <w:trHeight w:val="234"/>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58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54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(206,496)</w:t>
            </w:r>
          </w:p>
        </w:tc>
        <w:tc>
          <w:tcPr>
            <w:tcW w:w="580" w:type="dxa"/>
            <w:vAlign w:val="bottom"/>
            <w:vMerge w:val="continue"/>
          </w:tcPr>
          <w:p>
            <w:pPr>
              <w:spacing w:after="0"/>
              <w:rPr>
                <w:sz w:val="17"/>
                <w:szCs w:val="17"/>
                <w:color w:val="auto"/>
              </w:rPr>
            </w:pPr>
          </w:p>
        </w:tc>
        <w:tc>
          <w:tcPr>
            <w:tcW w:w="820" w:type="dxa"/>
            <w:vAlign w:val="bottom"/>
            <w:gridSpan w:val="2"/>
          </w:tcPr>
          <w:p>
            <w:pPr>
              <w:jc w:val="right"/>
              <w:ind w:right="80"/>
              <w:spacing w:after="0" w:line="205" w:lineRule="exact"/>
              <w:rPr>
                <w:sz w:val="20"/>
                <w:szCs w:val="20"/>
                <w:color w:val="auto"/>
              </w:rPr>
            </w:pPr>
            <w:r>
              <w:rPr>
                <w:rFonts w:ascii="Times New Roman" w:cs="Times New Roman" w:eastAsia="Times New Roman" w:hAnsi="Times New Roman"/>
                <w:sz w:val="18"/>
                <w:szCs w:val="18"/>
                <w:color w:val="auto"/>
              </w:rPr>
              <w:t>-126.4%</w:t>
            </w:r>
          </w:p>
        </w:tc>
        <w:tc>
          <w:tcPr>
            <w:tcW w:w="80" w:type="dxa"/>
            <w:vAlign w:val="bottom"/>
            <w:vMerge w:val="continue"/>
          </w:tcPr>
          <w:p>
            <w:pPr>
              <w:spacing w:after="0"/>
              <w:rPr>
                <w:sz w:val="17"/>
                <w:szCs w:val="17"/>
                <w:color w:val="auto"/>
              </w:rPr>
            </w:pPr>
          </w:p>
        </w:tc>
        <w:tc>
          <w:tcPr>
            <w:tcW w:w="1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(11,706)</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3"/>
          </w:tcPr>
          <w:p>
            <w:pPr>
              <w:jc w:val="right"/>
              <w:ind w:right="468"/>
              <w:spacing w:after="0"/>
              <w:rPr>
                <w:sz w:val="20"/>
                <w:szCs w:val="20"/>
                <w:color w:val="auto"/>
              </w:rPr>
            </w:pPr>
            <w:r>
              <w:rPr>
                <w:rFonts w:ascii="Times New Roman" w:cs="Times New Roman" w:eastAsia="Times New Roman" w:hAnsi="Times New Roman"/>
                <w:sz w:val="18"/>
                <w:szCs w:val="18"/>
                <w:color w:val="auto"/>
              </w:rPr>
              <w:t>(150,076)</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Net loss attributable to GoHealth,</w:t>
            </w: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468"/>
              <w:spacing w:after="0"/>
              <w:rPr>
                <w:sz w:val="20"/>
                <w:szCs w:val="20"/>
                <w:color w:val="auto"/>
              </w:rPr>
            </w:pPr>
            <w:r>
              <w:rPr>
                <w:rFonts w:ascii="Times New Roman" w:cs="Times New Roman" w:eastAsia="Times New Roman" w:hAnsi="Times New Roman"/>
                <w:sz w:val="18"/>
                <w:szCs w:val="18"/>
                <w:color w:val="auto"/>
              </w:rPr>
              <w:t>(56,420)</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NM</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5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per share of Class A</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stock—basic and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88"/>
              <w:spacing w:after="0"/>
              <w:rPr>
                <w:sz w:val="20"/>
                <w:szCs w:val="20"/>
                <w:color w:val="auto"/>
              </w:rPr>
            </w:pPr>
            <w:r>
              <w:rPr>
                <w:rFonts w:ascii="Times New Roman" w:cs="Times New Roman" w:eastAsia="Times New Roman" w:hAnsi="Times New Roman"/>
                <w:sz w:val="18"/>
                <w:szCs w:val="18"/>
                <w:color w:val="auto"/>
              </w:rPr>
              <w:t>(0.65)</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shares of</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Class A common stock</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outstanding - basic and diluted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jc w:val="right"/>
              <w:ind w:right="528"/>
              <w:spacing w:after="0"/>
              <w:rPr>
                <w:sz w:val="20"/>
                <w:szCs w:val="20"/>
                <w:color w:val="auto"/>
              </w:rPr>
            </w:pPr>
            <w:r>
              <w:rPr>
                <w:rFonts w:ascii="Times New Roman" w:cs="Times New Roman" w:eastAsia="Times New Roman" w:hAnsi="Times New Roman"/>
                <w:sz w:val="18"/>
                <w:szCs w:val="18"/>
                <w:color w:val="auto"/>
                <w:w w:val="98"/>
              </w:rPr>
              <w:t>84,182,961</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Non-GAAP Financial Measures: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EBITDA</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468"/>
              <w:spacing w:after="0"/>
              <w:rPr>
                <w:sz w:val="20"/>
                <w:szCs w:val="20"/>
                <w:color w:val="auto"/>
              </w:rPr>
            </w:pPr>
            <w:r>
              <w:rPr>
                <w:rFonts w:ascii="Times New Roman" w:cs="Times New Roman" w:eastAsia="Times New Roman" w:hAnsi="Times New Roman"/>
                <w:sz w:val="18"/>
                <w:szCs w:val="18"/>
                <w:color w:val="auto"/>
              </w:rPr>
              <w:t>(173,021)</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(5,659)</w:t>
            </w: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3"/>
          </w:tcPr>
          <w:p>
            <w:pPr>
              <w:jc w:val="right"/>
              <w:ind w:right="528"/>
              <w:spacing w:after="0"/>
              <w:rPr>
                <w:sz w:val="20"/>
                <w:szCs w:val="20"/>
                <w:color w:val="auto"/>
              </w:rPr>
            </w:pPr>
            <w:r>
              <w:rPr>
                <w:rFonts w:ascii="Times New Roman" w:cs="Times New Roman" w:eastAsia="Times New Roman" w:hAnsi="Times New Roman"/>
                <w:sz w:val="18"/>
                <w:szCs w:val="18"/>
                <w:color w:val="auto"/>
              </w:rPr>
              <w:t>39,284</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34"/>
        </w:trPr>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 margin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3"/>
          </w:tcPr>
          <w:p>
            <w:pPr>
              <w:jc w:val="right"/>
              <w:ind w:right="368"/>
              <w:spacing w:after="0"/>
              <w:rPr>
                <w:sz w:val="20"/>
                <w:szCs w:val="20"/>
                <w:color w:val="auto"/>
              </w:rPr>
            </w:pPr>
            <w:r>
              <w:rPr>
                <w:rFonts w:ascii="Times New Roman" w:cs="Times New Roman" w:eastAsia="Times New Roman" w:hAnsi="Times New Roman"/>
                <w:sz w:val="18"/>
                <w:szCs w:val="18"/>
                <w:color w:val="auto"/>
              </w:rPr>
              <w:t>24.0%</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-6025515</wp:posOffset>
            </wp:positionV>
            <wp:extent cx="6995160" cy="6197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61976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line="1" w:lineRule="exact"/>
        <w:rPr>
          <w:sz w:val="1"/>
          <w:szCs w:val="1"/>
          <w:color w:val="auto"/>
        </w:rPr>
      </w:pPr>
    </w:p>
    <w:tbl>
      <w:tblPr>
        <w:tblLayout w:type="fixed"/>
        <w:tblInd w:w="8" w:type="dxa"/>
        <w:tblCellMar>
          <w:top w:w="0" w:type="dxa"/>
          <w:left w:w="0" w:type="dxa"/>
          <w:bottom w:w="0" w:type="dxa"/>
          <w:right w:w="0" w:type="dxa"/>
        </w:tblCellMar>
      </w:tblPr>
      <w:tr>
        <w:trPr>
          <w:trHeight w:val="173"/>
        </w:trPr>
        <w:tc>
          <w:tcPr>
            <w:tcW w:w="108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90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Non-GAAP Combined</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6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 from</w:t>
            </w:r>
          </w:p>
        </w:tc>
        <w:tc>
          <w:tcPr>
            <w:tcW w:w="320" w:type="dxa"/>
            <w:vAlign w:val="bottom"/>
            <w:gridSpan w:val="2"/>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gridSpan w:val="4"/>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Jul 1, 2019</w:t>
            </w:r>
          </w:p>
        </w:tc>
        <w:tc>
          <w:tcPr>
            <w:tcW w:w="1900" w:type="dxa"/>
            <w:vAlign w:val="bottom"/>
            <w:gridSpan w:val="4"/>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98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1900" w:type="dxa"/>
            <w:vAlign w:val="bottom"/>
            <w:gridSpan w:val="4"/>
            <w:vMerge w:val="continue"/>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 12, 2019</w:t>
            </w:r>
          </w:p>
        </w:tc>
        <w:tc>
          <w:tcPr>
            <w:tcW w:w="320" w:type="dxa"/>
            <w:vAlign w:val="bottom"/>
            <w:gridSpan w:val="2"/>
          </w:tcPr>
          <w:p>
            <w:pPr>
              <w:spacing w:after="0"/>
              <w:rPr>
                <w:sz w:val="15"/>
                <w:szCs w:val="15"/>
                <w:color w:val="auto"/>
              </w:rPr>
            </w:pPr>
          </w:p>
        </w:tc>
        <w:tc>
          <w:tcPr>
            <w:tcW w:w="1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 30, 2019</w:t>
            </w: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00" w:type="dxa"/>
            <w:vAlign w:val="bottom"/>
          </w:tcPr>
          <w:p>
            <w:pPr>
              <w:spacing w:after="0"/>
              <w:rPr>
                <w:sz w:val="10"/>
                <w:szCs w:val="10"/>
                <w:color w:val="auto"/>
              </w:rPr>
            </w:pPr>
          </w:p>
        </w:tc>
        <w:tc>
          <w:tcPr>
            <w:tcW w:w="660" w:type="dxa"/>
            <w:vAlign w:val="bottom"/>
            <w:vMerge w:val="restart"/>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320" w:type="dxa"/>
            <w:vAlign w:val="bottom"/>
            <w:gridSpan w:val="2"/>
            <w:vMerge w:val="restart"/>
          </w:tcPr>
          <w:p>
            <w:pPr>
              <w:spacing w:after="0"/>
              <w:rPr>
                <w:sz w:val="10"/>
                <w:szCs w:val="10"/>
                <w:color w:val="auto"/>
              </w:rPr>
            </w:pPr>
          </w:p>
        </w:tc>
        <w:tc>
          <w:tcPr>
            <w:tcW w:w="70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300" w:type="dxa"/>
            <w:vAlign w:val="bottom"/>
            <w:vMerge w:val="restart"/>
          </w:tcPr>
          <w:p>
            <w:pPr>
              <w:spacing w:after="0"/>
              <w:rPr>
                <w:sz w:val="10"/>
                <w:szCs w:val="10"/>
                <w:color w:val="auto"/>
              </w:rPr>
            </w:pPr>
          </w:p>
        </w:tc>
        <w:tc>
          <w:tcPr>
            <w:tcW w:w="60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300" w:type="dxa"/>
            <w:vAlign w:val="bottom"/>
          </w:tcPr>
          <w:p>
            <w:pPr>
              <w:spacing w:after="0"/>
              <w:rPr>
                <w:sz w:val="10"/>
                <w:szCs w:val="10"/>
                <w:color w:val="auto"/>
              </w:rPr>
            </w:pPr>
          </w:p>
        </w:tc>
        <w:tc>
          <w:tcPr>
            <w:tcW w:w="80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vMerge w:val="restart"/>
          </w:tcPr>
          <w:p>
            <w:pPr>
              <w:spacing w:after="0"/>
              <w:rPr>
                <w:sz w:val="10"/>
                <w:szCs w:val="10"/>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3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64,542</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$ 78,265</w:t>
            </w:r>
          </w:p>
        </w:tc>
        <w:tc>
          <w:tcPr>
            <w:tcW w:w="30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73.0%</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23,125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22,868</w:t>
            </w: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28,935</w:t>
            </w:r>
          </w:p>
        </w:tc>
        <w:tc>
          <w:tcPr>
            <w:tcW w:w="3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27.0%</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33,035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87,410</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107,200</w:t>
            </w:r>
          </w:p>
        </w:tc>
        <w:tc>
          <w:tcPr>
            <w:tcW w:w="300" w:type="dxa"/>
            <w:vAlign w:val="bottom"/>
            <w:vMerge w:val="continue"/>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56,160</w:t>
            </w:r>
          </w:p>
        </w:tc>
        <w:tc>
          <w:tcPr>
            <w:tcW w:w="200" w:type="dxa"/>
            <w:vAlign w:val="bottom"/>
            <w:vMerge w:val="continue"/>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409"/>
        </w:trPr>
        <w:tc>
          <w:tcPr>
            <w:tcW w:w="10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25,055</w:t>
            </w:r>
          </w:p>
        </w:tc>
        <w:tc>
          <w:tcPr>
            <w:tcW w:w="300" w:type="dxa"/>
            <w:vAlign w:val="bottom"/>
          </w:tcPr>
          <w:p>
            <w:pPr>
              <w:spacing w:after="0"/>
              <w:rPr>
                <w:sz w:val="24"/>
                <w:szCs w:val="24"/>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29,792</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27.8%</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(3,965)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21,332</w:t>
            </w:r>
          </w:p>
        </w:tc>
        <w:tc>
          <w:tcPr>
            <w:tcW w:w="30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28,472</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26.6%</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34,376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0" w:type="dxa"/>
            <w:vAlign w:val="bottom"/>
          </w:tcPr>
          <w:p>
            <w:pPr>
              <w:spacing w:after="0"/>
              <w:rPr>
                <w:sz w:val="1"/>
                <w:szCs w:val="1"/>
                <w:color w:val="auto"/>
              </w:rPr>
            </w:pPr>
          </w:p>
        </w:tc>
      </w:tr>
      <w:tr>
        <w:trPr>
          <w:trHeight w:val="414"/>
        </w:trPr>
        <w:tc>
          <w:tcPr>
            <w:tcW w:w="10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19,396</w:t>
            </w:r>
          </w:p>
        </w:tc>
        <w:tc>
          <w:tcPr>
            <w:tcW w:w="300" w:type="dxa"/>
            <w:vAlign w:val="bottom"/>
          </w:tcPr>
          <w:p>
            <w:pPr>
              <w:spacing w:after="0"/>
              <w:rPr>
                <w:sz w:val="24"/>
                <w:szCs w:val="24"/>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24,021</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28,875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31,856</w:t>
            </w:r>
          </w:p>
        </w:tc>
        <w:tc>
          <w:tcPr>
            <w:tcW w:w="3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32,374</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30.2%</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7,146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65,123</w:t>
            </w:r>
          </w:p>
        </w:tc>
        <w:tc>
          <w:tcPr>
            <w:tcW w:w="30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67,409</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62.9%</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89,142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0" w:type="dxa"/>
            <w:vAlign w:val="bottom"/>
          </w:tcPr>
          <w:p>
            <w:pPr>
              <w:spacing w:after="0"/>
              <w:rPr>
                <w:sz w:val="1"/>
                <w:szCs w:val="1"/>
                <w:color w:val="auto"/>
              </w:rPr>
            </w:pPr>
          </w:p>
        </w:tc>
      </w:tr>
      <w:tr>
        <w:trPr>
          <w:trHeight w:val="432"/>
        </w:trPr>
        <w:tc>
          <w:tcPr>
            <w:tcW w:w="100" w:type="dxa"/>
            <w:vAlign w:val="bottom"/>
          </w:tcPr>
          <w:p>
            <w:pPr>
              <w:spacing w:after="0"/>
              <w:rPr>
                <w:sz w:val="24"/>
                <w:szCs w:val="24"/>
                <w:color w:val="auto"/>
              </w:rPr>
            </w:pPr>
          </w:p>
        </w:tc>
        <w:tc>
          <w:tcPr>
            <w:tcW w:w="9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4,703</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18,811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432"/>
        </w:trPr>
        <w:tc>
          <w:tcPr>
            <w:tcW w:w="10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1,968</w:t>
            </w: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8,213</w:t>
            </w:r>
          </w:p>
        </w:tc>
        <w:tc>
          <w:tcPr>
            <w:tcW w:w="30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(8,213)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164,730</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194,984</w:t>
            </w:r>
          </w:p>
        </w:tc>
        <w:tc>
          <w:tcPr>
            <w:tcW w:w="300" w:type="dxa"/>
            <w:vAlign w:val="bottom"/>
            <w:vMerge w:val="continue"/>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166,172</w:t>
            </w:r>
          </w:p>
        </w:tc>
        <w:tc>
          <w:tcPr>
            <w:tcW w:w="200" w:type="dxa"/>
            <w:vAlign w:val="bottom"/>
            <w:vMerge w:val="continue"/>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00" w:type="dxa"/>
            <w:vAlign w:val="bottom"/>
          </w:tcPr>
          <w:p>
            <w:pPr>
              <w:spacing w:after="0"/>
              <w:rPr>
                <w:sz w:val="17"/>
                <w:szCs w:val="17"/>
                <w:color w:val="auto"/>
              </w:rPr>
            </w:pPr>
          </w:p>
        </w:tc>
        <w:tc>
          <w:tcPr>
            <w:tcW w:w="680" w:type="dxa"/>
            <w:vAlign w:val="bottom"/>
            <w:gridSpan w:val="2"/>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(77,320)</w:t>
            </w:r>
          </w:p>
        </w:tc>
        <w:tc>
          <w:tcPr>
            <w:tcW w:w="300" w:type="dxa"/>
            <w:vAlign w:val="bottom"/>
            <w:vMerge w:val="continue"/>
          </w:tcPr>
          <w:p>
            <w:pPr>
              <w:spacing w:after="0"/>
              <w:rPr>
                <w:sz w:val="17"/>
                <w:szCs w:val="17"/>
                <w:color w:val="auto"/>
              </w:rPr>
            </w:pPr>
          </w:p>
        </w:tc>
        <w:tc>
          <w:tcPr>
            <w:tcW w:w="7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(87,784)</w:t>
            </w:r>
          </w:p>
        </w:tc>
        <w:tc>
          <w:tcPr>
            <w:tcW w:w="300" w:type="dxa"/>
            <w:vAlign w:val="bottom"/>
            <w:vMerge w:val="continue"/>
          </w:tcPr>
          <w:p>
            <w:pPr>
              <w:spacing w:after="0"/>
              <w:rPr>
                <w:sz w:val="17"/>
                <w:szCs w:val="17"/>
                <w:color w:val="auto"/>
              </w:rPr>
            </w:pPr>
          </w:p>
        </w:tc>
        <w:tc>
          <w:tcPr>
            <w:tcW w:w="900" w:type="dxa"/>
            <w:vAlign w:val="bottom"/>
            <w:gridSpan w:val="2"/>
          </w:tcPr>
          <w:p>
            <w:pPr>
              <w:jc w:val="right"/>
              <w:ind w:right="160"/>
              <w:spacing w:after="0" w:line="205" w:lineRule="exact"/>
              <w:rPr>
                <w:sz w:val="20"/>
                <w:szCs w:val="20"/>
                <w:color w:val="auto"/>
              </w:rPr>
            </w:pPr>
            <w:r>
              <w:rPr>
                <w:rFonts w:ascii="Times New Roman" w:cs="Times New Roman" w:eastAsia="Times New Roman" w:hAnsi="Times New Roman"/>
                <w:sz w:val="18"/>
                <w:szCs w:val="18"/>
                <w:color w:val="auto"/>
              </w:rPr>
              <w:t>-81.9%</w:t>
            </w:r>
          </w:p>
        </w:tc>
        <w:tc>
          <w:tcPr>
            <w:tcW w:w="80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auto"/>
              </w:rPr>
              <w:t>(110,012)</w:t>
            </w:r>
          </w:p>
        </w:tc>
        <w:tc>
          <w:tcPr>
            <w:tcW w:w="200" w:type="dxa"/>
            <w:vAlign w:val="bottom"/>
            <w:vMerge w:val="continue"/>
          </w:tcPr>
          <w:p>
            <w:pPr>
              <w:spacing w:after="0"/>
              <w:rPr>
                <w:sz w:val="17"/>
                <w:szCs w:val="17"/>
                <w:color w:val="auto"/>
              </w:rPr>
            </w:pPr>
          </w:p>
        </w:tc>
        <w:tc>
          <w:tcPr>
            <w:tcW w:w="820" w:type="dxa"/>
            <w:vAlign w:val="bottom"/>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auto"/>
              </w:rPr>
              <w:t>125.3%</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1,320</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7,316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554.2%</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100" w:type="dxa"/>
            <w:vAlign w:val="bottom"/>
          </w:tcPr>
          <w:p>
            <w:pPr>
              <w:spacing w:after="0"/>
              <w:rPr>
                <w:sz w:val="24"/>
                <w:szCs w:val="24"/>
                <w:color w:val="auto"/>
              </w:rPr>
            </w:pP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(77,418)</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(89,161)</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-83.2%</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(117,273)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(78)</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(115)</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177</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gridSpan w:val="2"/>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(77,340)</w:t>
            </w:r>
          </w:p>
        </w:tc>
        <w:tc>
          <w:tcPr>
            <w:tcW w:w="320" w:type="dxa"/>
            <w:vAlign w:val="bottom"/>
            <w:gridSpan w:val="2"/>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0"/>
              </w:rPr>
              <w:t>$ (89,046)</w:t>
            </w:r>
          </w:p>
        </w:tc>
        <w:tc>
          <w:tcPr>
            <w:tcW w:w="300" w:type="dxa"/>
            <w:vAlign w:val="bottom"/>
            <w:vMerge w:val="continue"/>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 (117,450)</w:t>
            </w:r>
          </w:p>
        </w:tc>
        <w:tc>
          <w:tcPr>
            <w:tcW w:w="200" w:type="dxa"/>
            <w:vAlign w:val="bottom"/>
            <w:vMerge w:val="continue"/>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8"/>
        <w:spacing w:after="0"/>
        <w:tabs>
          <w:tab w:leader="none" w:pos="1067" w:val="left"/>
        </w:tabs>
        <w:rPr>
          <w:sz w:val="20"/>
          <w:szCs w:val="20"/>
          <w:color w:val="auto"/>
        </w:rPr>
      </w:pPr>
      <w:r>
        <w:rPr>
          <w:rFonts w:ascii="Times New Roman" w:cs="Times New Roman" w:eastAsia="Times New Roman" w:hAnsi="Times New Roman"/>
          <w:sz w:val="18"/>
          <w:szCs w:val="18"/>
          <w:color w:val="auto"/>
        </w:rPr>
        <w:t>$  (76,183)</w:t>
        <w:tab/>
        <w:t>$ (81,842)</w:t>
      </w:r>
    </w:p>
    <w:p>
      <w:pPr>
        <w:spacing w:after="0" w:line="27" w:lineRule="exact"/>
        <w:rPr>
          <w:sz w:val="20"/>
          <w:szCs w:val="20"/>
          <w:color w:val="auto"/>
        </w:rPr>
      </w:pPr>
    </w:p>
    <w:p>
      <w:pPr>
        <w:ind w:left="268" w:hanging="268"/>
        <w:spacing w:after="0"/>
        <w:tabs>
          <w:tab w:leader="none" w:pos="2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15,569    $ 16,251</w:t>
      </w:r>
    </w:p>
    <w:p>
      <w:pPr>
        <w:spacing w:after="0" w:line="9" w:lineRule="exact"/>
        <w:rPr>
          <w:rFonts w:ascii="Times New Roman" w:cs="Times New Roman" w:eastAsia="Times New Roman" w:hAnsi="Times New Roman"/>
          <w:sz w:val="18"/>
          <w:szCs w:val="18"/>
          <w:color w:val="auto"/>
        </w:rPr>
      </w:pPr>
    </w:p>
    <w:p>
      <w:pPr>
        <w:ind w:left="44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17.8%</w:t>
      </w:r>
      <w:r>
        <w:rPr>
          <w:rFonts w:ascii="Times New Roman" w:cs="Times New Roman" w:eastAsia="Times New Roman" w:hAnsi="Times New Roman"/>
          <w:sz w:val="17"/>
          <w:szCs w:val="17"/>
          <w:color w:val="auto"/>
        </w:rPr>
        <w:t>15.2%</w:t>
      </w:r>
    </w:p>
    <w:p>
      <w:pPr>
        <w:spacing w:after="0" w:line="209" w:lineRule="exact"/>
        <w:rPr>
          <w:sz w:val="20"/>
          <w:szCs w:val="20"/>
          <w:color w:val="auto"/>
        </w:rPr>
      </w:pPr>
    </w:p>
    <w:p>
      <w:pPr>
        <w:sectPr>
          <w:pgSz w:w="11900" w:h="16838" w:orient="portrait"/>
          <w:cols w:equalWidth="0" w:num="2">
            <w:col w:w="5984" w:space="172"/>
            <w:col w:w="4808"/>
          </w:cols>
          <w:pgMar w:left="436" w:top="270" w:right="499" w:bottom="1440" w:gutter="0" w:footer="0" w:header="0"/>
          <w:type w:val="continuous"/>
        </w:sectPr>
      </w:pPr>
    </w:p>
    <w:p>
      <w:pPr>
        <w:spacing w:after="0" w:line="92" w:lineRule="exact"/>
        <w:rPr>
          <w:sz w:val="20"/>
          <w:szCs w:val="20"/>
          <w:color w:val="auto"/>
        </w:rPr>
      </w:pPr>
    </w:p>
    <w:p>
      <w:pPr>
        <w:ind w:left="424" w:hanging="424"/>
        <w:spacing w:after="0"/>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NM = Not meaningful</w:t>
      </w:r>
    </w:p>
    <w:p>
      <w:pPr>
        <w:sectPr>
          <w:pgSz w:w="11900" w:h="16838" w:orient="portrait"/>
          <w:cols w:equalWidth="0" w:num="1">
            <w:col w:w="10964"/>
          </w:cols>
          <w:pgMar w:left="436" w:top="270" w:right="499" w:bottom="1440" w:gutter="0" w:footer="0" w:header="0"/>
          <w:type w:val="continuous"/>
        </w:sectPr>
      </w:pPr>
    </w:p>
    <w:bookmarkStart w:id="9" w:name="page10"/>
    <w:bookmarkEnd w:id="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following table sets forth the reconciliations of GAAP net loss to EBITDA and Adjusted EBITDA for the periods indicated:</w:t>
      </w:r>
    </w:p>
    <w:p>
      <w:pPr>
        <w:spacing w:after="0" w:line="233" w:lineRule="exact"/>
        <w:rPr>
          <w:sz w:val="20"/>
          <w:szCs w:val="20"/>
          <w:color w:val="auto"/>
        </w:rPr>
      </w:pPr>
    </w:p>
    <w:tbl>
      <w:tblPr>
        <w:tblLayout w:type="fixed"/>
        <w:tblInd w:w="884" w:type="dxa"/>
        <w:tblCellMar>
          <w:top w:w="0" w:type="dxa"/>
          <w:left w:w="0" w:type="dxa"/>
          <w:bottom w:w="0" w:type="dxa"/>
          <w:right w:w="0" w:type="dxa"/>
        </w:tblCellMar>
      </w:tblPr>
      <w:tr>
        <w:trPr>
          <w:trHeight w:val="37"/>
        </w:trPr>
        <w:tc>
          <w:tcPr>
            <w:tcW w:w="820" w:type="dxa"/>
            <w:vAlign w:val="bottom"/>
          </w:tcPr>
          <w:p>
            <w:pPr>
              <w:spacing w:after="0"/>
              <w:rPr>
                <w:sz w:val="3"/>
                <w:szCs w:val="3"/>
                <w:color w:val="auto"/>
              </w:rPr>
            </w:pPr>
          </w:p>
        </w:tc>
        <w:tc>
          <w:tcPr>
            <w:tcW w:w="2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340" w:type="dxa"/>
            <w:vAlign w:val="bottom"/>
            <w:vMerge w:val="restart"/>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0" w:type="dxa"/>
            <w:vAlign w:val="bottom"/>
          </w:tcPr>
          <w:p>
            <w:pPr>
              <w:spacing w:after="0" w:line="20" w:lineRule="exact"/>
              <w:rPr>
                <w:sz w:val="1"/>
                <w:szCs w:val="1"/>
                <w:color w:val="auto"/>
              </w:rPr>
            </w:pPr>
          </w:p>
        </w:tc>
      </w:tr>
      <w:tr>
        <w:trPr>
          <w:trHeight w:val="124"/>
        </w:trPr>
        <w:tc>
          <w:tcPr>
            <w:tcW w:w="8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Borders>
              <w:bottom w:val="single" w:sz="8" w:color="auto"/>
            </w:tcBorders>
            <w:gridSpan w:val="2"/>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900" w:type="dxa"/>
            <w:vAlign w:val="bottom"/>
            <w:gridSpan w:val="4"/>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78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Period from</w:t>
            </w:r>
          </w:p>
        </w:tc>
        <w:tc>
          <w:tcPr>
            <w:tcW w:w="22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Period from</w:t>
            </w:r>
          </w:p>
        </w:tc>
        <w:tc>
          <w:tcPr>
            <w:tcW w:w="340" w:type="dxa"/>
            <w:vAlign w:val="bottom"/>
          </w:tcPr>
          <w:p>
            <w:pPr>
              <w:spacing w:after="0"/>
              <w:rPr>
                <w:sz w:val="10"/>
                <w:szCs w:val="10"/>
                <w:color w:val="auto"/>
              </w:rPr>
            </w:pPr>
          </w:p>
        </w:tc>
        <w:tc>
          <w:tcPr>
            <w:tcW w:w="1280" w:type="dxa"/>
            <w:vAlign w:val="bottom"/>
            <w:gridSpan w:val="4"/>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900" w:type="dxa"/>
            <w:vAlign w:val="bottom"/>
            <w:gridSpan w:val="4"/>
            <w:vMerge w:val="continue"/>
          </w:tcPr>
          <w:p>
            <w:pPr>
              <w:spacing w:after="0"/>
              <w:rPr>
                <w:sz w:val="12"/>
                <w:szCs w:val="12"/>
                <w:color w:val="auto"/>
              </w:rPr>
            </w:pPr>
          </w:p>
        </w:tc>
        <w:tc>
          <w:tcPr>
            <w:tcW w:w="1000" w:type="dxa"/>
            <w:vAlign w:val="bottom"/>
            <w:tcBorders>
              <w:right w:val="single" w:sz="8" w:color="auto"/>
            </w:tcBorders>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 13, 2019</w:t>
            </w:r>
          </w:p>
        </w:tc>
        <w:tc>
          <w:tcPr>
            <w:tcW w:w="320" w:type="dxa"/>
            <w:vAlign w:val="bottom"/>
          </w:tcPr>
          <w:p>
            <w:pPr>
              <w:spacing w:after="0"/>
              <w:rPr>
                <w:sz w:val="12"/>
                <w:szCs w:val="12"/>
                <w:color w:val="auto"/>
              </w:rPr>
            </w:pPr>
          </w:p>
        </w:tc>
        <w:tc>
          <w:tcPr>
            <w:tcW w:w="110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Jul 1, 2019</w:t>
            </w:r>
          </w:p>
        </w:tc>
        <w:tc>
          <w:tcPr>
            <w:tcW w:w="12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6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880" w:type="dxa"/>
            <w:vAlign w:val="bottom"/>
            <w:tcBorders>
              <w:right w:val="single" w:sz="8" w:color="auto"/>
            </w:tcBorders>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3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00" w:type="dxa"/>
            <w:vAlign w:val="bottom"/>
          </w:tcPr>
          <w:p>
            <w:pPr>
              <w:spacing w:after="0"/>
              <w:rPr>
                <w:sz w:val="15"/>
                <w:szCs w:val="15"/>
                <w:color w:val="auto"/>
              </w:rPr>
            </w:pPr>
          </w:p>
        </w:tc>
        <w:tc>
          <w:tcPr>
            <w:tcW w:w="140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Sep 30, 2020</w:t>
            </w:r>
          </w:p>
        </w:tc>
        <w:tc>
          <w:tcPr>
            <w:tcW w:w="10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Sep 30, 2019</w:t>
            </w:r>
          </w:p>
        </w:tc>
        <w:tc>
          <w:tcPr>
            <w:tcW w:w="142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Sep 12, 2019</w:t>
            </w:r>
          </w:p>
        </w:tc>
        <w:tc>
          <w:tcPr>
            <w:tcW w:w="200" w:type="dxa"/>
            <w:vAlign w:val="bottom"/>
          </w:tcPr>
          <w:p>
            <w:pPr>
              <w:spacing w:after="0"/>
              <w:rPr>
                <w:sz w:val="15"/>
                <w:szCs w:val="15"/>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 30, 2019</w:t>
            </w:r>
          </w:p>
        </w:tc>
        <w:tc>
          <w:tcPr>
            <w:tcW w:w="0" w:type="dxa"/>
            <w:vAlign w:val="bottom"/>
          </w:tcPr>
          <w:p>
            <w:pPr>
              <w:spacing w:after="0"/>
              <w:rPr>
                <w:sz w:val="1"/>
                <w:szCs w:val="1"/>
                <w:color w:val="auto"/>
              </w:rPr>
            </w:pPr>
          </w:p>
        </w:tc>
      </w:tr>
      <w:tr>
        <w:trPr>
          <w:trHeight w:val="128"/>
        </w:trPr>
        <w:tc>
          <w:tcPr>
            <w:tcW w:w="366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73"/>
              <w:spacing w:after="0" w:line="12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5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72"/>
              <w:spacing w:after="0" w:line="12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2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ind w:right="12"/>
              <w:spacing w:after="0" w:line="12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33"/>
              <w:spacing w:after="0" w:line="12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20" w:type="dxa"/>
            <w:vAlign w:val="bottom"/>
            <w:tcBorders>
              <w:bottom w:val="single" w:sz="8" w:color="CCEEFF"/>
            </w:tcBorders>
            <w:shd w:val="clear" w:color="auto" w:fill="000000"/>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right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Net revenues</w:t>
            </w:r>
          </w:p>
        </w:tc>
        <w:tc>
          <w:tcPr>
            <w:tcW w:w="5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163,360</w:t>
            </w:r>
          </w:p>
        </w:tc>
        <w:tc>
          <w:tcPr>
            <w:tcW w:w="5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19,790</w:t>
            </w:r>
          </w:p>
        </w:tc>
        <w:tc>
          <w:tcPr>
            <w:tcW w:w="22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87,410</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107,200</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6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(206,496)</w:t>
            </w:r>
          </w:p>
        </w:tc>
        <w:tc>
          <w:tcPr>
            <w:tcW w:w="52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(11,706)</w:t>
            </w:r>
          </w:p>
        </w:tc>
        <w:tc>
          <w:tcPr>
            <w:tcW w:w="2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(77,340)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(89,046)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22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5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24,777</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22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EBITDA</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(173,021)</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(5,659)</w:t>
            </w:r>
          </w:p>
        </w:tc>
        <w:tc>
          <w:tcPr>
            <w:tcW w:w="22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(76,183)</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(81,842)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 (1)</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66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Accelerated vesting of certain equity</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awards (2)</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209,300</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right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87,060</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87,060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Centerbridge Acquisition costs (3)</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6,245</w:t>
            </w:r>
          </w:p>
        </w:tc>
        <w:tc>
          <w:tcPr>
            <w:tcW w:w="22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IPO transaction costs (4)</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Severance costs (5)</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Borders>
              <w:right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5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39,284</w:t>
            </w: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220" w:type="dxa"/>
            <w:vAlign w:val="bottom"/>
            <w:tcBorders>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15,569</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margin</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77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72" w:lineRule="exact"/>
        <w:rPr>
          <w:sz w:val="20"/>
          <w:szCs w:val="20"/>
          <w:color w:val="auto"/>
        </w:rPr>
      </w:pPr>
    </w:p>
    <w:p>
      <w:pPr>
        <w:ind w:left="424" w:hanging="424"/>
        <w:spacing w:after="0"/>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share-based compensation expense relating to stock options, restricted stock units and time-vesting units.</w:t>
      </w:r>
    </w:p>
    <w:p>
      <w:pPr>
        <w:spacing w:after="0" w:line="27" w:lineRule="exact"/>
        <w:rPr>
          <w:rFonts w:ascii="Times New Roman" w:cs="Times New Roman" w:eastAsia="Times New Roman" w:hAnsi="Times New Roman"/>
          <w:sz w:val="18"/>
          <w:szCs w:val="18"/>
          <w:color w:val="auto"/>
        </w:rPr>
      </w:pPr>
    </w:p>
    <w:p>
      <w:pPr>
        <w:ind w:left="424" w:right="20" w:hanging="424"/>
        <w:spacing w:after="0" w:line="250"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share-based compensation expense relating to the accelerated vesting of performance-vesting units in connection with the IPO for the three months ended September 30, 2020 and the accelerated vesting of profit interests and incentive share units in connection with the Centerbridge Acquisition for the period from July 1, 2019 through September 12, 2019.</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legal, accounting, consulting, and other costs related to the Centerbridge Acquisition.</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legal, accounting, consulting, and other indirect costs associated with the Company’s IPO.</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associated with the termination of employment.</w:t>
      </w:r>
    </w:p>
    <w:p>
      <w:pPr>
        <w:sectPr>
          <w:pgSz w:w="11900" w:h="16838" w:orient="portrait"/>
          <w:cols w:equalWidth="0" w:num="1">
            <w:col w:w="10964"/>
          </w:cols>
          <w:pgMar w:left="436" w:top="270" w:right="499" w:bottom="1440" w:gutter="0" w:footer="0" w:header="0"/>
        </w:sectPr>
      </w:pP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table summarizes share based compensation by operating function:</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78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Period from</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5"/>
            <w:vMerge w:val="continue"/>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 13, 2019</w:t>
            </w: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4"/>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66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73"/>
        </w:trPr>
        <w:tc>
          <w:tcPr>
            <w:tcW w:w="4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Marketing and advertising</w:t>
            </w:r>
          </w:p>
        </w:tc>
        <w:tc>
          <w:tcPr>
            <w:tcW w:w="20" w:type="dxa"/>
            <w:vAlign w:val="bottom"/>
          </w:tcPr>
          <w:p>
            <w:pPr>
              <w:spacing w:after="0"/>
              <w:rPr>
                <w:sz w:val="15"/>
                <w:szCs w:val="15"/>
                <w:color w:val="auto"/>
              </w:rPr>
            </w:pPr>
          </w:p>
        </w:tc>
        <w:tc>
          <w:tcPr>
            <w:tcW w:w="11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 30, 2020</w:t>
            </w: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 30, 2019</w:t>
            </w:r>
          </w:p>
        </w:tc>
        <w:tc>
          <w:tcPr>
            <w:tcW w:w="0" w:type="dxa"/>
            <w:vAlign w:val="bottom"/>
          </w:tcPr>
          <w:p>
            <w:pPr>
              <w:spacing w:after="0"/>
              <w:rPr>
                <w:sz w:val="1"/>
                <w:szCs w:val="1"/>
                <w:color w:val="auto"/>
              </w:rPr>
            </w:pPr>
          </w:p>
        </w:tc>
      </w:tr>
      <w:tr>
        <w:trPr>
          <w:trHeight w:val="191"/>
        </w:trPr>
        <w:tc>
          <w:tcPr>
            <w:tcW w:w="43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24,709</w:t>
            </w:r>
          </w:p>
        </w:tc>
        <w:tc>
          <w:tcPr>
            <w:tcW w:w="40" w:type="dxa"/>
            <w:vAlign w:val="bottom"/>
            <w:gridSpan w:val="2"/>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ind w:left="3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Customer care and enrollment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11,993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Technology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32,748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142,620</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3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share-based compensation expense</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212,070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-1216660</wp:posOffset>
            </wp:positionV>
            <wp:extent cx="6995160" cy="12255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2255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tcPr>
          <w:p>
            <w:pPr>
              <w:spacing w:after="0"/>
              <w:rPr>
                <w:sz w:val="15"/>
                <w:szCs w:val="15"/>
                <w:color w:val="auto"/>
              </w:rPr>
            </w:pPr>
          </w:p>
        </w:tc>
        <w:tc>
          <w:tcPr>
            <w:tcW w:w="114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Period from</w:t>
            </w:r>
          </w:p>
        </w:tc>
        <w:tc>
          <w:tcPr>
            <w:tcW w:w="340" w:type="dxa"/>
            <w:vAlign w:val="bottom"/>
            <w:gridSpan w:val="2"/>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Nine</w:t>
            </w:r>
          </w:p>
        </w:tc>
        <w:tc>
          <w:tcPr>
            <w:tcW w:w="76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Period from</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8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July 1, 2019</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Sep 13, 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2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100" w:type="dxa"/>
            <w:vAlign w:val="bottom"/>
          </w:tcPr>
          <w:p>
            <w:pPr>
              <w:spacing w:after="0"/>
              <w:rPr>
                <w:sz w:val="12"/>
                <w:szCs w:val="12"/>
                <w:color w:val="auto"/>
              </w:rPr>
            </w:pPr>
          </w:p>
        </w:tc>
        <w:tc>
          <w:tcPr>
            <w:tcW w:w="6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 12, 2019</w:t>
            </w: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 30, 2020</w:t>
            </w: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Sep 30, 2019</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ind w:left="240"/>
              <w:spacing w:after="0" w:line="191" w:lineRule="exact"/>
              <w:rPr>
                <w:sz w:val="20"/>
                <w:szCs w:val="20"/>
                <w:color w:val="auto"/>
              </w:rPr>
            </w:pPr>
            <w:r>
              <w:rPr>
                <w:rFonts w:ascii="Times New Roman" w:cs="Times New Roman" w:eastAsia="Times New Roman" w:hAnsi="Times New Roman"/>
                <w:sz w:val="18"/>
                <w:szCs w:val="18"/>
                <w:color w:val="auto"/>
                <w:w w:val="93"/>
              </w:rPr>
              <w:t>1,674</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24,829</w:t>
            </w:r>
          </w:p>
        </w:tc>
        <w:tc>
          <w:tcPr>
            <w:tcW w:w="340" w:type="dxa"/>
            <w:vAlign w:val="bottom"/>
          </w:tcPr>
          <w:p>
            <w:pPr>
              <w:spacing w:after="0"/>
              <w:rPr>
                <w:sz w:val="16"/>
                <w:szCs w:val="16"/>
                <w:color w:val="auto"/>
              </w:rPr>
            </w:pPr>
          </w:p>
        </w:tc>
        <w:tc>
          <w:tcPr>
            <w:tcW w:w="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ind w:left="4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12,050</w:t>
            </w:r>
          </w:p>
        </w:tc>
        <w:tc>
          <w:tcPr>
            <w:tcW w:w="10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27,059</w:t>
            </w:r>
          </w:p>
        </w:tc>
        <w:tc>
          <w:tcPr>
            <w:tcW w:w="2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32,907</w:t>
            </w:r>
          </w:p>
        </w:tc>
        <w:tc>
          <w:tcPr>
            <w:tcW w:w="10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58,327</w:t>
            </w:r>
          </w:p>
        </w:tc>
        <w:tc>
          <w:tcPr>
            <w:tcW w:w="20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143,360</w:t>
            </w:r>
          </w:p>
        </w:tc>
        <w:tc>
          <w:tcPr>
            <w:tcW w:w="100" w:type="dxa"/>
            <w:vAlign w:val="bottom"/>
          </w:tcPr>
          <w:p>
            <w:pPr>
              <w:spacing w:after="0"/>
              <w:rPr>
                <w:sz w:val="20"/>
                <w:szCs w:val="20"/>
                <w:color w:val="auto"/>
              </w:rPr>
            </w:pP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w w:val="96"/>
              </w:rPr>
              <w:t>87,060</w:t>
            </w: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213,146</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u w:val="single" w:color="auto"/>
          <w:color w:val="auto"/>
        </w:rPr>
        <w:t>Predecessor</w:t>
      </w:r>
    </w:p>
    <w:p>
      <w:pPr>
        <w:spacing w:after="0" w:line="19" w:lineRule="exact"/>
        <w:rPr>
          <w:sz w:val="20"/>
          <w:szCs w:val="20"/>
          <w:color w:val="auto"/>
        </w:rPr>
      </w:pPr>
    </w:p>
    <w:p>
      <w:pPr>
        <w:jc w:val="center"/>
        <w:ind w:left="-19"/>
        <w:spacing w:after="0" w:line="229" w:lineRule="auto"/>
        <w:rPr>
          <w:sz w:val="20"/>
          <w:szCs w:val="20"/>
          <w:color w:val="auto"/>
        </w:rPr>
      </w:pPr>
      <w:r>
        <w:rPr>
          <w:rFonts w:ascii="Times New Roman" w:cs="Times New Roman" w:eastAsia="Times New Roman" w:hAnsi="Times New Roman"/>
          <w:sz w:val="14"/>
          <w:szCs w:val="14"/>
          <w:b w:val="1"/>
          <w:bCs w:val="1"/>
          <w:color w:val="auto"/>
        </w:rPr>
        <w:t xml:space="preserve">Period from Jan 1, 2019 through </w:t>
      </w:r>
      <w:r>
        <w:rPr>
          <w:rFonts w:ascii="Times New Roman" w:cs="Times New Roman" w:eastAsia="Times New Roman" w:hAnsi="Times New Roman"/>
          <w:sz w:val="14"/>
          <w:szCs w:val="14"/>
          <w:b w:val="1"/>
          <w:bCs w:val="1"/>
          <w:u w:val="single" w:color="auto"/>
          <w:color w:val="auto"/>
        </w:rPr>
        <w:t>Sep 12, 2019</w:t>
      </w:r>
    </w:p>
    <w:p>
      <w:pPr>
        <w:spacing w:after="0" w:line="1" w:lineRule="exact"/>
        <w:rPr>
          <w:sz w:val="20"/>
          <w:szCs w:val="20"/>
          <w:color w:val="auto"/>
        </w:rPr>
      </w:pPr>
    </w:p>
    <w:p>
      <w:pPr>
        <w:ind w:left="380" w:hanging="372"/>
        <w:spacing w:after="0"/>
        <w:tabs>
          <w:tab w:leader="none" w:pos="3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1,674</w:t>
      </w:r>
    </w:p>
    <w:p>
      <w:pPr>
        <w:spacing w:after="0" w:line="18" w:lineRule="exact"/>
        <w:rPr>
          <w:rFonts w:ascii="Times New Roman" w:cs="Times New Roman" w:eastAsia="Times New Roman" w:hAnsi="Times New Roman"/>
          <w:sz w:val="17"/>
          <w:szCs w:val="17"/>
          <w:color w:val="auto"/>
        </w:rPr>
      </w:pPr>
    </w:p>
    <w:p>
      <w:pPr>
        <w:ind w:left="5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27,059</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58,327</w:t>
      </w:r>
    </w:p>
    <w:p>
      <w:pPr>
        <w:spacing w:after="0" w:line="18" w:lineRule="exact"/>
        <w:rPr>
          <w:sz w:val="20"/>
          <w:szCs w:val="20"/>
          <w:color w:val="auto"/>
        </w:rPr>
      </w:pPr>
    </w:p>
    <w:p>
      <w:pPr>
        <w:ind w:left="280" w:hanging="272"/>
        <w:spacing w:after="0"/>
        <w:tabs>
          <w:tab w:leader="none" w:pos="280" w:val="left"/>
        </w:tabs>
        <w:numPr>
          <w:ilvl w:val="0"/>
          <w:numId w:val="1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87,060</w:t>
      </w:r>
    </w:p>
    <w:p>
      <w:pPr>
        <w:sectPr>
          <w:pgSz w:w="11900" w:h="16838" w:orient="portrait"/>
          <w:cols w:equalWidth="0" w:num="3">
            <w:col w:w="6284" w:space="400"/>
            <w:col w:w="3100" w:space="400"/>
            <w:col w:w="780"/>
          </w:cols>
          <w:pgMar w:left="436" w:top="270" w:right="49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following table sets forth the components of our results of operations for the periods indicated (unaudited):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80" w:type="dxa"/>
            <w:vAlign w:val="bottom"/>
          </w:tcPr>
          <w:p>
            <w:pPr>
              <w:spacing w:after="0"/>
              <w:rPr>
                <w:sz w:val="2"/>
                <w:szCs w:val="2"/>
                <w:color w:val="auto"/>
              </w:rPr>
            </w:pPr>
          </w:p>
        </w:tc>
        <w:tc>
          <w:tcPr>
            <w:tcW w:w="1960" w:type="dxa"/>
            <w:vAlign w:val="bottom"/>
            <w:gridSpan w:val="4"/>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Non-GAAP Combined</w:t>
            </w: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gridSpan w:val="4"/>
            <w:vMerge w:val="continue"/>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Period from</w:t>
            </w: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Period from</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gridSpan w:val="5"/>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80" w:type="dxa"/>
            <w:vAlign w:val="bottom"/>
            <w:tcBorders>
              <w:right w:val="single" w:sz="8" w:color="auto"/>
            </w:tcBorders>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 13, 2019</w:t>
            </w:r>
          </w:p>
        </w:tc>
        <w:tc>
          <w:tcPr>
            <w:tcW w:w="100" w:type="dxa"/>
            <w:vAlign w:val="bottom"/>
          </w:tcPr>
          <w:p>
            <w:pPr>
              <w:spacing w:after="0"/>
              <w:rPr>
                <w:sz w:val="12"/>
                <w:szCs w:val="12"/>
                <w:color w:val="auto"/>
              </w:rPr>
            </w:pPr>
          </w:p>
        </w:tc>
        <w:tc>
          <w:tcPr>
            <w:tcW w:w="10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Jan 1, 2019</w:t>
            </w:r>
          </w:p>
        </w:tc>
        <w:tc>
          <w:tcPr>
            <w:tcW w:w="80" w:type="dxa"/>
            <w:vAlign w:val="bottom"/>
          </w:tcPr>
          <w:p>
            <w:pPr>
              <w:spacing w:after="0"/>
              <w:rPr>
                <w:sz w:val="12"/>
                <w:szCs w:val="12"/>
                <w:color w:val="auto"/>
              </w:rPr>
            </w:pPr>
          </w:p>
        </w:tc>
        <w:tc>
          <w:tcPr>
            <w:tcW w:w="1960" w:type="dxa"/>
            <w:vAlign w:val="bottom"/>
            <w:gridSpan w:val="4"/>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Borders>
              <w:right w:val="single" w:sz="8" w:color="auto"/>
            </w:tcBorders>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80" w:type="dxa"/>
            <w:vAlign w:val="bottom"/>
          </w:tcPr>
          <w:p>
            <w:pPr>
              <w:spacing w:after="0"/>
              <w:rPr>
                <w:sz w:val="12"/>
                <w:szCs w:val="12"/>
                <w:color w:val="auto"/>
              </w:rPr>
            </w:pPr>
          </w:p>
        </w:tc>
        <w:tc>
          <w:tcPr>
            <w:tcW w:w="1960" w:type="dxa"/>
            <w:vAlign w:val="bottom"/>
            <w:gridSpan w:val="4"/>
            <w:vMerge w:val="continue"/>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Sep 30, 2020</w:t>
            </w:r>
          </w:p>
        </w:tc>
        <w:tc>
          <w:tcPr>
            <w:tcW w:w="320" w:type="dxa"/>
            <w:vAlign w:val="bottom"/>
          </w:tcPr>
          <w:p>
            <w:pPr>
              <w:spacing w:after="0"/>
              <w:rPr>
                <w:sz w:val="15"/>
                <w:szCs w:val="15"/>
                <w:color w:val="auto"/>
              </w:rPr>
            </w:pPr>
          </w:p>
        </w:tc>
        <w:tc>
          <w:tcPr>
            <w:tcW w:w="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Sep 30, 2019</w:t>
            </w:r>
          </w:p>
        </w:tc>
        <w:tc>
          <w:tcPr>
            <w:tcW w:w="2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 12, 2019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 30, 2019</w:t>
            </w: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80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00" w:type="dxa"/>
            <w:vAlign w:val="bottom"/>
          </w:tcPr>
          <w:p>
            <w:pPr>
              <w:spacing w:after="0"/>
              <w:rPr>
                <w:sz w:val="10"/>
                <w:szCs w:val="10"/>
                <w:color w:val="auto"/>
              </w:rPr>
            </w:pPr>
          </w:p>
        </w:tc>
        <w:tc>
          <w:tcPr>
            <w:tcW w:w="60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 of Net</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Borders>
              <w:right w:val="single" w:sz="8" w:color="auto"/>
            </w:tcBorders>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80" w:type="dxa"/>
            <w:vAlign w:val="bottom"/>
          </w:tcPr>
          <w:p>
            <w:pPr>
              <w:spacing w:after="0"/>
              <w:rPr>
                <w:sz w:val="10"/>
                <w:szCs w:val="10"/>
                <w:color w:val="auto"/>
              </w:rPr>
            </w:pPr>
          </w:p>
        </w:tc>
        <w:tc>
          <w:tcPr>
            <w:tcW w:w="10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60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 of Net</w:t>
            </w:r>
          </w:p>
        </w:tc>
        <w:tc>
          <w:tcPr>
            <w:tcW w:w="320" w:type="dxa"/>
            <w:vAlign w:val="bottom"/>
          </w:tcPr>
          <w:p>
            <w:pPr>
              <w:spacing w:after="0"/>
              <w:rPr>
                <w:sz w:val="10"/>
                <w:szCs w:val="10"/>
                <w:color w:val="auto"/>
              </w:rPr>
            </w:pPr>
          </w:p>
        </w:tc>
        <w:tc>
          <w:tcPr>
            <w:tcW w:w="10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2"/>
        </w:trPr>
        <w:tc>
          <w:tcPr>
            <w:tcW w:w="20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i w:val="1"/>
                <w:iCs w:val="1"/>
                <w:color w:val="auto"/>
              </w:rPr>
              <w:t>share and per share amounts)</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Pr>
          <w:p>
            <w:pPr>
              <w:spacing w:after="0"/>
              <w:rPr>
                <w:sz w:val="15"/>
                <w:szCs w:val="15"/>
                <w:color w:val="auto"/>
              </w:rPr>
            </w:pPr>
          </w:p>
        </w:tc>
        <w:tc>
          <w:tcPr>
            <w:tcW w:w="880" w:type="dxa"/>
            <w:vAlign w:val="bottom"/>
            <w:tcBorders>
              <w:right w:val="single" w:sz="8" w:color="auto"/>
            </w:tcBorders>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2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800" w:type="dxa"/>
            <w:vAlign w:val="bottom"/>
            <w:tcBorders>
              <w:top w:val="single" w:sz="8" w:color="CCEEFF"/>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Net revenues:</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right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6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Commission</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310,506</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13,723</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175,834</w:t>
            </w: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$ 189,557</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75.6%</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120,949</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26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Enterprise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55,176</w:t>
            </w:r>
          </w:p>
        </w:tc>
        <w:tc>
          <w:tcPr>
            <w:tcW w:w="11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61,243</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24.4%</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59,678</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20"/>
        </w:trPr>
        <w:tc>
          <w:tcPr>
            <w:tcW w:w="28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00" w:type="dxa"/>
            <w:vAlign w:val="bottom"/>
            <w:gridSpan w:val="4"/>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431,427</w:t>
            </w:r>
          </w:p>
        </w:tc>
        <w:tc>
          <w:tcPr>
            <w:tcW w:w="20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19,790</w:t>
            </w:r>
          </w:p>
        </w:tc>
        <w:tc>
          <w:tcPr>
            <w:tcW w:w="220" w:type="dxa"/>
            <w:vAlign w:val="bottom"/>
            <w:tcBorders>
              <w:right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231,010</w:t>
            </w:r>
          </w:p>
        </w:tc>
        <w:tc>
          <w:tcPr>
            <w:tcW w:w="2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250,800</w:t>
            </w:r>
          </w:p>
        </w:tc>
        <w:tc>
          <w:tcPr>
            <w:tcW w:w="300" w:type="dxa"/>
            <w:vAlign w:val="bottom"/>
            <w:vMerge w:val="continue"/>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180,627</w:t>
            </w:r>
          </w:p>
        </w:tc>
        <w:tc>
          <w:tcPr>
            <w:tcW w:w="220" w:type="dxa"/>
            <w:vAlign w:val="bottom"/>
            <w:vMerge w:val="continue"/>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16"/>
        </w:trPr>
        <w:tc>
          <w:tcPr>
            <w:tcW w:w="2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6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Cost of revenue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104,520</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79,169</w:t>
            </w: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83,906</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33.5%</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20,614</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26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110,556</w:t>
            </w: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37,769</w:t>
            </w:r>
          </w:p>
        </w:tc>
        <w:tc>
          <w:tcPr>
            <w:tcW w:w="11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44,909</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17.9%</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65,647</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146.2%</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6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Customer care and enrollment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105,267</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49,149</w:t>
            </w: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53,774</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21.4%</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51,493</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266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Technology</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49,818</w:t>
            </w: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40,312</w:t>
            </w:r>
          </w:p>
        </w:tc>
        <w:tc>
          <w:tcPr>
            <w:tcW w:w="11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40,830</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16.3%</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8,988</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6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177,400</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79,219</w:t>
            </w: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81,505</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32.5%</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95,895</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117.7%</w:t>
            </w:r>
          </w:p>
        </w:tc>
        <w:tc>
          <w:tcPr>
            <w:tcW w:w="0" w:type="dxa"/>
            <w:vAlign w:val="bottom"/>
          </w:tcPr>
          <w:p>
            <w:pPr>
              <w:spacing w:after="0"/>
              <w:rPr>
                <w:sz w:val="1"/>
                <w:szCs w:val="1"/>
                <w:color w:val="auto"/>
              </w:rPr>
            </w:pPr>
          </w:p>
        </w:tc>
      </w:tr>
      <w:tr>
        <w:trPr>
          <w:trHeight w:val="198"/>
        </w:trPr>
        <w:tc>
          <w:tcPr>
            <w:tcW w:w="140" w:type="dxa"/>
            <w:vAlign w:val="bottom"/>
            <w:shd w:val="clear" w:color="auto" w:fill="CCEEFF"/>
          </w:tcPr>
          <w:p>
            <w:pPr>
              <w:spacing w:after="0"/>
              <w:rPr>
                <w:sz w:val="17"/>
                <w:szCs w:val="17"/>
                <w:color w:val="auto"/>
              </w:rPr>
            </w:pPr>
          </w:p>
        </w:tc>
        <w:tc>
          <w:tcPr>
            <w:tcW w:w="2660" w:type="dxa"/>
            <w:vAlign w:val="bottom"/>
            <w:gridSpan w:val="3"/>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Change in fair value of</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26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contingent consideration</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 w:type="dxa"/>
            <w:vAlign w:val="bottom"/>
            <w:shd w:val="clear" w:color="auto" w:fill="CCEEFF"/>
          </w:tcPr>
          <w:p>
            <w:pPr>
              <w:spacing w:after="0"/>
              <w:rPr>
                <w:sz w:val="20"/>
                <w:szCs w:val="20"/>
                <w:color w:val="auto"/>
              </w:rPr>
            </w:pPr>
          </w:p>
        </w:tc>
        <w:tc>
          <w:tcPr>
            <w:tcW w:w="26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liability</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19,700</w:t>
            </w: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20"/>
                <w:szCs w:val="20"/>
                <w:color w:val="auto"/>
              </w:rPr>
            </w:pPr>
          </w:p>
        </w:tc>
        <w:tc>
          <w:tcPr>
            <w:tcW w:w="88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19,700</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98"/>
        </w:trPr>
        <w:tc>
          <w:tcPr>
            <w:tcW w:w="140" w:type="dxa"/>
            <w:vAlign w:val="bottom"/>
          </w:tcPr>
          <w:p>
            <w:pPr>
              <w:spacing w:after="0"/>
              <w:rPr>
                <w:sz w:val="17"/>
                <w:szCs w:val="17"/>
                <w:color w:val="auto"/>
              </w:rPr>
            </w:pPr>
          </w:p>
        </w:tc>
        <w:tc>
          <w:tcPr>
            <w:tcW w:w="2660" w:type="dxa"/>
            <w:vAlign w:val="bottom"/>
            <w:gridSpan w:val="3"/>
          </w:tcPr>
          <w:p>
            <w:pPr>
              <w:ind w:left="220"/>
              <w:spacing w:after="0" w:line="198" w:lineRule="exact"/>
              <w:rPr>
                <w:sz w:val="20"/>
                <w:szCs w:val="20"/>
                <w:color w:val="auto"/>
              </w:rPr>
            </w:pPr>
            <w:r>
              <w:rPr>
                <w:rFonts w:ascii="Times New Roman" w:cs="Times New Roman" w:eastAsia="Times New Roman" w:hAnsi="Times New Roman"/>
                <w:sz w:val="18"/>
                <w:szCs w:val="18"/>
                <w:color w:val="auto"/>
              </w:rPr>
              <w:t>Amortization of intangible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26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assets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70,543</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0"/>
                <w:szCs w:val="20"/>
                <w:color w:val="auto"/>
              </w:rPr>
            </w:pPr>
          </w:p>
        </w:tc>
        <w:tc>
          <w:tcPr>
            <w:tcW w:w="88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4,703</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65,840</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1400.0%</w:t>
            </w:r>
          </w:p>
        </w:tc>
        <w:tc>
          <w:tcPr>
            <w:tcW w:w="0" w:type="dxa"/>
            <w:vAlign w:val="bottom"/>
          </w:tcPr>
          <w:p>
            <w:pPr>
              <w:spacing w:after="0"/>
              <w:rPr>
                <w:sz w:val="1"/>
                <w:szCs w:val="1"/>
                <w:color w:val="auto"/>
              </w:rPr>
            </w:pPr>
          </w:p>
        </w:tc>
      </w:tr>
      <w:tr>
        <w:trPr>
          <w:trHeight w:val="198"/>
        </w:trPr>
        <w:tc>
          <w:tcPr>
            <w:tcW w:w="140" w:type="dxa"/>
            <w:vAlign w:val="bottom"/>
            <w:shd w:val="clear" w:color="auto" w:fill="CCEEFF"/>
          </w:tcPr>
          <w:p>
            <w:pPr>
              <w:spacing w:after="0"/>
              <w:rPr>
                <w:sz w:val="17"/>
                <w:szCs w:val="17"/>
                <w:color w:val="auto"/>
              </w:rPr>
            </w:pPr>
          </w:p>
        </w:tc>
        <w:tc>
          <w:tcPr>
            <w:tcW w:w="2660" w:type="dxa"/>
            <w:vAlign w:val="bottom"/>
            <w:gridSpan w:val="3"/>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Acquisition related transaction</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0" w:type="dxa"/>
            <w:vAlign w:val="bottom"/>
            <w:shd w:val="clear" w:color="auto" w:fill="CCEEFF"/>
          </w:tcPr>
          <w:p>
            <w:pPr>
              <w:spacing w:after="0"/>
              <w:rPr>
                <w:sz w:val="20"/>
                <w:szCs w:val="20"/>
                <w:color w:val="auto"/>
              </w:rPr>
            </w:pPr>
          </w:p>
        </w:tc>
        <w:tc>
          <w:tcPr>
            <w:tcW w:w="26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costs</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6,245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2,267</w:t>
            </w:r>
          </w:p>
        </w:tc>
        <w:tc>
          <w:tcPr>
            <w:tcW w:w="11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8,512</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(8,512)</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8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00" w:type="dxa"/>
            <w:vAlign w:val="bottom"/>
            <w:gridSpan w:val="4"/>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637,804</w:t>
            </w:r>
          </w:p>
        </w:tc>
        <w:tc>
          <w:tcPr>
            <w:tcW w:w="20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147.8%</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30,254</w:t>
            </w:r>
          </w:p>
        </w:tc>
        <w:tc>
          <w:tcPr>
            <w:tcW w:w="220" w:type="dxa"/>
            <w:vAlign w:val="bottom"/>
            <w:tcBorders>
              <w:right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287,885</w:t>
            </w:r>
          </w:p>
        </w:tc>
        <w:tc>
          <w:tcPr>
            <w:tcW w:w="2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318,139</w:t>
            </w:r>
          </w:p>
        </w:tc>
        <w:tc>
          <w:tcPr>
            <w:tcW w:w="300" w:type="dxa"/>
            <w:vAlign w:val="bottom"/>
            <w:vMerge w:val="continue"/>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126.8%</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319,665</w:t>
            </w:r>
          </w:p>
        </w:tc>
        <w:tc>
          <w:tcPr>
            <w:tcW w:w="220" w:type="dxa"/>
            <w:vAlign w:val="bottom"/>
            <w:vMerge w:val="continue"/>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(206,377)</w:t>
            </w: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(56,875)</w:t>
            </w:r>
          </w:p>
        </w:tc>
        <w:tc>
          <w:tcPr>
            <w:tcW w:w="11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(67,339)</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-26.8%</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(139,038)</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206.5%</w:t>
            </w:r>
          </w:p>
        </w:tc>
        <w:tc>
          <w:tcPr>
            <w:tcW w:w="0" w:type="dxa"/>
            <w:vAlign w:val="bottom"/>
          </w:tcPr>
          <w:p>
            <w:pPr>
              <w:spacing w:after="0"/>
              <w:rPr>
                <w:sz w:val="1"/>
                <w:szCs w:val="1"/>
                <w:color w:val="auto"/>
              </w:rPr>
            </w:pPr>
          </w:p>
        </w:tc>
      </w:tr>
      <w:tr>
        <w:trPr>
          <w:trHeight w:val="216"/>
        </w:trPr>
        <w:tc>
          <w:tcPr>
            <w:tcW w:w="2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24,378</w:t>
            </w: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w:t>
            </w: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1,429</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0.6%</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22,949</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1605.9%</w:t>
            </w:r>
          </w:p>
        </w:tc>
        <w:tc>
          <w:tcPr>
            <w:tcW w:w="0" w:type="dxa"/>
            <w:vAlign w:val="bottom"/>
          </w:tcPr>
          <w:p>
            <w:pPr>
              <w:spacing w:after="0"/>
              <w:rPr>
                <w:sz w:val="1"/>
                <w:szCs w:val="1"/>
                <w:color w:val="auto"/>
              </w:rPr>
            </w:pPr>
          </w:p>
        </w:tc>
      </w:tr>
      <w:tr>
        <w:trPr>
          <w:trHeight w:val="216"/>
        </w:trPr>
        <w:tc>
          <w:tcPr>
            <w:tcW w:w="2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(494)</w:t>
            </w:r>
          </w:p>
        </w:tc>
        <w:tc>
          <w:tcPr>
            <w:tcW w:w="10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w:t>
            </w:r>
          </w:p>
        </w:tc>
        <w:tc>
          <w:tcPr>
            <w:tcW w:w="11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104</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(598)</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-575.0%</w:t>
            </w:r>
          </w:p>
        </w:tc>
        <w:tc>
          <w:tcPr>
            <w:tcW w:w="0" w:type="dxa"/>
            <w:vAlign w:val="bottom"/>
          </w:tcPr>
          <w:p>
            <w:pPr>
              <w:spacing w:after="0"/>
              <w:rPr>
                <w:sz w:val="1"/>
                <w:szCs w:val="1"/>
                <w:color w:val="auto"/>
              </w:rPr>
            </w:pPr>
          </w:p>
        </w:tc>
      </w:tr>
      <w:tr>
        <w:trPr>
          <w:trHeight w:val="20"/>
        </w:trPr>
        <w:tc>
          <w:tcPr>
            <w:tcW w:w="28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00" w:type="dxa"/>
            <w:vAlign w:val="bottom"/>
            <w:gridSpan w:val="4"/>
            <w:vMerge w:val="continue"/>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(230,261)</w:t>
            </w:r>
          </w:p>
        </w:tc>
        <w:tc>
          <w:tcPr>
            <w:tcW w:w="20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(11,743)</w:t>
            </w:r>
          </w:p>
        </w:tc>
        <w:tc>
          <w:tcPr>
            <w:tcW w:w="220" w:type="dxa"/>
            <w:vAlign w:val="bottom"/>
            <w:tcBorders>
              <w:right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(57,129)</w:t>
            </w:r>
          </w:p>
        </w:tc>
        <w:tc>
          <w:tcPr>
            <w:tcW w:w="2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(68,872)</w:t>
            </w:r>
          </w:p>
        </w:tc>
        <w:tc>
          <w:tcPr>
            <w:tcW w:w="300" w:type="dxa"/>
            <w:vAlign w:val="bottom"/>
            <w:vMerge w:val="continue"/>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(161,389)</w:t>
            </w:r>
          </w:p>
        </w:tc>
        <w:tc>
          <w:tcPr>
            <w:tcW w:w="220" w:type="dxa"/>
            <w:vAlign w:val="bottom"/>
            <w:vMerge w:val="continue"/>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234.3%</w:t>
            </w:r>
          </w:p>
        </w:tc>
        <w:tc>
          <w:tcPr>
            <w:tcW w:w="0" w:type="dxa"/>
            <w:vAlign w:val="bottom"/>
          </w:tcPr>
          <w:p>
            <w:pPr>
              <w:spacing w:after="0"/>
              <w:rPr>
                <w:sz w:val="1"/>
                <w:szCs w:val="1"/>
                <w:color w:val="auto"/>
              </w:rPr>
            </w:pPr>
          </w:p>
        </w:tc>
      </w:tr>
      <w:tr>
        <w:trPr>
          <w:trHeight w:val="216"/>
        </w:trPr>
        <w:tc>
          <w:tcPr>
            <w:tcW w:w="2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w:t>
            </w:r>
          </w:p>
        </w:tc>
        <w:tc>
          <w:tcPr>
            <w:tcW w:w="11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(103)</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-136.9%</w:t>
            </w:r>
          </w:p>
        </w:tc>
        <w:tc>
          <w:tcPr>
            <w:tcW w:w="0" w:type="dxa"/>
            <w:vAlign w:val="bottom"/>
          </w:tcPr>
          <w:p>
            <w:pPr>
              <w:spacing w:after="0"/>
              <w:rPr>
                <w:sz w:val="1"/>
                <w:szCs w:val="1"/>
                <w:color w:val="auto"/>
              </w:rPr>
            </w:pPr>
          </w:p>
        </w:tc>
      </w:tr>
      <w:tr>
        <w:trPr>
          <w:trHeight w:val="20"/>
        </w:trPr>
        <w:tc>
          <w:tcPr>
            <w:tcW w:w="28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800" w:type="dxa"/>
            <w:vAlign w:val="bottom"/>
            <w:gridSpan w:val="4"/>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(230,299)</w:t>
            </w:r>
          </w:p>
        </w:tc>
        <w:tc>
          <w:tcPr>
            <w:tcW w:w="20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(11,706)</w:t>
            </w:r>
          </w:p>
        </w:tc>
        <w:tc>
          <w:tcPr>
            <w:tcW w:w="220" w:type="dxa"/>
            <w:vAlign w:val="bottom"/>
            <w:tcBorders>
              <w:right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(57,063)</w:t>
            </w:r>
          </w:p>
        </w:tc>
        <w:tc>
          <w:tcPr>
            <w:tcW w:w="2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 (68,769)</w:t>
            </w:r>
          </w:p>
        </w:tc>
        <w:tc>
          <w:tcPr>
            <w:tcW w:w="300" w:type="dxa"/>
            <w:vAlign w:val="bottom"/>
            <w:vMerge w:val="continue"/>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 (161,530)</w:t>
            </w:r>
          </w:p>
        </w:tc>
        <w:tc>
          <w:tcPr>
            <w:tcW w:w="220" w:type="dxa"/>
            <w:vAlign w:val="bottom"/>
            <w:vMerge w:val="continue"/>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234.9%</w:t>
            </w:r>
          </w:p>
        </w:tc>
        <w:tc>
          <w:tcPr>
            <w:tcW w:w="0" w:type="dxa"/>
            <w:vAlign w:val="bottom"/>
          </w:tcPr>
          <w:p>
            <w:pPr>
              <w:spacing w:after="0"/>
              <w:rPr>
                <w:sz w:val="1"/>
                <w:szCs w:val="1"/>
                <w:color w:val="auto"/>
              </w:rPr>
            </w:pPr>
          </w:p>
        </w:tc>
      </w:tr>
      <w:tr>
        <w:trPr>
          <w:trHeight w:val="198"/>
        </w:trPr>
        <w:tc>
          <w:tcPr>
            <w:tcW w:w="280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noncontrolling</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0" w:type="dxa"/>
            <w:vAlign w:val="bottom"/>
            <w:shd w:val="clear" w:color="auto" w:fill="CCEEFF"/>
          </w:tcPr>
          <w:p>
            <w:pPr>
              <w:spacing w:after="0"/>
              <w:rPr>
                <w:sz w:val="20"/>
                <w:szCs w:val="20"/>
                <w:color w:val="auto"/>
              </w:rPr>
            </w:pPr>
          </w:p>
        </w:tc>
        <w:tc>
          <w:tcPr>
            <w:tcW w:w="26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interests</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(150,076)</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80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auto"/>
              </w:rPr>
              <w:t>Net loss attributable to GoHealth,</w:t>
            </w: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26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Inc.</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(80,223)</w:t>
            </w:r>
          </w:p>
        </w:tc>
        <w:tc>
          <w:tcPr>
            <w:tcW w:w="10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Net loss per share of Class A</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stock—basic and diluted</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80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of Class A</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6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common stock outstanding - basic</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26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and diluted</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84,182,961</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Financial Measures: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EBITDA</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(132,441)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(5,659)</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(52,742)</w:t>
            </w: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 (58,401)</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101,141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right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682</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39,973</w:t>
            </w:r>
          </w:p>
        </w:tc>
        <w:tc>
          <w:tcPr>
            <w:tcW w:w="112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40,655</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Adjusted EBITDA margin</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17.3%</w:t>
            </w:r>
          </w:p>
        </w:tc>
        <w:tc>
          <w:tcPr>
            <w:tcW w:w="11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16.2%</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580" w:type="dxa"/>
            <w:vAlign w:val="bottom"/>
            <w:gridSpan w:val="2"/>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NM = Not meaningful</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1" w:name="page12"/>
    <w:bookmarkEnd w:id="11"/>
    <w:p>
      <w:pPr>
        <w:ind w:left="4"/>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following table sets forth the reconciliations of GAAP net loss to EBITDA and Adjusted EBITDA for the periods indicated:</w:t>
      </w:r>
    </w:p>
    <w:p>
      <w:pPr>
        <w:sectPr>
          <w:pgSz w:w="11900" w:h="16838" w:orient="portrait"/>
          <w:cols w:equalWidth="0" w:num="1">
            <w:col w:w="10884"/>
          </w:cols>
          <w:pgMar w:left="436" w:top="270" w:right="579" w:bottom="1440" w:gutter="0" w:footer="0" w:header="0"/>
        </w:sectPr>
      </w:pPr>
    </w:p>
    <w:p>
      <w:pPr>
        <w:spacing w:after="0" w:line="200" w:lineRule="exact"/>
        <w:rPr>
          <w:sz w:val="20"/>
          <w:szCs w:val="20"/>
          <w:color w:val="auto"/>
        </w:rPr>
      </w:pPr>
    </w:p>
    <w:p>
      <w:pPr>
        <w:spacing w:after="0" w:line="206" w:lineRule="exact"/>
        <w:rPr>
          <w:sz w:val="20"/>
          <w:szCs w:val="20"/>
          <w:color w:val="auto"/>
        </w:rPr>
      </w:pPr>
    </w:p>
    <w:tbl>
      <w:tblPr>
        <w:tblLayout w:type="fixed"/>
        <w:tblInd w:w="444" w:type="dxa"/>
        <w:tblCellMar>
          <w:top w:w="0" w:type="dxa"/>
          <w:left w:w="0" w:type="dxa"/>
          <w:bottom w:w="0" w:type="dxa"/>
          <w:right w:w="0" w:type="dxa"/>
        </w:tblCellMar>
      </w:tblPr>
      <w:tr>
        <w:trPr>
          <w:trHeight w:val="173"/>
        </w:trPr>
        <w:tc>
          <w:tcPr>
            <w:tcW w:w="84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38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7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Period from</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80" w:type="dxa"/>
            <w:vAlign w:val="bottom"/>
            <w:gridSpan w:val="5"/>
            <w:vMerge w:val="continue"/>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 13, 2019</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4"/>
          </w:tcPr>
          <w:p>
            <w:pPr>
              <w:jc w:val="right"/>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73"/>
        </w:trPr>
        <w:tc>
          <w:tcPr>
            <w:tcW w:w="43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20" w:type="dxa"/>
            <w:vAlign w:val="bottom"/>
          </w:tcPr>
          <w:p>
            <w:pPr>
              <w:spacing w:after="0"/>
              <w:rPr>
                <w:sz w:val="15"/>
                <w:szCs w:val="15"/>
                <w:color w:val="auto"/>
              </w:rPr>
            </w:pPr>
          </w:p>
        </w:tc>
        <w:tc>
          <w:tcPr>
            <w:tcW w:w="13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Sep 30, 2020</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 30, 2019</w:t>
            </w:r>
          </w:p>
        </w:tc>
        <w:tc>
          <w:tcPr>
            <w:tcW w:w="0" w:type="dxa"/>
            <w:vAlign w:val="bottom"/>
          </w:tcPr>
          <w:p>
            <w:pPr>
              <w:spacing w:after="0"/>
              <w:rPr>
                <w:sz w:val="1"/>
                <w:szCs w:val="1"/>
                <w:color w:val="auto"/>
              </w:rPr>
            </w:pPr>
          </w:p>
        </w:tc>
      </w:tr>
      <w:tr>
        <w:trPr>
          <w:trHeight w:val="148"/>
        </w:trPr>
        <w:tc>
          <w:tcPr>
            <w:tcW w:w="436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73"/>
              <w:spacing w:after="0" w:line="12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580" w:type="dxa"/>
            <w:vAlign w:val="bottom"/>
            <w:gridSpan w:val="3"/>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72"/>
              <w:spacing w:after="0" w:line="12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40" w:type="dxa"/>
            <w:vAlign w:val="bottom"/>
            <w:tcBorders>
              <w:top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w w:val="86"/>
              </w:rPr>
              <w:t>Net revenues</w:t>
            </w:r>
          </w:p>
        </w:tc>
        <w:tc>
          <w:tcPr>
            <w:tcW w:w="3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431,427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19,790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6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36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Borders>
              <w:top w:val="single" w:sz="8" w:color="auto"/>
            </w:tcBorders>
          </w:tcPr>
          <w:p>
            <w:pPr>
              <w:spacing w:after="0" w:line="192"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w w:val="93"/>
              </w:rPr>
              <w:t>(230,299)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Borders>
              <w:top w:val="single" w:sz="8" w:color="auto"/>
            </w:tcBorders>
          </w:tcPr>
          <w:p>
            <w:pPr>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(11,706)</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24,378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1,289</w:t>
            </w:r>
          </w:p>
        </w:tc>
        <w:tc>
          <w:tcPr>
            <w:tcW w:w="0" w:type="dxa"/>
            <w:vAlign w:val="bottom"/>
          </w:tcPr>
          <w:p>
            <w:pPr>
              <w:spacing w:after="0"/>
              <w:rPr>
                <w:sz w:val="1"/>
                <w:szCs w:val="1"/>
                <w:color w:val="auto"/>
              </w:rPr>
            </w:pPr>
          </w:p>
        </w:tc>
      </w:tr>
      <w:tr>
        <w:trPr>
          <w:trHeight w:val="216"/>
        </w:trPr>
        <w:tc>
          <w:tcPr>
            <w:tcW w:w="4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4"/>
        </w:trPr>
        <w:tc>
          <w:tcPr>
            <w:tcW w:w="4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73,442</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4,795</w:t>
            </w:r>
          </w:p>
        </w:tc>
        <w:tc>
          <w:tcPr>
            <w:tcW w:w="0" w:type="dxa"/>
            <w:vAlign w:val="bottom"/>
          </w:tcPr>
          <w:p>
            <w:pPr>
              <w:spacing w:after="0"/>
              <w:rPr>
                <w:sz w:val="1"/>
                <w:szCs w:val="1"/>
                <w:color w:val="auto"/>
              </w:rPr>
            </w:pPr>
          </w:p>
        </w:tc>
      </w:tr>
      <w:tr>
        <w:trPr>
          <w:trHeight w:val="205"/>
        </w:trPr>
        <w:tc>
          <w:tcPr>
            <w:tcW w:w="43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EBITDA</w:t>
            </w:r>
          </w:p>
        </w:tc>
        <w:tc>
          <w:tcPr>
            <w:tcW w:w="5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gridSpan w:val="3"/>
          </w:tcPr>
          <w:p>
            <w:pPr>
              <w:jc w:val="right"/>
              <w:ind w:right="40"/>
              <w:spacing w:after="0" w:line="205" w:lineRule="exact"/>
              <w:rPr>
                <w:sz w:val="20"/>
                <w:szCs w:val="20"/>
                <w:color w:val="auto"/>
              </w:rPr>
            </w:pPr>
            <w:r>
              <w:rPr>
                <w:rFonts w:ascii="Times New Roman" w:cs="Times New Roman" w:eastAsia="Times New Roman" w:hAnsi="Times New Roman"/>
                <w:sz w:val="18"/>
                <w:szCs w:val="18"/>
                <w:color w:val="auto"/>
                <w:w w:val="93"/>
              </w:rPr>
              <w:t>(132,441)</w:t>
            </w:r>
          </w:p>
        </w:tc>
        <w:tc>
          <w:tcPr>
            <w:tcW w:w="5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(5,659)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 (1)</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3,846</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Accelerated vesting of certain equity awards (2)</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209,300</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liability (3)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19,700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Centerbridge Acquisition costs (4)</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4"/>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6,245</w:t>
            </w:r>
          </w:p>
        </w:tc>
        <w:tc>
          <w:tcPr>
            <w:tcW w:w="0" w:type="dxa"/>
            <w:vAlign w:val="bottom"/>
          </w:tcPr>
          <w:p>
            <w:pPr>
              <w:spacing w:after="0"/>
              <w:rPr>
                <w:sz w:val="1"/>
                <w:szCs w:val="1"/>
                <w:color w:val="auto"/>
              </w:rPr>
            </w:pPr>
          </w:p>
        </w:tc>
      </w:tr>
      <w:tr>
        <w:trPr>
          <w:trHeight w:val="216"/>
        </w:trPr>
        <w:tc>
          <w:tcPr>
            <w:tcW w:w="4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IPO transaction costs (5)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659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3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Severance costs (6)</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101,141</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Adjusted EBITDA margin</w:t>
            </w: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36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-2848610</wp:posOffset>
            </wp:positionV>
            <wp:extent cx="6711950" cy="30175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11950" cy="30175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320" w:type="dxa"/>
            <w:vAlign w:val="bottom"/>
            <w:gridSpan w:val="2"/>
            <w:vMerge w:val="restart"/>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0" w:type="dxa"/>
            <w:vAlign w:val="bottom"/>
          </w:tcPr>
          <w:p>
            <w:pPr>
              <w:spacing w:after="0"/>
              <w:rPr>
                <w:sz w:val="1"/>
                <w:szCs w:val="1"/>
                <w:color w:val="auto"/>
              </w:rPr>
            </w:pPr>
          </w:p>
        </w:tc>
      </w:tr>
      <w:tr>
        <w:trPr>
          <w:trHeight w:val="173"/>
        </w:trPr>
        <w:tc>
          <w:tcPr>
            <w:tcW w:w="760" w:type="dxa"/>
            <w:vAlign w:val="bottom"/>
            <w:tcBorders>
              <w:bottom w:val="single" w:sz="8" w:color="auto"/>
            </w:tcBorders>
            <w:gridSpan w:val="2"/>
            <w:vMerge w:val="continue"/>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Period from</w:t>
            </w:r>
          </w:p>
        </w:tc>
        <w:tc>
          <w:tcPr>
            <w:tcW w:w="32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148"/>
        </w:trPr>
        <w:tc>
          <w:tcPr>
            <w:tcW w:w="1080" w:type="dxa"/>
            <w:vAlign w:val="bottom"/>
            <w:gridSpan w:val="4"/>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Jan 1, 2019</w:t>
            </w:r>
          </w:p>
        </w:tc>
        <w:tc>
          <w:tcPr>
            <w:tcW w:w="2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10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 12, 2019</w:t>
            </w:r>
          </w:p>
        </w:tc>
        <w:tc>
          <w:tcPr>
            <w:tcW w:w="240" w:type="dxa"/>
            <w:vAlign w:val="bottom"/>
          </w:tcPr>
          <w:p>
            <w:pPr>
              <w:spacing w:after="0"/>
              <w:rPr>
                <w:sz w:val="15"/>
                <w:szCs w:val="15"/>
                <w:color w:val="auto"/>
              </w:rPr>
            </w:pPr>
          </w:p>
        </w:tc>
        <w:tc>
          <w:tcPr>
            <w:tcW w:w="8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Sep 30, 2019</w:t>
            </w:r>
          </w:p>
        </w:tc>
        <w:tc>
          <w:tcPr>
            <w:tcW w:w="0" w:type="dxa"/>
            <w:vAlign w:val="bottom"/>
          </w:tcPr>
          <w:p>
            <w:pPr>
              <w:spacing w:after="0"/>
              <w:rPr>
                <w:sz w:val="1"/>
                <w:szCs w:val="1"/>
                <w:color w:val="auto"/>
              </w:rPr>
            </w:pPr>
          </w:p>
        </w:tc>
      </w:tr>
      <w:tr>
        <w:trPr>
          <w:trHeight w:val="142"/>
        </w:trPr>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32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center"/>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231,010</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(57,063)</w:t>
            </w:r>
          </w:p>
        </w:tc>
        <w:tc>
          <w:tcPr>
            <w:tcW w:w="3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720" w:hanging="1229"/>
        <w:spacing w:after="0"/>
        <w:tabs>
          <w:tab w:leader="none" w:pos="1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1,429</w:t>
      </w:r>
    </w:p>
    <w:p>
      <w:pPr>
        <w:spacing w:after="0" w:line="7" w:lineRule="exact"/>
        <w:rPr>
          <w:rFonts w:ascii="Times New Roman" w:cs="Times New Roman" w:eastAsia="Times New Roman" w:hAnsi="Times New Roman"/>
          <w:sz w:val="18"/>
          <w:szCs w:val="18"/>
          <w:color w:val="auto"/>
        </w:rPr>
      </w:pPr>
    </w:p>
    <w:p>
      <w:pPr>
        <w:ind w:left="1800" w:hanging="1279"/>
        <w:spacing w:after="0"/>
        <w:tabs>
          <w:tab w:leader="none" w:pos="18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w:t>
      </w:r>
    </w:p>
    <w:p>
      <w:pPr>
        <w:spacing w:after="0" w:line="9" w:lineRule="exact"/>
        <w:rPr>
          <w:rFonts w:ascii="Times New Roman" w:cs="Times New Roman" w:eastAsia="Times New Roman" w:hAnsi="Times New Roman"/>
          <w:sz w:val="18"/>
          <w:szCs w:val="18"/>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4,247</w:t>
      </w:r>
      <w:r>
        <w:rPr>
          <w:rFonts w:ascii="Times New Roman" w:cs="Times New Roman" w:eastAsia="Times New Roman" w:hAnsi="Times New Roman"/>
          <w:sz w:val="17"/>
          <w:szCs w:val="17"/>
          <w:color w:val="auto"/>
        </w:rPr>
        <w:t>9,042</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5"/>
        </w:trPr>
        <w:tc>
          <w:tcPr>
            <w:tcW w:w="1120" w:type="dxa"/>
            <w:vAlign w:val="bottom"/>
            <w:gridSpan w:val="3"/>
          </w:tcPr>
          <w:p>
            <w:pPr>
              <w:jc w:val="right"/>
              <w:ind w:right="300"/>
              <w:spacing w:after="0" w:line="185" w:lineRule="exact"/>
              <w:rPr>
                <w:sz w:val="20"/>
                <w:szCs w:val="20"/>
                <w:color w:val="auto"/>
              </w:rPr>
            </w:pPr>
            <w:r>
              <w:rPr>
                <w:rFonts w:ascii="Times New Roman" w:cs="Times New Roman" w:eastAsia="Times New Roman" w:hAnsi="Times New Roman"/>
                <w:sz w:val="18"/>
                <w:szCs w:val="18"/>
                <w:color w:val="auto"/>
              </w:rPr>
              <w:t>(52,742)</w:t>
            </w:r>
          </w:p>
        </w:tc>
        <w:tc>
          <w:tcPr>
            <w:tcW w:w="1160" w:type="dxa"/>
            <w:vAlign w:val="bottom"/>
            <w:gridSpan w:val="3"/>
          </w:tcPr>
          <w:p>
            <w:pPr>
              <w:jc w:val="right"/>
              <w:ind w:right="100"/>
              <w:spacing w:after="0" w:line="185" w:lineRule="exact"/>
              <w:rPr>
                <w:sz w:val="20"/>
                <w:szCs w:val="20"/>
                <w:color w:val="auto"/>
              </w:rPr>
            </w:pPr>
            <w:r>
              <w:rPr>
                <w:rFonts w:ascii="Times New Roman" w:cs="Times New Roman" w:eastAsia="Times New Roman" w:hAnsi="Times New Roman"/>
                <w:sz w:val="18"/>
                <w:szCs w:val="18"/>
                <w:color w:val="auto"/>
              </w:rPr>
              <w:t>(58,401)</w:t>
            </w:r>
          </w:p>
        </w:tc>
      </w:tr>
      <w:tr>
        <w:trPr>
          <w:trHeight w:val="216"/>
        </w:trPr>
        <w:tc>
          <w:tcPr>
            <w:tcW w:w="11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87,060</w:t>
            </w:r>
          </w:p>
        </w:tc>
        <w:tc>
          <w:tcPr>
            <w:tcW w:w="340" w:type="dxa"/>
            <w:vAlign w:val="bottom"/>
          </w:tcPr>
          <w:p>
            <w:pPr>
              <w:spacing w:after="0"/>
              <w:rPr>
                <w:sz w:val="20"/>
                <w:szCs w:val="20"/>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87,060</w:t>
            </w:r>
          </w:p>
        </w:tc>
      </w:tr>
      <w:tr>
        <w:trPr>
          <w:trHeight w:val="414"/>
        </w:trPr>
        <w:tc>
          <w:tcPr>
            <w:tcW w:w="11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4,908</w:t>
            </w:r>
          </w:p>
        </w:tc>
        <w:tc>
          <w:tcPr>
            <w:tcW w:w="34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11,153</w:t>
            </w:r>
          </w:p>
        </w:tc>
      </w:tr>
      <w:tr>
        <w:trPr>
          <w:trHeight w:val="216"/>
        </w:trPr>
        <w:tc>
          <w:tcPr>
            <w:tcW w:w="11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747</w:t>
            </w:r>
          </w:p>
        </w:tc>
        <w:tc>
          <w:tcPr>
            <w:tcW w:w="340" w:type="dxa"/>
            <w:vAlign w:val="bottom"/>
          </w:tcPr>
          <w:p>
            <w:pPr>
              <w:spacing w:after="0"/>
              <w:rPr>
                <w:sz w:val="20"/>
                <w:szCs w:val="20"/>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843</w:t>
            </w:r>
          </w:p>
        </w:tc>
      </w:tr>
      <w:tr>
        <w:trPr>
          <w:trHeight w:val="223"/>
        </w:trPr>
        <w:tc>
          <w:tcPr>
            <w:tcW w:w="7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39,973</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40,655</w:t>
            </w:r>
          </w:p>
        </w:tc>
        <w:tc>
          <w:tcPr>
            <w:tcW w:w="160" w:type="dxa"/>
            <w:vAlign w:val="bottom"/>
          </w:tcPr>
          <w:p>
            <w:pPr>
              <w:spacing w:after="0"/>
              <w:rPr>
                <w:sz w:val="19"/>
                <w:szCs w:val="19"/>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5"/>
        </w:trPr>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17.3%</w:t>
            </w:r>
          </w:p>
        </w:tc>
        <w:tc>
          <w:tcPr>
            <w:tcW w:w="2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w:t>
            </w:r>
          </w:p>
        </w:tc>
      </w:tr>
    </w:tbl>
    <w:p>
      <w:pPr>
        <w:spacing w:after="0" w:line="200" w:lineRule="exact"/>
        <w:rPr>
          <w:sz w:val="20"/>
          <w:szCs w:val="20"/>
          <w:color w:val="auto"/>
        </w:rPr>
      </w:pPr>
    </w:p>
    <w:p>
      <w:pPr>
        <w:sectPr>
          <w:pgSz w:w="11900" w:h="16838" w:orient="portrait"/>
          <w:cols w:equalWidth="0" w:num="2">
            <w:col w:w="7624" w:space="620"/>
            <w:col w:w="2640"/>
          </w:cols>
          <w:pgMar w:left="436" w:top="270" w:right="579" w:bottom="1440" w:gutter="0" w:footer="0" w:header="0"/>
          <w:type w:val="continuous"/>
        </w:sectPr>
      </w:pPr>
    </w:p>
    <w:p>
      <w:pPr>
        <w:spacing w:after="0" w:line="87" w:lineRule="exact"/>
        <w:rPr>
          <w:sz w:val="20"/>
          <w:szCs w:val="20"/>
          <w:color w:val="auto"/>
        </w:rPr>
      </w:pPr>
    </w:p>
    <w:p>
      <w:pPr>
        <w:ind w:left="424" w:hanging="424"/>
        <w:spacing w:after="0"/>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share-based compensation expense relating to stock options, restricted stock units and time-vesting units.</w:t>
      </w:r>
    </w:p>
    <w:p>
      <w:pPr>
        <w:spacing w:after="0" w:line="27" w:lineRule="exact"/>
        <w:rPr>
          <w:rFonts w:ascii="Times New Roman" w:cs="Times New Roman" w:eastAsia="Times New Roman" w:hAnsi="Times New Roman"/>
          <w:sz w:val="18"/>
          <w:szCs w:val="18"/>
          <w:color w:val="auto"/>
        </w:rPr>
      </w:pPr>
    </w:p>
    <w:p>
      <w:pPr>
        <w:ind w:left="424" w:hanging="424"/>
        <w:spacing w:after="0" w:line="250"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non-cash share-based compensation expense relating to the accelerated vesting of performance-vesting units in connection with the IPO for the nine months ended September 30, 2020 and the accelerated vesting of profit interests and incentive share units in connection with the Centerbridge Acquisition for the period from January 1, 2019 through September 12, 2019.</w:t>
      </w:r>
    </w:p>
    <w:p>
      <w:pPr>
        <w:spacing w:after="0" w:line="1" w:lineRule="exact"/>
        <w:rPr>
          <w:rFonts w:ascii="Times New Roman" w:cs="Times New Roman" w:eastAsia="Times New Roman" w:hAnsi="Times New Roman"/>
          <w:sz w:val="18"/>
          <w:szCs w:val="18"/>
          <w:color w:val="auto"/>
        </w:rPr>
      </w:pPr>
    </w:p>
    <w:p>
      <w:pPr>
        <w:ind w:left="424" w:right="440" w:hanging="424"/>
        <w:spacing w:after="0" w:line="250"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change in fair value of the contingent consideration liability due to the predecessor owners of the Company arising from the Centerbridge Acquisition.</w:t>
      </w:r>
    </w:p>
    <w:p>
      <w:pPr>
        <w:ind w:left="424" w:hanging="424"/>
        <w:spacing w:after="0"/>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legal, accounting, consulting, and other costs related to the Centerbridge Acquisition.</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legal, accounting, consulting, and other indirect costs associated with the Company’s IPO.</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associated with the termination of employment.</w:t>
      </w:r>
    </w:p>
    <w:p>
      <w:pPr>
        <w:sectPr>
          <w:pgSz w:w="11900" w:h="16838" w:orient="portrait"/>
          <w:cols w:equalWidth="0" w:num="1">
            <w:col w:w="10884"/>
          </w:cols>
          <w:pgMar w:left="436" w:top="270" w:right="579" w:bottom="1440" w:gutter="0" w:footer="0" w:header="0"/>
          <w:type w:val="continuous"/>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GoHealth,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9"/>
              </w:rPr>
              <w:t>Successor</w:t>
            </w:r>
          </w:p>
        </w:tc>
        <w:tc>
          <w:tcPr>
            <w:tcW w:w="0" w:type="dxa"/>
            <w:vAlign w:val="bottom"/>
          </w:tcPr>
          <w:p>
            <w:pPr>
              <w:spacing w:after="0"/>
              <w:rPr>
                <w:sz w:val="1"/>
                <w:szCs w:val="1"/>
                <w:color w:val="auto"/>
              </w:rPr>
            </w:pPr>
          </w:p>
        </w:tc>
      </w:tr>
      <w:tr>
        <w:trPr>
          <w:trHeight w:val="117"/>
        </w:trPr>
        <w:tc>
          <w:tcPr>
            <w:tcW w:w="8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00" w:type="dxa"/>
            <w:vAlign w:val="bottom"/>
          </w:tcPr>
          <w:p>
            <w:pPr>
              <w:spacing w:after="0"/>
              <w:rPr>
                <w:sz w:val="10"/>
                <w:szCs w:val="10"/>
                <w:color w:val="auto"/>
              </w:rPr>
            </w:pPr>
          </w:p>
        </w:tc>
        <w:tc>
          <w:tcPr>
            <w:tcW w:w="84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8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294,598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12,276</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$522 in 2020 and $904 in 2019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7,921</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24,461</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Commissions receivable – current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95,122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101,078</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5,954</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417,171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143,769</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Commissions receivable – non-current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405,697</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281,853</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equipment, and capitalized software, net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15,463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6,339</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712,240</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782,783</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386,553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386,553</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1,938,258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1,602,295</w:t>
            </w: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stockholders/members’ equity</w:t>
            </w: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9,181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13,582</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20,775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22,568</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Commissions payable – current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52,029</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56,003</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55,406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15,218</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debt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4,170</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3,765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2,694</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145,326</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Commissions payable – non-current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129,446</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97,489</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396,817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288,233</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Contingent consideration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242,700</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529,763</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629,086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Stockholders’/members’ equity: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Members’ interest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860,161</w:t>
            </w:r>
          </w:p>
        </w:tc>
        <w:tc>
          <w:tcPr>
            <w:tcW w:w="0" w:type="dxa"/>
            <w:vAlign w:val="bottom"/>
          </w:tcPr>
          <w:p>
            <w:pPr>
              <w:spacing w:after="0"/>
              <w:rPr>
                <w:sz w:val="1"/>
                <w:szCs w:val="1"/>
                <w:color w:val="auto"/>
              </w:rPr>
            </w:pPr>
          </w:p>
        </w:tc>
      </w:tr>
      <w:tr>
        <w:trPr>
          <w:trHeight w:val="198"/>
        </w:trPr>
        <w:tc>
          <w:tcPr>
            <w:tcW w:w="89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A common stock – $0.0001 par value; 1,100,000,000 shares authorized; 84,182,961 shares issued and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outstanding at September 30, 2020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9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Class B common stock – $0.0001 par value; 690,000,000 shares authorized; 230,722,681 shares issued and</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9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outstanding at September 30, 2020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9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Preferred stock – $0.0001 par value; 20,000,000 shares authorized; no shares issued and outstanding at September 30,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392,491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(54,758)</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 attributable to GoHealth, Inc./members’ equity</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337,679</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860,144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925,490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stockholders’/members’ equity</w:t>
            </w: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1,263,169</w:t>
            </w:r>
          </w:p>
        </w:tc>
        <w:tc>
          <w:tcPr>
            <w:tcW w:w="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860,144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stockholders’/members’ equity</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1,938,258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7"/>
              </w:rPr>
              <w:t>1,602,295</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13" w:name="page14"/>
    <w:bookmarkEnd w:id="13"/>
    <w:p>
      <w:pPr>
        <w:jc w:val="center"/>
        <w:ind w:left="15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GoHealth, Inc.</w:t>
      </w:r>
    </w:p>
    <w:p>
      <w:pPr>
        <w:spacing w:after="0" w:line="31"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left="1580"/>
        <w:spacing w:after="0"/>
        <w:rPr>
          <w:sz w:val="20"/>
          <w:szCs w:val="20"/>
          <w:color w:val="auto"/>
        </w:rPr>
      </w:pPr>
      <w:r>
        <w:rPr>
          <w:rFonts w:ascii="Times New Roman" w:cs="Times New Roman" w:eastAsia="Times New Roman" w:hAnsi="Times New Roman"/>
          <w:sz w:val="18"/>
          <w:szCs w:val="18"/>
          <w:b w:val="1"/>
          <w:bCs w:val="1"/>
          <w:color w:val="auto"/>
        </w:rPr>
        <w:t>(dollars in thousands,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7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7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4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200" w:type="dxa"/>
            <w:vAlign w:val="bottom"/>
          </w:tcPr>
          <w:p>
            <w:pPr>
              <w:spacing w:after="0"/>
              <w:rPr>
                <w:sz w:val="10"/>
                <w:szCs w:val="10"/>
                <w:color w:val="auto"/>
              </w:rPr>
            </w:pPr>
          </w:p>
        </w:tc>
        <w:tc>
          <w:tcPr>
            <w:tcW w:w="8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 from</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13,</w:t>
            </w:r>
          </w:p>
        </w:tc>
        <w:tc>
          <w:tcPr>
            <w:tcW w:w="0" w:type="dxa"/>
            <w:vAlign w:val="bottom"/>
          </w:tcPr>
          <w:p>
            <w:pPr>
              <w:spacing w:after="0"/>
              <w:rPr>
                <w:sz w:val="1"/>
                <w:szCs w:val="1"/>
                <w:color w:val="auto"/>
              </w:rPr>
            </w:pPr>
          </w:p>
        </w:tc>
      </w:tr>
      <w:tr>
        <w:trPr>
          <w:trHeight w:val="149"/>
        </w:trPr>
        <w:tc>
          <w:tcPr>
            <w:tcW w:w="6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00" w:type="dxa"/>
            <w:vAlign w:val="bottom"/>
          </w:tcPr>
          <w:p>
            <w:pPr>
              <w:spacing w:after="0"/>
              <w:rPr>
                <w:sz w:val="12"/>
                <w:szCs w:val="12"/>
                <w:color w:val="auto"/>
              </w:rPr>
            </w:pPr>
          </w:p>
        </w:tc>
        <w:tc>
          <w:tcPr>
            <w:tcW w:w="94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2019 through</w:t>
            </w:r>
          </w:p>
        </w:tc>
        <w:tc>
          <w:tcPr>
            <w:tcW w:w="0" w:type="dxa"/>
            <w:vAlign w:val="bottom"/>
          </w:tcPr>
          <w:p>
            <w:pPr>
              <w:spacing w:after="0"/>
              <w:rPr>
                <w:sz w:val="1"/>
                <w:szCs w:val="1"/>
                <w:color w:val="auto"/>
              </w:rPr>
            </w:pPr>
          </w:p>
        </w:tc>
      </w:tr>
      <w:tr>
        <w:trPr>
          <w:trHeight w:val="148"/>
        </w:trPr>
        <w:tc>
          <w:tcPr>
            <w:tcW w:w="6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7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(230,299)</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(11,706)</w:t>
            </w:r>
          </w:p>
        </w:tc>
        <w:tc>
          <w:tcPr>
            <w:tcW w:w="0" w:type="dxa"/>
            <w:vAlign w:val="bottom"/>
          </w:tcPr>
          <w:p>
            <w:pPr>
              <w:spacing w:after="0"/>
              <w:rPr>
                <w:sz w:val="1"/>
                <w:szCs w:val="1"/>
                <w:color w:val="auto"/>
              </w:rPr>
            </w:pPr>
          </w:p>
        </w:tc>
      </w:tr>
      <w:tr>
        <w:trPr>
          <w:trHeight w:val="216"/>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213,146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2,899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6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70,543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4,703</w:t>
            </w:r>
          </w:p>
        </w:tc>
        <w:tc>
          <w:tcPr>
            <w:tcW w:w="0" w:type="dxa"/>
            <w:vAlign w:val="bottom"/>
          </w:tcPr>
          <w:p>
            <w:pPr>
              <w:spacing w:after="0"/>
              <w:rPr>
                <w:sz w:val="1"/>
                <w:szCs w:val="1"/>
                <w:color w:val="auto"/>
              </w:rPr>
            </w:pPr>
          </w:p>
        </w:tc>
      </w:tr>
      <w:tr>
        <w:trPr>
          <w:trHeight w:val="216"/>
        </w:trPr>
        <w:tc>
          <w:tcPr>
            <w:tcW w:w="6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Amortization of debt discount and issuance costs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6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19,700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non-cash items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(1,100)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16"/>
        </w:trPr>
        <w:tc>
          <w:tcPr>
            <w:tcW w:w="67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17,552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6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Commissions receivable</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(117,888)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(15,405)</w:t>
            </w:r>
          </w:p>
        </w:tc>
        <w:tc>
          <w:tcPr>
            <w:tcW w:w="0" w:type="dxa"/>
            <w:vAlign w:val="bottom"/>
          </w:tcPr>
          <w:p>
            <w:pPr>
              <w:spacing w:after="0"/>
              <w:rPr>
                <w:sz w:val="1"/>
                <w:szCs w:val="1"/>
                <w:color w:val="auto"/>
              </w:rPr>
            </w:pPr>
          </w:p>
        </w:tc>
      </w:tr>
      <w:tr>
        <w:trPr>
          <w:trHeight w:val="216"/>
        </w:trPr>
        <w:tc>
          <w:tcPr>
            <w:tcW w:w="6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(13,576)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6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(4,402)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3,276</w:t>
            </w:r>
          </w:p>
        </w:tc>
        <w:tc>
          <w:tcPr>
            <w:tcW w:w="0" w:type="dxa"/>
            <w:vAlign w:val="bottom"/>
          </w:tcPr>
          <w:p>
            <w:pPr>
              <w:spacing w:after="0"/>
              <w:rPr>
                <w:sz w:val="1"/>
                <w:szCs w:val="1"/>
                <w:color w:val="auto"/>
              </w:rPr>
            </w:pPr>
          </w:p>
        </w:tc>
      </w:tr>
      <w:tr>
        <w:trPr>
          <w:trHeight w:val="216"/>
        </w:trPr>
        <w:tc>
          <w:tcPr>
            <w:tcW w:w="6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Accrued liabilities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(1,793)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(5,028)</w:t>
            </w:r>
          </w:p>
        </w:tc>
        <w:tc>
          <w:tcPr>
            <w:tcW w:w="0" w:type="dxa"/>
            <w:vAlign w:val="bottom"/>
          </w:tcPr>
          <w:p>
            <w:pPr>
              <w:spacing w:after="0"/>
              <w:rPr>
                <w:sz w:val="1"/>
                <w:szCs w:val="1"/>
                <w:color w:val="auto"/>
              </w:rPr>
            </w:pPr>
          </w:p>
        </w:tc>
      </w:tr>
      <w:tr>
        <w:trPr>
          <w:trHeight w:val="216"/>
        </w:trPr>
        <w:tc>
          <w:tcPr>
            <w:tcW w:w="6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Deferred revenue</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40,188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18,098</w:t>
            </w:r>
          </w:p>
        </w:tc>
        <w:tc>
          <w:tcPr>
            <w:tcW w:w="0" w:type="dxa"/>
            <w:vAlign w:val="bottom"/>
          </w:tcPr>
          <w:p>
            <w:pPr>
              <w:spacing w:after="0"/>
              <w:rPr>
                <w:sz w:val="1"/>
                <w:szCs w:val="1"/>
                <w:color w:val="auto"/>
              </w:rPr>
            </w:pPr>
          </w:p>
        </w:tc>
      </w:tr>
      <w:tr>
        <w:trPr>
          <w:trHeight w:val="216"/>
        </w:trPr>
        <w:tc>
          <w:tcPr>
            <w:tcW w:w="6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Commissions payable</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27,983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8,283</w:t>
            </w:r>
          </w:p>
        </w:tc>
        <w:tc>
          <w:tcPr>
            <w:tcW w:w="0" w:type="dxa"/>
            <w:vAlign w:val="bottom"/>
          </w:tcPr>
          <w:p>
            <w:pPr>
              <w:spacing w:after="0"/>
              <w:rPr>
                <w:sz w:val="1"/>
                <w:szCs w:val="1"/>
                <w:color w:val="auto"/>
              </w:rPr>
            </w:pPr>
          </w:p>
        </w:tc>
      </w:tr>
      <w:tr>
        <w:trPr>
          <w:trHeight w:val="234"/>
        </w:trPr>
        <w:tc>
          <w:tcPr>
            <w:tcW w:w="67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Other liabilities</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4,138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13,728</w:t>
            </w:r>
          </w:p>
        </w:tc>
        <w:tc>
          <w:tcPr>
            <w:tcW w:w="0" w:type="dxa"/>
            <w:vAlign w:val="bottom"/>
          </w:tcPr>
          <w:p>
            <w:pPr>
              <w:spacing w:after="0"/>
              <w:rPr>
                <w:sz w:val="1"/>
                <w:szCs w:val="1"/>
                <w:color w:val="auto"/>
              </w:rPr>
            </w:pPr>
          </w:p>
        </w:tc>
      </w:tr>
      <w:tr>
        <w:trPr>
          <w:trHeight w:val="221"/>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28,835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6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business, net of cash</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(807,591)</w:t>
            </w:r>
          </w:p>
        </w:tc>
        <w:tc>
          <w:tcPr>
            <w:tcW w:w="0" w:type="dxa"/>
            <w:vAlign w:val="bottom"/>
          </w:tcPr>
          <w:p>
            <w:pPr>
              <w:spacing w:after="0"/>
              <w:rPr>
                <w:sz w:val="1"/>
                <w:szCs w:val="1"/>
                <w:color w:val="auto"/>
              </w:rPr>
            </w:pPr>
          </w:p>
        </w:tc>
      </w:t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equipment and software</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(12,023)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21"/>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(12,023)</w:t>
            </w:r>
          </w:p>
        </w:tc>
        <w:tc>
          <w:tcPr>
            <w:tcW w:w="26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(808,404)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6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Class A common stock sold in initial public offering, net of</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offering costs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852,407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Payment of partial consideration of the Blocker Merger</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(96,165)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LLC Interests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(508,320)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Senior Preferred Earnout Units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(100,000)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preferred units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541,263</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Proceeds received upon issuance of common units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10,000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Borrowings under term loans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117,000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300,000</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under term loans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(2,835)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Borrowings under revolving credit facilities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Payments under revolving credit facilities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Debt issuance cost payments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(6,291)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(9,283)</w:t>
            </w:r>
          </w:p>
        </w:tc>
        <w:tc>
          <w:tcPr>
            <w:tcW w:w="0" w:type="dxa"/>
            <w:vAlign w:val="bottom"/>
          </w:tcPr>
          <w:p>
            <w:pPr>
              <w:spacing w:after="0"/>
              <w:rPr>
                <w:sz w:val="1"/>
                <w:szCs w:val="1"/>
                <w:color w:val="auto"/>
              </w:rPr>
            </w:pPr>
          </w:p>
        </w:tc>
      </w:t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under capital lease obligations</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(218)</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05"/>
        </w:trPr>
        <w:tc>
          <w:tcPr>
            <w:tcW w:w="67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gridSpan w:val="2"/>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265,578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831,710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282,322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39,447</w:t>
            </w:r>
          </w:p>
        </w:tc>
        <w:tc>
          <w:tcPr>
            <w:tcW w:w="0" w:type="dxa"/>
            <w:vAlign w:val="bottom"/>
          </w:tcPr>
          <w:p>
            <w:pPr>
              <w:spacing w:after="0"/>
              <w:rPr>
                <w:sz w:val="1"/>
                <w:szCs w:val="1"/>
                <w:color w:val="auto"/>
              </w:rPr>
            </w:pPr>
          </w:p>
        </w:tc>
      </w:t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12,276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223"/>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294,598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76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equipment and software included in accounts payable</w:t>
            </w:r>
          </w:p>
        </w:tc>
        <w:tc>
          <w:tcPr>
            <w:tcW w:w="5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1,104</w:t>
            </w:r>
          </w:p>
        </w:tc>
        <w:tc>
          <w:tcPr>
            <w:tcW w:w="24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16"/>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equipment and software under capital leases</w:t>
            </w:r>
          </w:p>
        </w:tc>
        <w:tc>
          <w:tcPr>
            <w:tcW w:w="5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senior preferred earnout units to settle contingent consideration liability</w:t>
            </w:r>
          </w:p>
        </w:tc>
        <w:tc>
          <w:tcPr>
            <w:tcW w:w="5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common A and B units to settle contingent consideration liability</w:t>
            </w:r>
          </w:p>
        </w:tc>
        <w:tc>
          <w:tcPr>
            <w:tcW w:w="5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100,000</w:t>
            </w:r>
          </w:p>
        </w:tc>
        <w:tc>
          <w:tcPr>
            <w:tcW w:w="24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Issuance of Class A and Class B common stock in connection with Reorganization</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Transactions</w:t>
            </w:r>
          </w:p>
        </w:tc>
        <w:tc>
          <w:tcPr>
            <w:tcW w:w="5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Settlement of contingent consideration liability</w:t>
            </w:r>
          </w:p>
        </w:tc>
        <w:tc>
          <w:tcPr>
            <w:tcW w:w="5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62,400</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-7671435</wp:posOffset>
            </wp:positionV>
            <wp:extent cx="6995160" cy="76720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76720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Predecessor</w:t>
      </w:r>
    </w:p>
    <w:p>
      <w:pPr>
        <w:spacing w:after="0" w:line="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Period from</w:t>
      </w:r>
    </w:p>
    <w:p>
      <w:pPr>
        <w:jc w:val="center"/>
        <w:ind w:right="60"/>
        <w:spacing w:after="0" w:line="221" w:lineRule="auto"/>
        <w:rPr>
          <w:sz w:val="20"/>
          <w:szCs w:val="20"/>
          <w:color w:val="auto"/>
        </w:rPr>
      </w:pPr>
      <w:r>
        <w:rPr>
          <w:rFonts w:ascii="Times New Roman" w:cs="Times New Roman" w:eastAsia="Times New Roman" w:hAnsi="Times New Roman"/>
          <w:sz w:val="14"/>
          <w:szCs w:val="14"/>
          <w:b w:val="1"/>
          <w:bCs w:val="1"/>
          <w:color w:val="auto"/>
        </w:rPr>
        <w:t>January 1,</w:t>
      </w:r>
    </w:p>
    <w:p>
      <w:pPr>
        <w:jc w:val="center"/>
        <w:ind w:right="60"/>
        <w:spacing w:after="0" w:line="233" w:lineRule="auto"/>
        <w:rPr>
          <w:sz w:val="20"/>
          <w:szCs w:val="20"/>
          <w:color w:val="auto"/>
        </w:rPr>
      </w:pPr>
      <w:r>
        <w:rPr>
          <w:rFonts w:ascii="Times New Roman" w:cs="Times New Roman" w:eastAsia="Times New Roman" w:hAnsi="Times New Roman"/>
          <w:sz w:val="14"/>
          <w:szCs w:val="14"/>
          <w:b w:val="1"/>
          <w:bCs w:val="1"/>
          <w:color w:val="auto"/>
        </w:rPr>
        <w:t>2019 through September 12, 2019</w:t>
      </w:r>
    </w:p>
    <w:p>
      <w:pPr>
        <w:spacing w:after="0" w:line="181" w:lineRule="exact"/>
        <w:rPr>
          <w:sz w:val="20"/>
          <w:szCs w:val="20"/>
          <w:color w:val="auto"/>
        </w:rPr>
      </w:pPr>
    </w:p>
    <w:p>
      <w:pPr>
        <w:ind w:left="320" w:hanging="314"/>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(57,063)</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87,060</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4,247</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150</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(108)</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(63,448)</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1,325</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(1,981)</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17,860</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1,926</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19,228</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85</w:t>
      </w:r>
    </w:p>
    <w:p>
      <w:pPr>
        <w:spacing w:after="0" w:line="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9,281</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(5,597)</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(5,597)</w:t>
      </w:r>
    </w:p>
    <w:p>
      <w:pPr>
        <w:spacing w:after="0" w:line="200" w:lineRule="exact"/>
        <w:rPr>
          <w:sz w:val="20"/>
          <w:szCs w:val="20"/>
          <w:color w:val="auto"/>
        </w:rPr>
      </w:pPr>
    </w:p>
    <w:p>
      <w:pPr>
        <w:spacing w:after="0" w:line="2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56,534</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(59,915)</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(68)</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(3,449)</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(32)</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203</w:t>
      </w:r>
    </w:p>
    <w:p>
      <w:pPr>
        <w:spacing w:after="0" w:line="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505</w:t>
      </w:r>
    </w:p>
    <w:p>
      <w:pPr>
        <w:spacing w:after="0" w:line="18" w:lineRule="exact"/>
        <w:rPr>
          <w:sz w:val="20"/>
          <w:szCs w:val="20"/>
          <w:color w:val="auto"/>
        </w:rPr>
      </w:pPr>
    </w:p>
    <w:p>
      <w:pPr>
        <w:ind w:left="620" w:hanging="614"/>
        <w:spacing w:after="0"/>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708</w:t>
      </w:r>
    </w:p>
    <w:p>
      <w:pPr>
        <w:spacing w:after="0" w:line="200" w:lineRule="exact"/>
        <w:rPr>
          <w:sz w:val="20"/>
          <w:szCs w:val="20"/>
          <w:color w:val="auto"/>
        </w:rPr>
      </w:pPr>
    </w:p>
    <w:p>
      <w:pPr>
        <w:spacing w:after="0" w:line="295" w:lineRule="exact"/>
        <w:rPr>
          <w:sz w:val="20"/>
          <w:szCs w:val="20"/>
          <w:color w:val="auto"/>
        </w:rPr>
      </w:pPr>
    </w:p>
    <w:p>
      <w:pPr>
        <w:ind w:left="620" w:hanging="614"/>
        <w:spacing w:after="0"/>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w:t>
      </w:r>
    </w:p>
    <w:p>
      <w:pPr>
        <w:spacing w:after="0" w:line="27" w:lineRule="exact"/>
        <w:rPr>
          <w:sz w:val="20"/>
          <w:szCs w:val="20"/>
          <w:color w:val="auto"/>
        </w:rPr>
      </w:pPr>
    </w:p>
    <w:p>
      <w:pPr>
        <w:ind w:left="620" w:hanging="614"/>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744</w:t>
      </w:r>
    </w:p>
    <w:p>
      <w:pPr>
        <w:spacing w:after="0" w:line="9" w:lineRule="exact"/>
        <w:rPr>
          <w:rFonts w:ascii="Times New Roman" w:cs="Times New Roman" w:eastAsia="Times New Roman" w:hAnsi="Times New Roman"/>
          <w:sz w:val="18"/>
          <w:szCs w:val="18"/>
          <w:color w:val="auto"/>
        </w:rPr>
      </w:pPr>
    </w:p>
    <w:p>
      <w:pPr>
        <w:ind w:left="620" w:hanging="614"/>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620" w:hanging="614"/>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620" w:hanging="614"/>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620" w:hanging="614"/>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ectPr>
          <w:pgSz w:w="11900" w:h="16838" w:orient="portrait"/>
          <w:cols w:equalWidth="0" w:num="2">
            <w:col w:w="9420" w:space="600"/>
            <w:col w:w="940"/>
          </w:cols>
          <w:pgMar w:left="440" w:top="266" w:right="4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Segment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following table sets forth operating segment results for the periods indicated: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3"/>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00" w:type="dxa"/>
            <w:vAlign w:val="bottom"/>
          </w:tcPr>
          <w:p>
            <w:pPr>
              <w:spacing w:after="0"/>
              <w:rPr>
                <w:sz w:val="2"/>
                <w:szCs w:val="2"/>
                <w:color w:val="auto"/>
              </w:rPr>
            </w:pPr>
          </w:p>
        </w:tc>
        <w:tc>
          <w:tcPr>
            <w:tcW w:w="176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Non-GAAP Combined</w:t>
            </w: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Period from</w:t>
            </w:r>
          </w:p>
        </w:tc>
        <w:tc>
          <w:tcPr>
            <w:tcW w:w="12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 from</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920" w:type="dxa"/>
            <w:vAlign w:val="bottom"/>
            <w:gridSpan w:val="4"/>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Borders>
              <w:right w:val="single" w:sz="8" w:color="auto"/>
            </w:tcBorders>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 13, 2019</w:t>
            </w:r>
          </w:p>
        </w:tc>
        <w:tc>
          <w:tcPr>
            <w:tcW w:w="120" w:type="dxa"/>
            <w:vAlign w:val="bottom"/>
          </w:tcPr>
          <w:p>
            <w:pPr>
              <w:spacing w:after="0"/>
              <w:rPr>
                <w:sz w:val="12"/>
                <w:szCs w:val="12"/>
                <w:color w:val="auto"/>
              </w:rPr>
            </w:pPr>
          </w:p>
        </w:tc>
        <w:tc>
          <w:tcPr>
            <w:tcW w:w="920" w:type="dxa"/>
            <w:vAlign w:val="bottom"/>
            <w:gridSpan w:val="3"/>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Jul 1, 2019</w:t>
            </w:r>
          </w:p>
        </w:tc>
        <w:tc>
          <w:tcPr>
            <w:tcW w:w="100" w:type="dxa"/>
            <w:vAlign w:val="bottom"/>
          </w:tcPr>
          <w:p>
            <w:pPr>
              <w:spacing w:after="0"/>
              <w:rPr>
                <w:sz w:val="12"/>
                <w:szCs w:val="12"/>
                <w:color w:val="auto"/>
              </w:rPr>
            </w:pPr>
          </w:p>
        </w:tc>
        <w:tc>
          <w:tcPr>
            <w:tcW w:w="176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9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181"/>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81"/>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00" w:type="dxa"/>
            <w:vAlign w:val="bottom"/>
          </w:tcPr>
          <w:p>
            <w:pPr>
              <w:spacing w:after="0"/>
              <w:rPr>
                <w:sz w:val="12"/>
                <w:szCs w:val="12"/>
                <w:color w:val="auto"/>
              </w:rPr>
            </w:pPr>
          </w:p>
        </w:tc>
        <w:tc>
          <w:tcPr>
            <w:tcW w:w="176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 30, 2020</w:t>
            </w:r>
          </w:p>
        </w:tc>
        <w:tc>
          <w:tcPr>
            <w:tcW w:w="340" w:type="dxa"/>
            <w:vAlign w:val="bottom"/>
          </w:tcPr>
          <w:p>
            <w:pPr>
              <w:spacing w:after="0"/>
              <w:rPr>
                <w:sz w:val="15"/>
                <w:szCs w:val="15"/>
                <w:color w:val="auto"/>
              </w:rPr>
            </w:pPr>
          </w:p>
        </w:tc>
        <w:tc>
          <w:tcPr>
            <w:tcW w:w="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Sep 30, 2019</w:t>
            </w:r>
          </w:p>
        </w:tc>
        <w:tc>
          <w:tcPr>
            <w:tcW w:w="12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 12, 2019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 30, 2019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1340" w:type="dxa"/>
            <w:vAlign w:val="bottom"/>
            <w:vMerge w:val="restart"/>
          </w:tcPr>
          <w:p>
            <w:pPr>
              <w:spacing w:after="0"/>
              <w:rPr>
                <w:sz w:val="10"/>
                <w:szCs w:val="10"/>
                <w:color w:val="auto"/>
              </w:rPr>
            </w:pPr>
          </w:p>
        </w:tc>
        <w:tc>
          <w:tcPr>
            <w:tcW w:w="980" w:type="dxa"/>
            <w:vAlign w:val="bottom"/>
            <w:gridSpan w:val="2"/>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6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Borders>
              <w:right w:val="single" w:sz="8" w:color="auto"/>
            </w:tcBorders>
            <w:gridSpan w:val="2"/>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00" w:type="dxa"/>
            <w:vAlign w:val="bottom"/>
          </w:tcPr>
          <w:p>
            <w:pPr>
              <w:spacing w:after="0"/>
              <w:rPr>
                <w:sz w:val="10"/>
                <w:szCs w:val="10"/>
                <w:color w:val="auto"/>
              </w:rPr>
            </w:pPr>
          </w:p>
        </w:tc>
        <w:tc>
          <w:tcPr>
            <w:tcW w:w="94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58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0"/>
        </w:trPr>
        <w:tc>
          <w:tcPr>
            <w:tcW w:w="2000" w:type="dxa"/>
            <w:vAlign w:val="bottom"/>
            <w:tcBorders>
              <w:bottom w:val="single" w:sz="8" w:color="auto"/>
            </w:tcBorders>
            <w:gridSpan w:val="3"/>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940" w:type="dxa"/>
            <w:vAlign w:val="bottom"/>
            <w:gridSpan w:val="2"/>
          </w:tcPr>
          <w:p>
            <w:pPr>
              <w:jc w:val="right"/>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120" w:type="dxa"/>
            <w:vAlign w:val="bottom"/>
          </w:tcPr>
          <w:p>
            <w:pPr>
              <w:spacing w:after="0"/>
              <w:rPr>
                <w:sz w:val="15"/>
                <w:szCs w:val="15"/>
                <w:color w:val="auto"/>
              </w:rPr>
            </w:pPr>
          </w:p>
        </w:tc>
        <w:tc>
          <w:tcPr>
            <w:tcW w:w="780" w:type="dxa"/>
            <w:vAlign w:val="bottom"/>
            <w:tcBorders>
              <w:right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20" w:type="dxa"/>
            <w:vAlign w:val="bottom"/>
            <w:gridSpan w:val="2"/>
          </w:tcPr>
          <w:p>
            <w:pPr>
              <w:jc w:val="right"/>
              <w:ind w:right="240"/>
              <w:spacing w:after="0" w:line="160" w:lineRule="exact"/>
              <w:rPr>
                <w:sz w:val="20"/>
                <w:szCs w:val="20"/>
                <w:color w:val="auto"/>
              </w:rPr>
            </w:pPr>
            <w:r>
              <w:rPr>
                <w:rFonts w:ascii="Times New Roman" w:cs="Times New Roman" w:eastAsia="Times New Roman" w:hAnsi="Times New Roman"/>
                <w:sz w:val="14"/>
                <w:szCs w:val="14"/>
                <w:b w:val="1"/>
                <w:bCs w:val="1"/>
                <w:color w:val="auto"/>
                <w:w w:val="98"/>
              </w:rPr>
              <w:t>Revenues</w:t>
            </w: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340" w:type="dxa"/>
            <w:vAlign w:val="bottom"/>
            <w:tcBorders>
              <w:top w:val="single" w:sz="8" w:color="CCEEFF"/>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Net revenues:</w:t>
            </w:r>
          </w:p>
        </w:tc>
        <w:tc>
          <w:tcPr>
            <w:tcW w:w="7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1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Medicare - Internal</w:t>
            </w:r>
          </w:p>
        </w:tc>
        <w:tc>
          <w:tcPr>
            <w:tcW w:w="9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w w:val="99"/>
              </w:rPr>
              <w:t>$ 133,723</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81.9%</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14,208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48,872</w:t>
            </w:r>
          </w:p>
        </w:tc>
        <w:tc>
          <w:tcPr>
            <w:tcW w:w="104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$ 63,080</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58.8%</w:t>
            </w:r>
          </w:p>
        </w:tc>
        <w:tc>
          <w:tcPr>
            <w:tcW w:w="108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  70,643</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112.0%</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31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Medicare - External</w:t>
            </w:r>
          </w:p>
        </w:tc>
        <w:tc>
          <w:tcPr>
            <w:tcW w:w="9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20,252</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3,865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16,577</w:t>
            </w:r>
          </w:p>
        </w:tc>
        <w:tc>
          <w:tcPr>
            <w:tcW w:w="104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20,442</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19.1%</w:t>
            </w:r>
          </w:p>
        </w:tc>
        <w:tc>
          <w:tcPr>
            <w:tcW w:w="108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(190)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1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IFP and Other - Internal</w:t>
            </w:r>
          </w:p>
        </w:tc>
        <w:tc>
          <w:tcPr>
            <w:tcW w:w="9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6,147</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11,129</w:t>
            </w:r>
          </w:p>
        </w:tc>
        <w:tc>
          <w:tcPr>
            <w:tcW w:w="104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11,893</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11.1%</w:t>
            </w:r>
          </w:p>
        </w:tc>
        <w:tc>
          <w:tcPr>
            <w:tcW w:w="108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(5,746)</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31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IFP and Other - External</w:t>
            </w:r>
          </w:p>
        </w:tc>
        <w:tc>
          <w:tcPr>
            <w:tcW w:w="9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3,238</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10,832</w:t>
            </w:r>
          </w:p>
        </w:tc>
        <w:tc>
          <w:tcPr>
            <w:tcW w:w="104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11,785</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w:t>
            </w:r>
          </w:p>
        </w:tc>
        <w:tc>
          <w:tcPr>
            <w:tcW w:w="108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(8,547)</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0"/>
        </w:trPr>
        <w:tc>
          <w:tcPr>
            <w:tcW w:w="33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7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40" w:type="dxa"/>
            <w:vAlign w:val="bottom"/>
            <w:gridSpan w:val="4"/>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163,360</w:t>
            </w:r>
          </w:p>
        </w:tc>
        <w:tc>
          <w:tcPr>
            <w:tcW w:w="240" w:type="dxa"/>
            <w:vAlign w:val="bottom"/>
            <w:vMerge w:val="continue"/>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19,790</w:t>
            </w:r>
          </w:p>
        </w:tc>
        <w:tc>
          <w:tcPr>
            <w:tcW w:w="120" w:type="dxa"/>
            <w:vAlign w:val="bottom"/>
            <w:tcBorders>
              <w:right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87,410</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107,200</w:t>
            </w:r>
          </w:p>
        </w:tc>
        <w:tc>
          <w:tcPr>
            <w:tcW w:w="260" w:type="dxa"/>
            <w:vAlign w:val="bottom"/>
            <w:vMerge w:val="continue"/>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56,160</w:t>
            </w:r>
          </w:p>
        </w:tc>
        <w:tc>
          <w:tcPr>
            <w:tcW w:w="240" w:type="dxa"/>
            <w:vAlign w:val="bottom"/>
            <w:vMerge w:val="continue"/>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16"/>
        </w:trPr>
        <w:tc>
          <w:tcPr>
            <w:tcW w:w="33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profit:</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1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Medicare - Internal</w:t>
            </w:r>
          </w:p>
        </w:tc>
        <w:tc>
          <w:tcPr>
            <w:tcW w:w="9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49,464</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20,218</w:t>
            </w:r>
          </w:p>
        </w:tc>
        <w:tc>
          <w:tcPr>
            <w:tcW w:w="104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22,718</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21.2%</w:t>
            </w:r>
          </w:p>
        </w:tc>
        <w:tc>
          <w:tcPr>
            <w:tcW w:w="108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26,746</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117.7%</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31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Medicare - External</w:t>
            </w:r>
          </w:p>
        </w:tc>
        <w:tc>
          <w:tcPr>
            <w:tcW w:w="9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720</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(4,178)</w:t>
            </w:r>
          </w:p>
        </w:tc>
        <w:tc>
          <w:tcPr>
            <w:tcW w:w="1040" w:type="dxa"/>
            <w:vAlign w:val="bottom"/>
            <w:gridSpan w:val="3"/>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(3,444)</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c>
          <w:tcPr>
            <w:tcW w:w="108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4,164</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-120.9%</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1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IFP and Other - Internal</w:t>
            </w:r>
          </w:p>
        </w:tc>
        <w:tc>
          <w:tcPr>
            <w:tcW w:w="9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(245)</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780" w:type="dxa"/>
            <w:vAlign w:val="bottom"/>
            <w:tcBorders>
              <w:right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1,583</w:t>
            </w:r>
          </w:p>
        </w:tc>
        <w:tc>
          <w:tcPr>
            <w:tcW w:w="1040" w:type="dxa"/>
            <w:vAlign w:val="bottom"/>
            <w:gridSpan w:val="3"/>
          </w:tcPr>
          <w:p>
            <w:pPr>
              <w:jc w:val="right"/>
              <w:ind w:right="121"/>
              <w:spacing w:after="0"/>
              <w:rPr>
                <w:sz w:val="20"/>
                <w:szCs w:val="20"/>
                <w:color w:val="auto"/>
              </w:rPr>
            </w:pPr>
            <w:r>
              <w:rPr>
                <w:rFonts w:ascii="Times New Roman" w:cs="Times New Roman" w:eastAsia="Times New Roman" w:hAnsi="Times New Roman"/>
                <w:sz w:val="18"/>
                <w:szCs w:val="18"/>
                <w:color w:val="auto"/>
              </w:rPr>
              <w:t>(863)</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-0.8%</w:t>
            </w:r>
          </w:p>
        </w:tc>
        <w:tc>
          <w:tcPr>
            <w:tcW w:w="108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618</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31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IFP and Other - External</w:t>
            </w:r>
          </w:p>
        </w:tc>
        <w:tc>
          <w:tcPr>
            <w:tcW w:w="9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147</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495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378</w:t>
            </w:r>
          </w:p>
        </w:tc>
        <w:tc>
          <w:tcPr>
            <w:tcW w:w="104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873</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0.8%</w:t>
            </w:r>
          </w:p>
        </w:tc>
        <w:tc>
          <w:tcPr>
            <w:tcW w:w="108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(726)</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-83.2%</w:t>
            </w:r>
          </w:p>
        </w:tc>
        <w:tc>
          <w:tcPr>
            <w:tcW w:w="0" w:type="dxa"/>
            <w:vAlign w:val="bottom"/>
          </w:tcPr>
          <w:p>
            <w:pPr>
              <w:spacing w:after="0"/>
              <w:rPr>
                <w:sz w:val="1"/>
                <w:szCs w:val="1"/>
                <w:color w:val="auto"/>
              </w:rPr>
            </w:pPr>
          </w:p>
        </w:tc>
      </w:tr>
      <w:tr>
        <w:trPr>
          <w:trHeight w:val="20"/>
        </w:trPr>
        <w:tc>
          <w:tcPr>
            <w:tcW w:w="33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Total segment profit</w:t>
            </w:r>
          </w:p>
        </w:tc>
        <w:tc>
          <w:tcPr>
            <w:tcW w:w="7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40" w:type="dxa"/>
            <w:vAlign w:val="bottom"/>
            <w:gridSpan w:val="4"/>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50,086</w:t>
            </w:r>
          </w:p>
        </w:tc>
        <w:tc>
          <w:tcPr>
            <w:tcW w:w="240" w:type="dxa"/>
            <w:vAlign w:val="bottom"/>
            <w:vMerge w:val="continue"/>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20" w:type="dxa"/>
            <w:vAlign w:val="bottom"/>
            <w:tcBorders>
              <w:right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18,001</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19,284</w:t>
            </w:r>
          </w:p>
        </w:tc>
        <w:tc>
          <w:tcPr>
            <w:tcW w:w="260" w:type="dxa"/>
            <w:vAlign w:val="bottom"/>
            <w:vMerge w:val="continue"/>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30,802</w:t>
            </w:r>
          </w:p>
        </w:tc>
        <w:tc>
          <w:tcPr>
            <w:tcW w:w="240" w:type="dxa"/>
            <w:vAlign w:val="bottom"/>
            <w:vMerge w:val="continue"/>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159.7%</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31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expense</w:t>
            </w:r>
          </w:p>
        </w:tc>
        <w:tc>
          <w:tcPr>
            <w:tcW w:w="9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224,368</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137.3%</w:t>
            </w:r>
          </w:p>
        </w:tc>
        <w:tc>
          <w:tcPr>
            <w:tcW w:w="12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93,353</w:t>
            </w:r>
          </w:p>
        </w:tc>
        <w:tc>
          <w:tcPr>
            <w:tcW w:w="104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94,152</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87.8%</w:t>
            </w:r>
          </w:p>
        </w:tc>
        <w:tc>
          <w:tcPr>
            <w:tcW w:w="1080" w:type="dxa"/>
            <w:vAlign w:val="bottom"/>
            <w:gridSpan w:val="3"/>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130,216</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138.3%</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1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23,514</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4,703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4,703</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108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18,811</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31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Transaction costs</w:t>
            </w:r>
          </w:p>
        </w:tc>
        <w:tc>
          <w:tcPr>
            <w:tcW w:w="9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6,245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1,968</w:t>
            </w:r>
          </w:p>
        </w:tc>
        <w:tc>
          <w:tcPr>
            <w:tcW w:w="104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8,213</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w:t>
            </w:r>
          </w:p>
        </w:tc>
        <w:tc>
          <w:tcPr>
            <w:tcW w:w="108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(8,213)</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1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9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8,636</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31</w:t>
            </w:r>
          </w:p>
        </w:tc>
        <w:tc>
          <w:tcPr>
            <w:tcW w:w="104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1,320</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1080" w:type="dxa"/>
            <w:vAlign w:val="bottom"/>
            <w:gridSpan w:val="3"/>
          </w:tcPr>
          <w:p>
            <w:pPr>
              <w:jc w:val="right"/>
              <w:ind w:right="161"/>
              <w:spacing w:after="0"/>
              <w:rPr>
                <w:sz w:val="20"/>
                <w:szCs w:val="20"/>
                <w:color w:val="auto"/>
              </w:rPr>
            </w:pPr>
            <w:r>
              <w:rPr>
                <w:rFonts w:ascii="Times New Roman" w:cs="Times New Roman" w:eastAsia="Times New Roman" w:hAnsi="Times New Roman"/>
                <w:sz w:val="18"/>
                <w:szCs w:val="18"/>
                <w:color w:val="auto"/>
              </w:rPr>
              <w:t>7,316</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554.2%</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31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w:t>
            </w:r>
          </w:p>
        </w:tc>
        <w:tc>
          <w:tcPr>
            <w:tcW w:w="9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67</w:t>
            </w:r>
          </w:p>
        </w:tc>
        <w:tc>
          <w:tcPr>
            <w:tcW w:w="104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57</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108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(55)</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-96.5%</w:t>
            </w:r>
          </w:p>
        </w:tc>
        <w:tc>
          <w:tcPr>
            <w:tcW w:w="0" w:type="dxa"/>
            <w:vAlign w:val="bottom"/>
          </w:tcPr>
          <w:p>
            <w:pPr>
              <w:spacing w:after="0"/>
              <w:rPr>
                <w:sz w:val="1"/>
                <w:szCs w:val="1"/>
                <w:color w:val="auto"/>
              </w:rPr>
            </w:pPr>
          </w:p>
        </w:tc>
      </w:tr>
      <w:tr>
        <w:trPr>
          <w:trHeight w:val="20"/>
        </w:trPr>
        <w:tc>
          <w:tcPr>
            <w:tcW w:w="33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740" w:type="dxa"/>
            <w:vAlign w:val="bottom"/>
            <w:shd w:val="clear" w:color="auto" w:fill="000000"/>
          </w:tcPr>
          <w:p>
            <w:pPr>
              <w:spacing w:after="0" w:line="20" w:lineRule="exact"/>
              <w:rPr>
                <w:sz w:val="1"/>
                <w:szCs w:val="1"/>
                <w:color w:val="auto"/>
              </w:rPr>
            </w:pPr>
          </w:p>
        </w:tc>
        <w:tc>
          <w:tcPr>
            <w:tcW w:w="24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40" w:type="dxa"/>
            <w:vAlign w:val="bottom"/>
            <w:gridSpan w:val="4"/>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(206,434</w:t>
            </w:r>
          </w:p>
        </w:tc>
        <w:tc>
          <w:tcPr>
            <w:tcW w:w="240" w:type="dxa"/>
            <w:vAlign w:val="bottom"/>
            <w:vMerge w:val="continue"/>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-126.4%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(11,743</w:t>
            </w:r>
          </w:p>
        </w:tc>
        <w:tc>
          <w:tcPr>
            <w:tcW w:w="120" w:type="dxa"/>
            <w:vAlign w:val="bottom"/>
            <w:tcBorders>
              <w:right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(77,418</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 (89,161</w:t>
            </w:r>
          </w:p>
        </w:tc>
        <w:tc>
          <w:tcPr>
            <w:tcW w:w="260" w:type="dxa"/>
            <w:vAlign w:val="bottom"/>
            <w:vMerge w:val="continue"/>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(117,273</w:t>
            </w:r>
          </w:p>
        </w:tc>
        <w:tc>
          <w:tcPr>
            <w:tcW w:w="240" w:type="dxa"/>
            <w:vAlign w:val="bottom"/>
            <w:vMerge w:val="continue"/>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131.5%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120" w:type="dxa"/>
            <w:vAlign w:val="bottom"/>
            <w:gridSpan w:val="2"/>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1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NM = Not meaningful</w:t>
            </w: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following table sets forth operating segment results for the periods indicated: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5"/>
        </w:trPr>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94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Non-GAAP Combined</w:t>
            </w: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9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Period from</w:t>
            </w:r>
          </w:p>
        </w:tc>
        <w:tc>
          <w:tcPr>
            <w:tcW w:w="14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 from</w:t>
            </w:r>
          </w:p>
        </w:tc>
        <w:tc>
          <w:tcPr>
            <w:tcW w:w="24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4"/>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 w:type="dxa"/>
            <w:vAlign w:val="bottom"/>
          </w:tcPr>
          <w:p>
            <w:pPr>
              <w:spacing w:after="0"/>
              <w:rPr>
                <w:sz w:val="12"/>
                <w:szCs w:val="12"/>
                <w:color w:val="auto"/>
              </w:rPr>
            </w:pPr>
          </w:p>
        </w:tc>
        <w:tc>
          <w:tcPr>
            <w:tcW w:w="900" w:type="dxa"/>
            <w:vAlign w:val="bottom"/>
            <w:tcBorders>
              <w:right w:val="single" w:sz="8" w:color="auto"/>
            </w:tcBorders>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 13, 2019</w:t>
            </w:r>
          </w:p>
        </w:tc>
        <w:tc>
          <w:tcPr>
            <w:tcW w:w="10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Jan 1, 2019</w:t>
            </w:r>
          </w:p>
        </w:tc>
        <w:tc>
          <w:tcPr>
            <w:tcW w:w="194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right w:val="single" w:sz="8" w:color="auto"/>
            </w:tcBorders>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10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19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Sep 30, 2020</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Sep 30, 2019</w:t>
            </w:r>
          </w:p>
        </w:tc>
        <w:tc>
          <w:tcPr>
            <w:tcW w:w="10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 12, 2019</w:t>
            </w:r>
          </w:p>
        </w:tc>
        <w:tc>
          <w:tcPr>
            <w:tcW w:w="19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 30, 2019</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96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60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140" w:type="dxa"/>
            <w:vAlign w:val="bottom"/>
            <w:tcBorders>
              <w:right w:val="single" w:sz="8" w:color="auto"/>
            </w:tcBorders>
            <w:vMerge w:val="restart"/>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240" w:type="dxa"/>
            <w:vAlign w:val="bottom"/>
            <w:vMerge w:val="restart"/>
          </w:tcPr>
          <w:p>
            <w:pPr>
              <w:spacing w:after="0"/>
              <w:rPr>
                <w:sz w:val="10"/>
                <w:szCs w:val="10"/>
                <w:color w:val="auto"/>
              </w:rPr>
            </w:pPr>
          </w:p>
        </w:tc>
        <w:tc>
          <w:tcPr>
            <w:tcW w:w="1100" w:type="dxa"/>
            <w:vAlign w:val="bottom"/>
            <w:tcBorders>
              <w:top w:val="single" w:sz="8" w:color="auto"/>
            </w:tcBorders>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Dollars</w:t>
            </w:r>
          </w:p>
        </w:tc>
        <w:tc>
          <w:tcPr>
            <w:tcW w:w="60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Net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0"/>
        </w:trPr>
        <w:tc>
          <w:tcPr>
            <w:tcW w:w="2000" w:type="dxa"/>
            <w:vAlign w:val="bottom"/>
            <w:tcBorders>
              <w:bottom w:val="single" w:sz="8" w:color="auto"/>
            </w:tcBorders>
            <w:gridSpan w:val="3"/>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840" w:type="dxa"/>
            <w:vAlign w:val="bottom"/>
            <w:gridSpan w:val="2"/>
          </w:tcPr>
          <w:p>
            <w:pPr>
              <w:jc w:val="right"/>
              <w:ind w:right="260"/>
              <w:spacing w:after="0" w:line="160" w:lineRule="exact"/>
              <w:rPr>
                <w:sz w:val="20"/>
                <w:szCs w:val="20"/>
                <w:color w:val="auto"/>
              </w:rPr>
            </w:pPr>
            <w:r>
              <w:rPr>
                <w:rFonts w:ascii="Times New Roman" w:cs="Times New Roman" w:eastAsia="Times New Roman" w:hAnsi="Times New Roman"/>
                <w:sz w:val="14"/>
                <w:szCs w:val="14"/>
                <w:b w:val="1"/>
                <w:bCs w:val="1"/>
                <w:color w:val="auto"/>
                <w:w w:val="98"/>
              </w:rPr>
              <w:t>Revenues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40" w:type="dxa"/>
            <w:vAlign w:val="bottom"/>
            <w:tcBorders>
              <w:right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840" w:type="dxa"/>
            <w:vAlign w:val="bottom"/>
            <w:gridSpan w:val="2"/>
          </w:tcPr>
          <w:p>
            <w:pPr>
              <w:jc w:val="right"/>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960" w:type="dxa"/>
            <w:vAlign w:val="bottom"/>
            <w:tcBorders>
              <w:top w:val="single" w:sz="8" w:color="CCEEFF"/>
            </w:tcBorders>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Net revenues:</w:t>
            </w:r>
          </w:p>
        </w:tc>
        <w:tc>
          <w:tcPr>
            <w:tcW w:w="1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right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7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Medicare - Internal</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$ 316,211</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73.3%</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14,208</w:t>
            </w: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$ 102,196</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$ 116,404</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46.4%</w:t>
            </w: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$199,807</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171.6%</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27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Medicare - External</w:t>
            </w: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77,305</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3,865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55,981</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59,846</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w:t>
            </w:r>
          </w:p>
        </w:tc>
        <w:tc>
          <w:tcPr>
            <w:tcW w:w="11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17,459</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7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IFP and Other - Internal</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21,798</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37,909</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38,673</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(16,875)</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27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IFP and Other - External</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16,113</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34,924</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35,877</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(19,764)</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0"/>
        </w:trPr>
        <w:tc>
          <w:tcPr>
            <w:tcW w:w="29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60" w:type="dxa"/>
            <w:vAlign w:val="bottom"/>
            <w:gridSpan w:val="4"/>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5"/>
              </w:rPr>
              <w:t>431,427</w:t>
            </w:r>
          </w:p>
        </w:tc>
        <w:tc>
          <w:tcPr>
            <w:tcW w:w="240" w:type="dxa"/>
            <w:vAlign w:val="bottom"/>
            <w:vMerge w:val="continue"/>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19,790</w:t>
            </w:r>
          </w:p>
        </w:tc>
        <w:tc>
          <w:tcPr>
            <w:tcW w:w="140" w:type="dxa"/>
            <w:vAlign w:val="bottom"/>
            <w:tcBorders>
              <w:right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231,010</w:t>
            </w:r>
          </w:p>
        </w:tc>
        <w:tc>
          <w:tcPr>
            <w:tcW w:w="24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250,800</w:t>
            </w:r>
          </w:p>
        </w:tc>
        <w:tc>
          <w:tcPr>
            <w:tcW w:w="240" w:type="dxa"/>
            <w:vAlign w:val="bottom"/>
            <w:vMerge w:val="continue"/>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vMerge w:val="continue"/>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180,627</w:t>
            </w:r>
          </w:p>
        </w:tc>
        <w:tc>
          <w:tcPr>
            <w:tcW w:w="240" w:type="dxa"/>
            <w:vAlign w:val="bottom"/>
            <w:vMerge w:val="continue"/>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16"/>
        </w:trPr>
        <w:tc>
          <w:tcPr>
            <w:tcW w:w="2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profit: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7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Medicare - Internal</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123,946</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40,024</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42,524</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81,422</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191.5%</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27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Medicare - External</w:t>
            </w: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892</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4,893</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5,627</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(4,735)</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7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IFP and Other - Internal</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181</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(2,446)</w:t>
            </w: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2,195</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(251)</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432</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-172.1%</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27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IFP and Other - External</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789</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1,748</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2,243</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w:t>
            </w: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(1,454)</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0"/>
        </w:trPr>
        <w:tc>
          <w:tcPr>
            <w:tcW w:w="29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Total segment profit</w:t>
            </w:r>
          </w:p>
        </w:tc>
        <w:tc>
          <w:tcPr>
            <w:tcW w:w="1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960" w:type="dxa"/>
            <w:vAlign w:val="bottom"/>
            <w:gridSpan w:val="4"/>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5"/>
              </w:rPr>
              <w:t>125,808</w:t>
            </w:r>
          </w:p>
        </w:tc>
        <w:tc>
          <w:tcPr>
            <w:tcW w:w="240" w:type="dxa"/>
            <w:vAlign w:val="bottom"/>
            <w:vMerge w:val="continue"/>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40" w:type="dxa"/>
            <w:vAlign w:val="bottom"/>
            <w:tcBorders>
              <w:right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48,860</w:t>
            </w:r>
          </w:p>
        </w:tc>
        <w:tc>
          <w:tcPr>
            <w:tcW w:w="24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50,143</w:t>
            </w:r>
          </w:p>
        </w:tc>
        <w:tc>
          <w:tcPr>
            <w:tcW w:w="240" w:type="dxa"/>
            <w:vAlign w:val="bottom"/>
            <w:vMerge w:val="continue"/>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vMerge w:val="continue"/>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75,665</w:t>
            </w:r>
          </w:p>
        </w:tc>
        <w:tc>
          <w:tcPr>
            <w:tcW w:w="240" w:type="dxa"/>
            <w:vAlign w:val="bottom"/>
            <w:vMerge w:val="continue"/>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150.9%</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27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expense</w:t>
            </w: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241,942</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103,469</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104,268</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w:t>
            </w:r>
          </w:p>
        </w:tc>
        <w:tc>
          <w:tcPr>
            <w:tcW w:w="11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137,674</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132.0%</w:t>
            </w: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2740" w:type="dxa"/>
            <w:vAlign w:val="bottom"/>
            <w:gridSpan w:val="3"/>
          </w:tcPr>
          <w:p>
            <w:pPr>
              <w:ind w:left="140"/>
              <w:spacing w:after="0" w:line="198" w:lineRule="exact"/>
              <w:rPr>
                <w:sz w:val="20"/>
                <w:szCs w:val="20"/>
                <w:color w:val="auto"/>
              </w:rPr>
            </w:pPr>
            <w:r>
              <w:rPr>
                <w:rFonts w:ascii="Times New Roman" w:cs="Times New Roman" w:eastAsia="Times New Roman" w:hAnsi="Times New Roman"/>
                <w:sz w:val="18"/>
                <w:szCs w:val="18"/>
                <w:color w:val="auto"/>
              </w:rPr>
              <w:t>Change in fair value of contingent</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27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consideration liability</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19,700</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right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19,700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27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70,543</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4,703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4,703</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11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65,840</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1,400.0%</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7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Transaction costs</w:t>
            </w: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6,245</w:t>
            </w: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2,267</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8,512</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(8,512)</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27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1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24,378</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140</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1,429</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11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22,949</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1,605.9%</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7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(494)</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114</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104</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(598)</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-575.0%</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(230,261)</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-53.4%</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(11,743)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(57,129)</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(68,873)</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(161,388)</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234.3%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7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7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NM = Not meaningful</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6" w:name="page17"/>
    <w:bookmarkEnd w:id="16"/>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following table presents the number of Submitted Policies by product for the Medicare segments for the three and nine months ended September 30, 2020 and 2019, split between those submissions that are commissionable (compensated through commissions received from carriers) and those that are non-commissionable (compensated via hourly fees and enrollment fees):</w:t>
      </w:r>
    </w:p>
    <w:p>
      <w:pPr>
        <w:sectPr>
          <w:pgSz w:w="11900" w:h="16838" w:orient="portrait"/>
          <w:cols w:equalWidth="0" w:num="1">
            <w:col w:w="11000"/>
          </w:cols>
          <w:pgMar w:left="440" w:top="270" w:right="459" w:bottom="1440" w:gutter="0" w:footer="0" w:header="0"/>
        </w:sectPr>
      </w:pP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60" w:type="dxa"/>
            <w:vAlign w:val="bottom"/>
          </w:tcPr>
          <w:p>
            <w:pPr>
              <w:spacing w:after="0"/>
              <w:rPr>
                <w:sz w:val="15"/>
                <w:szCs w:val="15"/>
                <w:color w:val="auto"/>
              </w:rPr>
            </w:pPr>
          </w:p>
        </w:tc>
        <w:tc>
          <w:tcPr>
            <w:tcW w:w="178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117"/>
        </w:trPr>
        <w:tc>
          <w:tcPr>
            <w:tcW w:w="2960" w:type="dxa"/>
            <w:vAlign w:val="bottom"/>
          </w:tcPr>
          <w:p>
            <w:pPr>
              <w:spacing w:after="0"/>
              <w:rPr>
                <w:sz w:val="10"/>
                <w:szCs w:val="10"/>
                <w:color w:val="auto"/>
              </w:rPr>
            </w:pPr>
          </w:p>
        </w:tc>
        <w:tc>
          <w:tcPr>
            <w:tcW w:w="1000" w:type="dxa"/>
            <w:vAlign w:val="bottom"/>
            <w:tcBorders>
              <w:top w:val="single" w:sz="8" w:color="auto"/>
            </w:tcBorders>
            <w:gridSpan w:val="3"/>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Three</w:t>
            </w:r>
          </w:p>
        </w:tc>
        <w:tc>
          <w:tcPr>
            <w:tcW w:w="7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 from</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100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7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Sep 13, 2019</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00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7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73"/>
        </w:trPr>
        <w:tc>
          <w:tcPr>
            <w:tcW w:w="2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Medicare Advantage</w:t>
            </w:r>
          </w:p>
        </w:tc>
        <w:tc>
          <w:tcPr>
            <w:tcW w:w="10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 30, 2020</w:t>
            </w:r>
          </w:p>
        </w:tc>
        <w:tc>
          <w:tcPr>
            <w:tcW w:w="7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 30, 2019</w:t>
            </w:r>
          </w:p>
        </w:tc>
        <w:tc>
          <w:tcPr>
            <w:tcW w:w="0" w:type="dxa"/>
            <w:vAlign w:val="bottom"/>
          </w:tcPr>
          <w:p>
            <w:pPr>
              <w:spacing w:after="0"/>
              <w:rPr>
                <w:sz w:val="1"/>
                <w:szCs w:val="1"/>
                <w:color w:val="auto"/>
              </w:rPr>
            </w:pPr>
          </w:p>
        </w:tc>
      </w:tr>
      <w:tr>
        <w:trPr>
          <w:trHeight w:val="191"/>
        </w:trPr>
        <w:tc>
          <w:tcPr>
            <w:tcW w:w="2960" w:type="dxa"/>
            <w:vAlign w:val="bottom"/>
            <w:vMerge w:val="continue"/>
          </w:tcPr>
          <w:p>
            <w:pPr>
              <w:spacing w:after="0"/>
              <w:rPr>
                <w:sz w:val="16"/>
                <w:szCs w:val="16"/>
                <w:color w:val="auto"/>
              </w:rPr>
            </w:pPr>
          </w:p>
        </w:tc>
        <w:tc>
          <w:tcPr>
            <w:tcW w:w="7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97,675</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13,608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Medicare Supplement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1,245</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763</w:t>
            </w:r>
          </w:p>
        </w:tc>
        <w:tc>
          <w:tcPr>
            <w:tcW w:w="0" w:type="dxa"/>
            <w:vAlign w:val="bottom"/>
          </w:tcPr>
          <w:p>
            <w:pPr>
              <w:spacing w:after="0"/>
              <w:rPr>
                <w:sz w:val="1"/>
                <w:szCs w:val="1"/>
                <w:color w:val="auto"/>
              </w:rPr>
            </w:pPr>
          </w:p>
        </w:tc>
      </w:tr>
      <w:tr>
        <w:trPr>
          <w:trHeight w:val="23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Prescription Drug Plans</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2,006</w:t>
            </w:r>
          </w:p>
        </w:tc>
        <w:tc>
          <w:tcPr>
            <w:tcW w:w="2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05"/>
        </w:trPr>
        <w:tc>
          <w:tcPr>
            <w:tcW w:w="2960" w:type="dxa"/>
            <w:vAlign w:val="bottom"/>
          </w:tcPr>
          <w:p>
            <w:pPr>
              <w:ind w:left="360"/>
              <w:spacing w:after="0" w:line="205" w:lineRule="exact"/>
              <w:rPr>
                <w:sz w:val="20"/>
                <w:szCs w:val="20"/>
                <w:color w:val="auto"/>
              </w:rPr>
            </w:pPr>
            <w:r>
              <w:rPr>
                <w:rFonts w:ascii="Times New Roman" w:cs="Times New Roman" w:eastAsia="Times New Roman" w:hAnsi="Times New Roman"/>
                <w:sz w:val="18"/>
                <w:szCs w:val="18"/>
                <w:color w:val="auto"/>
              </w:rPr>
              <w:t>Total Medicare -</w:t>
            </w:r>
          </w:p>
        </w:tc>
        <w:tc>
          <w:tcPr>
            <w:tcW w:w="7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Commissionable</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100,926</w:t>
            </w:r>
          </w:p>
        </w:tc>
        <w:tc>
          <w:tcPr>
            <w:tcW w:w="2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14,823</w:t>
            </w:r>
          </w:p>
        </w:tc>
        <w:tc>
          <w:tcPr>
            <w:tcW w:w="0" w:type="dxa"/>
            <w:vAlign w:val="bottom"/>
          </w:tcPr>
          <w:p>
            <w:pPr>
              <w:spacing w:after="0"/>
              <w:rPr>
                <w:sz w:val="1"/>
                <w:szCs w:val="1"/>
                <w:color w:val="auto"/>
              </w:rPr>
            </w:pPr>
          </w:p>
        </w:tc>
      </w:tr>
      <w:tr>
        <w:trPr>
          <w:trHeight w:val="205"/>
        </w:trPr>
        <w:tc>
          <w:tcPr>
            <w:tcW w:w="29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Medicare Advantage</w:t>
            </w:r>
          </w:p>
        </w:tc>
        <w:tc>
          <w:tcPr>
            <w:tcW w:w="800" w:type="dxa"/>
            <w:vAlign w:val="bottom"/>
            <w:tcBorders>
              <w:top w:val="single" w:sz="8" w:color="auto"/>
            </w:tcBorders>
            <w:gridSpan w:val="2"/>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6,472</w:t>
            </w:r>
          </w:p>
        </w:tc>
        <w:tc>
          <w:tcPr>
            <w:tcW w:w="200" w:type="dxa"/>
            <w:vAlign w:val="bottom"/>
          </w:tcPr>
          <w:p>
            <w:pPr>
              <w:spacing w:after="0"/>
              <w:rPr>
                <w:sz w:val="17"/>
                <w:szCs w:val="17"/>
                <w:color w:val="auto"/>
              </w:rPr>
            </w:pPr>
          </w:p>
        </w:tc>
        <w:tc>
          <w:tcPr>
            <w:tcW w:w="76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1,005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Medicare Supplement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1,716</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3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Prescription Drug Plans</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1,034</w:t>
            </w:r>
          </w:p>
        </w:tc>
        <w:tc>
          <w:tcPr>
            <w:tcW w:w="2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05"/>
        </w:trPr>
        <w:tc>
          <w:tcPr>
            <w:tcW w:w="2960" w:type="dxa"/>
            <w:vAlign w:val="bottom"/>
          </w:tcPr>
          <w:p>
            <w:pPr>
              <w:jc w:val="center"/>
              <w:ind w:right="610"/>
              <w:spacing w:after="0" w:line="205" w:lineRule="exact"/>
              <w:rPr>
                <w:sz w:val="20"/>
                <w:szCs w:val="20"/>
                <w:color w:val="auto"/>
              </w:rPr>
            </w:pPr>
            <w:r>
              <w:rPr>
                <w:rFonts w:ascii="Times New Roman" w:cs="Times New Roman" w:eastAsia="Times New Roman" w:hAnsi="Times New Roman"/>
                <w:sz w:val="18"/>
                <w:szCs w:val="18"/>
                <w:color w:val="auto"/>
                <w:w w:val="98"/>
              </w:rPr>
              <w:t>Total Medicare - Non</w:t>
            </w:r>
          </w:p>
        </w:tc>
        <w:tc>
          <w:tcPr>
            <w:tcW w:w="7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Commissionable</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9,222</w:t>
            </w:r>
          </w:p>
        </w:tc>
        <w:tc>
          <w:tcPr>
            <w:tcW w:w="2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1,394</w:t>
            </w:r>
          </w:p>
        </w:tc>
        <w:tc>
          <w:tcPr>
            <w:tcW w:w="0" w:type="dxa"/>
            <w:vAlign w:val="bottom"/>
          </w:tcPr>
          <w:p>
            <w:pPr>
              <w:spacing w:after="0"/>
              <w:rPr>
                <w:sz w:val="1"/>
                <w:szCs w:val="1"/>
                <w:color w:val="auto"/>
              </w:rPr>
            </w:pPr>
          </w:p>
        </w:tc>
      </w:tr>
      <w:tr>
        <w:trPr>
          <w:trHeight w:val="223"/>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Total Medicare Submitted Policies</w:t>
            </w:r>
          </w:p>
        </w:tc>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110,148</w:t>
            </w:r>
          </w:p>
        </w:tc>
        <w:tc>
          <w:tcPr>
            <w:tcW w:w="2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7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0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178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117"/>
        </w:trPr>
        <w:tc>
          <w:tcPr>
            <w:tcW w:w="7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 from</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Three</w:t>
            </w:r>
          </w:p>
        </w:tc>
        <w:tc>
          <w:tcPr>
            <w:tcW w:w="200" w:type="dxa"/>
            <w:vAlign w:val="bottom"/>
          </w:tcPr>
          <w:p>
            <w:pPr>
              <w:spacing w:after="0"/>
              <w:rPr>
                <w:sz w:val="10"/>
                <w:szCs w:val="10"/>
                <w:color w:val="auto"/>
              </w:rPr>
            </w:pPr>
          </w:p>
        </w:tc>
        <w:tc>
          <w:tcPr>
            <w:tcW w:w="1000" w:type="dxa"/>
            <w:vAlign w:val="bottom"/>
            <w:tcBorders>
              <w:top w:val="single" w:sz="8" w:color="auto"/>
            </w:tcBorders>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Nine</w:t>
            </w:r>
          </w:p>
        </w:tc>
        <w:tc>
          <w:tcPr>
            <w:tcW w:w="7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 from</w:t>
            </w:r>
          </w:p>
        </w:tc>
        <w:tc>
          <w:tcPr>
            <w:tcW w:w="20" w:type="dxa"/>
            <w:vAlign w:val="bottom"/>
          </w:tcPr>
          <w:p>
            <w:pPr>
              <w:spacing w:after="0"/>
              <w:rPr>
                <w:sz w:val="10"/>
                <w:szCs w:val="10"/>
                <w:color w:val="auto"/>
              </w:rPr>
            </w:pPr>
          </w:p>
        </w:tc>
      </w:tr>
      <w:tr>
        <w:trPr>
          <w:trHeight w:val="148"/>
        </w:trPr>
        <w:tc>
          <w:tcPr>
            <w:tcW w:w="7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July 1, 2019</w:t>
            </w:r>
          </w:p>
        </w:tc>
        <w:tc>
          <w:tcPr>
            <w:tcW w:w="2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1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7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Sep 13, 2019</w:t>
            </w:r>
          </w:p>
        </w:tc>
      </w:tr>
      <w:tr>
        <w:trPr>
          <w:trHeight w:val="149"/>
        </w:trPr>
        <w:tc>
          <w:tcPr>
            <w:tcW w:w="7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7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r>
      <w:tr>
        <w:trPr>
          <w:trHeight w:val="173"/>
        </w:trPr>
        <w:tc>
          <w:tcPr>
            <w:tcW w:w="7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 12, 2019</w:t>
            </w:r>
          </w:p>
        </w:tc>
        <w:tc>
          <w:tcPr>
            <w:tcW w:w="20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 30, 2019</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 30, 2020</w:t>
            </w:r>
          </w:p>
        </w:tc>
        <w:tc>
          <w:tcPr>
            <w:tcW w:w="7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 30, 2019</w:t>
            </w:r>
          </w:p>
        </w:tc>
      </w:tr>
      <w:tr>
        <w:trPr>
          <w:trHeight w:val="191"/>
        </w:trPr>
        <w:tc>
          <w:tcPr>
            <w:tcW w:w="7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51,078</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64,686</w:t>
            </w:r>
          </w:p>
        </w:tc>
        <w:tc>
          <w:tcPr>
            <w:tcW w:w="200" w:type="dxa"/>
            <w:vAlign w:val="bottom"/>
          </w:tcPr>
          <w:p>
            <w:pPr>
              <w:spacing w:after="0"/>
              <w:rPr>
                <w:sz w:val="16"/>
                <w:szCs w:val="16"/>
                <w:color w:val="auto"/>
              </w:rPr>
            </w:pPr>
          </w:p>
        </w:tc>
        <w:tc>
          <w:tcPr>
            <w:tcW w:w="7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314,088</w:t>
            </w:r>
          </w:p>
        </w:tc>
        <w:tc>
          <w:tcPr>
            <w:tcW w:w="220" w:type="dxa"/>
            <w:vAlign w:val="bottom"/>
          </w:tcPr>
          <w:p>
            <w:pPr>
              <w:spacing w:after="0"/>
              <w:rPr>
                <w:sz w:val="16"/>
                <w:szCs w:val="16"/>
                <w:color w:val="auto"/>
              </w:rPr>
            </w:pPr>
          </w:p>
        </w:tc>
        <w:tc>
          <w:tcPr>
            <w:tcW w:w="7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13,608</w:t>
            </w:r>
          </w:p>
        </w:tc>
        <w:tc>
          <w:tcPr>
            <w:tcW w:w="20" w:type="dxa"/>
            <w:vAlign w:val="bottom"/>
          </w:tcPr>
          <w:p>
            <w:pPr>
              <w:spacing w:after="0"/>
              <w:rPr>
                <w:sz w:val="16"/>
                <w:szCs w:val="16"/>
                <w:color w:val="auto"/>
              </w:rPr>
            </w:pPr>
          </w:p>
        </w:tc>
      </w:tr>
      <w:tr>
        <w:trPr>
          <w:trHeight w:val="216"/>
        </w:trPr>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3,091</w:t>
            </w: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3,854</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6,164</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763</w:t>
            </w:r>
          </w:p>
        </w:tc>
      </w:tr>
      <w:tr>
        <w:trPr>
          <w:trHeight w:val="234"/>
        </w:trPr>
        <w:tc>
          <w:tcPr>
            <w:tcW w:w="7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2,217</w:t>
            </w:r>
          </w:p>
        </w:tc>
        <w:tc>
          <w:tcPr>
            <w:tcW w:w="20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20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0" w:type="dxa"/>
            <w:vAlign w:val="bottom"/>
          </w:tcPr>
          <w:p>
            <w:pPr>
              <w:spacing w:after="0"/>
              <w:rPr>
                <w:sz w:val="20"/>
                <w:szCs w:val="20"/>
                <w:color w:val="auto"/>
              </w:rPr>
            </w:pPr>
          </w:p>
        </w:tc>
      </w:tr>
      <w:tr>
        <w:trPr>
          <w:trHeight w:val="439"/>
        </w:trPr>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56,386</w:t>
            </w: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71,209</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326,689</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14,823</w:t>
            </w:r>
          </w:p>
        </w:tc>
      </w:tr>
      <w:tr>
        <w:trPr>
          <w:trHeight w:val="205"/>
        </w:trPr>
        <w:tc>
          <w:tcPr>
            <w:tcW w:w="780" w:type="dxa"/>
            <w:vAlign w:val="bottom"/>
            <w:tcBorders>
              <w:top w:val="single" w:sz="8" w:color="auto"/>
            </w:tcBorders>
            <w:gridSpan w:val="2"/>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2,338</w:t>
            </w:r>
          </w:p>
        </w:tc>
        <w:tc>
          <w:tcPr>
            <w:tcW w:w="200" w:type="dxa"/>
            <w:vAlign w:val="bottom"/>
          </w:tcPr>
          <w:p>
            <w:pPr>
              <w:spacing w:after="0"/>
              <w:rPr>
                <w:sz w:val="17"/>
                <w:szCs w:val="17"/>
                <w:color w:val="auto"/>
              </w:rPr>
            </w:pPr>
          </w:p>
        </w:tc>
        <w:tc>
          <w:tcPr>
            <w:tcW w:w="78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3,343</w:t>
            </w:r>
          </w:p>
        </w:tc>
        <w:tc>
          <w:tcPr>
            <w:tcW w:w="200" w:type="dxa"/>
            <w:vAlign w:val="bottom"/>
          </w:tcPr>
          <w:p>
            <w:pPr>
              <w:spacing w:after="0"/>
              <w:rPr>
                <w:sz w:val="17"/>
                <w:szCs w:val="17"/>
                <w:color w:val="auto"/>
              </w:rPr>
            </w:pPr>
          </w:p>
        </w:tc>
        <w:tc>
          <w:tcPr>
            <w:tcW w:w="78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20,806</w:t>
            </w:r>
          </w:p>
        </w:tc>
        <w:tc>
          <w:tcPr>
            <w:tcW w:w="220" w:type="dxa"/>
            <w:vAlign w:val="bottom"/>
          </w:tcPr>
          <w:p>
            <w:pPr>
              <w:spacing w:after="0"/>
              <w:rPr>
                <w:sz w:val="17"/>
                <w:szCs w:val="17"/>
                <w:color w:val="auto"/>
              </w:rPr>
            </w:pPr>
          </w:p>
        </w:tc>
        <w:tc>
          <w:tcPr>
            <w:tcW w:w="76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1,005</w:t>
            </w:r>
          </w:p>
        </w:tc>
        <w:tc>
          <w:tcPr>
            <w:tcW w:w="20" w:type="dxa"/>
            <w:vAlign w:val="bottom"/>
          </w:tcPr>
          <w:p>
            <w:pPr>
              <w:spacing w:after="0"/>
              <w:rPr>
                <w:sz w:val="17"/>
                <w:szCs w:val="17"/>
                <w:color w:val="auto"/>
              </w:rPr>
            </w:pPr>
          </w:p>
        </w:tc>
      </w:tr>
      <w:tr>
        <w:trPr>
          <w:trHeight w:val="216"/>
        </w:trPr>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635</w:t>
            </w: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869</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5,262</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w:t>
            </w:r>
          </w:p>
        </w:tc>
      </w:tr>
      <w:tr>
        <w:trPr>
          <w:trHeight w:val="234"/>
        </w:trPr>
        <w:tc>
          <w:tcPr>
            <w:tcW w:w="7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335</w:t>
            </w:r>
          </w:p>
        </w:tc>
        <w:tc>
          <w:tcPr>
            <w:tcW w:w="20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0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0" w:type="dxa"/>
            <w:vAlign w:val="bottom"/>
          </w:tcPr>
          <w:p>
            <w:pPr>
              <w:spacing w:after="0"/>
              <w:rPr>
                <w:sz w:val="20"/>
                <w:szCs w:val="20"/>
                <w:color w:val="auto"/>
              </w:rPr>
            </w:pPr>
          </w:p>
        </w:tc>
      </w:tr>
      <w:tr>
        <w:trPr>
          <w:trHeight w:val="439"/>
        </w:trPr>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3,308</w:t>
            </w:r>
          </w:p>
        </w:tc>
        <w:tc>
          <w:tcPr>
            <w:tcW w:w="11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4,702</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28,855</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1,394</w:t>
            </w:r>
          </w:p>
        </w:tc>
      </w:tr>
      <w:tr>
        <w:trPr>
          <w:trHeight w:val="223"/>
        </w:trPr>
        <w:tc>
          <w:tcPr>
            <w:tcW w:w="7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59,694</w:t>
            </w: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75,911</w:t>
            </w: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355,544</w:t>
            </w:r>
          </w:p>
        </w:tc>
        <w:tc>
          <w:tcPr>
            <w:tcW w:w="2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16,217</w:t>
            </w:r>
          </w:p>
        </w:tc>
        <w:tc>
          <w:tcPr>
            <w:tcW w:w="20" w:type="dxa"/>
            <w:vAlign w:val="bottom"/>
          </w:tcPr>
          <w:p>
            <w:pPr>
              <w:spacing w:after="0"/>
              <w:rPr>
                <w:sz w:val="19"/>
                <w:szCs w:val="19"/>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-3240405</wp:posOffset>
            </wp:positionH>
            <wp:positionV relativeFrom="paragraph">
              <wp:posOffset>-2091055</wp:posOffset>
            </wp:positionV>
            <wp:extent cx="6995160" cy="2100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21005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8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8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Combined</w:t>
            </w:r>
          </w:p>
        </w:tc>
      </w:tr>
      <w:tr>
        <w:trPr>
          <w:trHeight w:val="117"/>
        </w:trPr>
        <w:tc>
          <w:tcPr>
            <w:tcW w:w="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 from</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Nine</w:t>
            </w:r>
          </w:p>
        </w:tc>
        <w:tc>
          <w:tcPr>
            <w:tcW w:w="20" w:type="dxa"/>
            <w:vAlign w:val="bottom"/>
          </w:tcPr>
          <w:p>
            <w:pPr>
              <w:spacing w:after="0"/>
              <w:rPr>
                <w:sz w:val="10"/>
                <w:szCs w:val="10"/>
                <w:color w:val="auto"/>
              </w:rPr>
            </w:pPr>
          </w:p>
        </w:tc>
      </w:tr>
      <w:tr>
        <w:trPr>
          <w:trHeight w:val="148"/>
        </w:trPr>
        <w:tc>
          <w:tcPr>
            <w:tcW w:w="8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Jan 1, 2019</w:t>
            </w:r>
          </w:p>
        </w:tc>
        <w:tc>
          <w:tcPr>
            <w:tcW w:w="180" w:type="dxa"/>
            <w:vAlign w:val="bottom"/>
          </w:tcPr>
          <w:p>
            <w:pPr>
              <w:spacing w:after="0"/>
              <w:rPr>
                <w:sz w:val="12"/>
                <w:szCs w:val="12"/>
                <w:color w:val="auto"/>
              </w:rPr>
            </w:pPr>
          </w:p>
        </w:tc>
        <w:tc>
          <w:tcPr>
            <w:tcW w:w="8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r>
      <w:tr>
        <w:trPr>
          <w:trHeight w:val="149"/>
        </w:trPr>
        <w:tc>
          <w:tcPr>
            <w:tcW w:w="8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8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73"/>
        </w:trPr>
        <w:tc>
          <w:tcPr>
            <w:tcW w:w="8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Sep 12, 2019</w:t>
            </w:r>
          </w:p>
        </w:tc>
        <w:tc>
          <w:tcPr>
            <w:tcW w:w="18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 30, 2019</w:t>
            </w:r>
          </w:p>
        </w:tc>
      </w:tr>
      <w:tr>
        <w:trPr>
          <w:trHeight w:val="191"/>
        </w:trPr>
        <w:tc>
          <w:tcPr>
            <w:tcW w:w="7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134,173</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147,781</w:t>
            </w:r>
          </w:p>
        </w:tc>
        <w:tc>
          <w:tcPr>
            <w:tcW w:w="20" w:type="dxa"/>
            <w:vAlign w:val="bottom"/>
          </w:tcPr>
          <w:p>
            <w:pPr>
              <w:spacing w:after="0"/>
              <w:rPr>
                <w:sz w:val="16"/>
                <w:szCs w:val="16"/>
                <w:color w:val="auto"/>
              </w:rPr>
            </w:pPr>
          </w:p>
        </w:tc>
      </w:tr>
      <w:tr>
        <w:trPr>
          <w:trHeight w:val="216"/>
        </w:trPr>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11,205</w:t>
            </w: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11,968</w:t>
            </w:r>
          </w:p>
        </w:tc>
      </w:tr>
      <w:tr>
        <w:trPr>
          <w:trHeight w:val="234"/>
        </w:trPr>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7,675</w:t>
            </w:r>
          </w:p>
        </w:tc>
        <w:tc>
          <w:tcPr>
            <w:tcW w:w="18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8,127</w:t>
            </w:r>
          </w:p>
        </w:tc>
        <w:tc>
          <w:tcPr>
            <w:tcW w:w="20" w:type="dxa"/>
            <w:vAlign w:val="bottom"/>
          </w:tcPr>
          <w:p>
            <w:pPr>
              <w:spacing w:after="0"/>
              <w:rPr>
                <w:sz w:val="20"/>
                <w:szCs w:val="20"/>
                <w:color w:val="auto"/>
              </w:rPr>
            </w:pPr>
          </w:p>
        </w:tc>
      </w:tr>
      <w:tr>
        <w:trPr>
          <w:trHeight w:val="439"/>
        </w:trPr>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153,053</w:t>
            </w: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167,876</w:t>
            </w:r>
          </w:p>
        </w:tc>
      </w:tr>
      <w:tr>
        <w:trPr>
          <w:trHeight w:val="205"/>
        </w:trPr>
        <w:tc>
          <w:tcPr>
            <w:tcW w:w="800" w:type="dxa"/>
            <w:vAlign w:val="bottom"/>
            <w:tcBorders>
              <w:top w:val="single" w:sz="8" w:color="auto"/>
            </w:tcBorders>
            <w:gridSpan w:val="2"/>
          </w:tcPr>
          <w:p>
            <w:pPr>
              <w:jc w:val="right"/>
              <w:ind w:right="20"/>
              <w:spacing w:after="0" w:line="205" w:lineRule="exact"/>
              <w:rPr>
                <w:sz w:val="20"/>
                <w:szCs w:val="20"/>
                <w:color w:val="auto"/>
              </w:rPr>
            </w:pPr>
            <w:r>
              <w:rPr>
                <w:rFonts w:ascii="Times New Roman" w:cs="Times New Roman" w:eastAsia="Times New Roman" w:hAnsi="Times New Roman"/>
                <w:sz w:val="18"/>
                <w:szCs w:val="18"/>
                <w:color w:val="auto"/>
              </w:rPr>
              <w:t>4,240</w:t>
            </w:r>
          </w:p>
        </w:tc>
        <w:tc>
          <w:tcPr>
            <w:tcW w:w="180" w:type="dxa"/>
            <w:vAlign w:val="bottom"/>
          </w:tcPr>
          <w:p>
            <w:pPr>
              <w:spacing w:after="0"/>
              <w:rPr>
                <w:sz w:val="17"/>
                <w:szCs w:val="17"/>
                <w:color w:val="auto"/>
              </w:rPr>
            </w:pPr>
          </w:p>
        </w:tc>
        <w:tc>
          <w:tcPr>
            <w:tcW w:w="78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5,245</w:t>
            </w:r>
          </w:p>
        </w:tc>
        <w:tc>
          <w:tcPr>
            <w:tcW w:w="20" w:type="dxa"/>
            <w:vAlign w:val="bottom"/>
          </w:tcPr>
          <w:p>
            <w:pPr>
              <w:spacing w:after="0"/>
              <w:rPr>
                <w:sz w:val="17"/>
                <w:szCs w:val="17"/>
                <w:color w:val="auto"/>
              </w:rPr>
            </w:pPr>
          </w:p>
        </w:tc>
      </w:tr>
      <w:tr>
        <w:trPr>
          <w:trHeight w:val="216"/>
        </w:trPr>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1,051</w:t>
            </w: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1,285</w:t>
            </w:r>
          </w:p>
        </w:tc>
      </w:tr>
      <w:tr>
        <w:trPr>
          <w:trHeight w:val="234"/>
        </w:trPr>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471</w:t>
            </w:r>
          </w:p>
        </w:tc>
        <w:tc>
          <w:tcPr>
            <w:tcW w:w="18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0" w:type="dxa"/>
            <w:vAlign w:val="bottom"/>
          </w:tcPr>
          <w:p>
            <w:pPr>
              <w:spacing w:after="0"/>
              <w:rPr>
                <w:sz w:val="20"/>
                <w:szCs w:val="20"/>
                <w:color w:val="auto"/>
              </w:rPr>
            </w:pPr>
          </w:p>
        </w:tc>
      </w:tr>
      <w:tr>
        <w:trPr>
          <w:trHeight w:val="439"/>
        </w:trPr>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5,762</w:t>
            </w: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7,156</w:t>
            </w:r>
          </w:p>
        </w:tc>
      </w:tr>
      <w:tr>
        <w:trPr>
          <w:trHeight w:val="223"/>
        </w:trPr>
        <w:tc>
          <w:tcPr>
            <w:tcW w:w="8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158,815</w:t>
            </w:r>
          </w:p>
        </w:tc>
        <w:tc>
          <w:tcPr>
            <w:tcW w:w="1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175,032</w:t>
            </w:r>
          </w:p>
        </w:tc>
        <w:tc>
          <w:tcPr>
            <w:tcW w:w="20" w:type="dxa"/>
            <w:vAlign w:val="bottom"/>
          </w:tcPr>
          <w:p>
            <w:pPr>
              <w:spacing w:after="0"/>
              <w:rPr>
                <w:sz w:val="19"/>
                <w:szCs w:val="19"/>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4720" w:space="380"/>
            <w:col w:w="3720" w:space="380"/>
            <w:col w:w="1800"/>
          </w:cols>
          <w:pgMar w:left="440" w:top="270" w:right="459" w:bottom="1440" w:gutter="0" w:footer="0" w:header="0"/>
          <w:type w:val="continuous"/>
        </w:sectPr>
      </w:pPr>
    </w:p>
    <w:p>
      <w:pPr>
        <w:spacing w:after="0" w:line="7"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following tables present the number of Approved Submissions by product relating to commissionable policies for the Medicare segments for the three and nine months ended September 30, 2020 and 2019. Only commissionable policies are used to calculate our LTV.</w:t>
      </w:r>
    </w:p>
    <w:p>
      <w:pPr>
        <w:sectPr>
          <w:pgSz w:w="11900" w:h="16838" w:orient="portrait"/>
          <w:cols w:equalWidth="0" w:num="1">
            <w:col w:w="11000"/>
          </w:cols>
          <w:pgMar w:left="440" w:top="270" w:right="459" w:bottom="1440" w:gutter="0" w:footer="0" w:header="0"/>
          <w:type w:val="continuous"/>
        </w:sectPr>
      </w:pPr>
    </w:p>
    <w:p>
      <w:pPr>
        <w:spacing w:after="0" w:line="15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Medicare—Internal</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20" w:type="dxa"/>
            <w:vAlign w:val="bottom"/>
          </w:tcPr>
          <w:p>
            <w:pPr>
              <w:spacing w:after="0"/>
              <w:rPr>
                <w:sz w:val="15"/>
                <w:szCs w:val="15"/>
                <w:color w:val="auto"/>
              </w:rPr>
            </w:pPr>
          </w:p>
        </w:tc>
        <w:tc>
          <w:tcPr>
            <w:tcW w:w="182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117"/>
        </w:trPr>
        <w:tc>
          <w:tcPr>
            <w:tcW w:w="2620" w:type="dxa"/>
            <w:vAlign w:val="bottom"/>
          </w:tcPr>
          <w:p>
            <w:pPr>
              <w:spacing w:after="0"/>
              <w:rPr>
                <w:sz w:val="10"/>
                <w:szCs w:val="10"/>
                <w:color w:val="auto"/>
              </w:rPr>
            </w:pPr>
          </w:p>
        </w:tc>
        <w:tc>
          <w:tcPr>
            <w:tcW w:w="1040" w:type="dxa"/>
            <w:vAlign w:val="bottom"/>
            <w:tcBorders>
              <w:top w:val="single" w:sz="8" w:color="auto"/>
            </w:tcBorders>
            <w:gridSpan w:val="3"/>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Three</w:t>
            </w:r>
          </w:p>
        </w:tc>
        <w:tc>
          <w:tcPr>
            <w:tcW w:w="7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 from</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rPr>
                <w:sz w:val="12"/>
                <w:szCs w:val="12"/>
                <w:color w:val="auto"/>
              </w:rPr>
            </w:pPr>
          </w:p>
        </w:tc>
        <w:tc>
          <w:tcPr>
            <w:tcW w:w="104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7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Sep 13, 2019</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0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7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0" w:type="dxa"/>
            <w:vAlign w:val="bottom"/>
          </w:tcPr>
          <w:p>
            <w:pPr>
              <w:spacing w:after="0"/>
              <w:rPr>
                <w:sz w:val="1"/>
                <w:szCs w:val="1"/>
                <w:color w:val="auto"/>
              </w:rPr>
            </w:pPr>
          </w:p>
        </w:tc>
      </w:tr>
      <w:tr>
        <w:trPr>
          <w:trHeight w:val="173"/>
        </w:trPr>
        <w:tc>
          <w:tcPr>
            <w:tcW w:w="2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Medicare Advantage</w:t>
            </w: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 30, 2020</w:t>
            </w:r>
          </w:p>
        </w:tc>
        <w:tc>
          <w:tcPr>
            <w:tcW w:w="7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 30, 2019</w:t>
            </w:r>
          </w:p>
        </w:tc>
        <w:tc>
          <w:tcPr>
            <w:tcW w:w="0" w:type="dxa"/>
            <w:vAlign w:val="bottom"/>
          </w:tcPr>
          <w:p>
            <w:pPr>
              <w:spacing w:after="0"/>
              <w:rPr>
                <w:sz w:val="1"/>
                <w:szCs w:val="1"/>
                <w:color w:val="auto"/>
              </w:rPr>
            </w:pPr>
          </w:p>
        </w:tc>
      </w:tr>
      <w:tr>
        <w:trPr>
          <w:trHeight w:val="191"/>
        </w:trPr>
        <w:tc>
          <w:tcPr>
            <w:tcW w:w="2620" w:type="dxa"/>
            <w:vAlign w:val="bottom"/>
            <w:vMerge w:val="continue"/>
          </w:tcPr>
          <w:p>
            <w:pPr>
              <w:spacing w:after="0"/>
              <w:rPr>
                <w:sz w:val="16"/>
                <w:szCs w:val="16"/>
                <w:color w:val="auto"/>
              </w:rPr>
            </w:pPr>
          </w:p>
        </w:tc>
        <w:tc>
          <w:tcPr>
            <w:tcW w:w="7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77,186</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8,940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Medicare Supplement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315</w:t>
            </w:r>
          </w:p>
        </w:tc>
        <w:tc>
          <w:tcPr>
            <w:tcW w:w="2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Prescription Drug Plans</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1,574</w:t>
            </w:r>
          </w:p>
        </w:tc>
        <w:tc>
          <w:tcPr>
            <w:tcW w:w="24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r>
        <w:trPr>
          <w:trHeight w:val="205"/>
        </w:trPr>
        <w:tc>
          <w:tcPr>
            <w:tcW w:w="2620" w:type="dxa"/>
            <w:vAlign w:val="bottom"/>
          </w:tcPr>
          <w:p>
            <w:pPr>
              <w:ind w:left="360"/>
              <w:spacing w:after="0" w:line="205" w:lineRule="exact"/>
              <w:rPr>
                <w:sz w:val="20"/>
                <w:szCs w:val="20"/>
                <w:color w:val="auto"/>
              </w:rPr>
            </w:pPr>
            <w:r>
              <w:rPr>
                <w:rFonts w:ascii="Times New Roman" w:cs="Times New Roman" w:eastAsia="Times New Roman" w:hAnsi="Times New Roman"/>
                <w:sz w:val="18"/>
                <w:szCs w:val="18"/>
                <w:color w:val="auto"/>
              </w:rPr>
              <w:t>Total Medicare - Internal</w:t>
            </w:r>
          </w:p>
        </w:tc>
        <w:tc>
          <w:tcPr>
            <w:tcW w:w="7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Commissionble</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Approved Submissions</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79,075</w:t>
            </w:r>
          </w:p>
        </w:tc>
        <w:tc>
          <w:tcPr>
            <w:tcW w:w="24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9,452</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8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2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184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117"/>
        </w:trPr>
        <w:tc>
          <w:tcPr>
            <w:tcW w:w="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 from</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Three</w:t>
            </w:r>
          </w:p>
        </w:tc>
        <w:tc>
          <w:tcPr>
            <w:tcW w:w="260" w:type="dxa"/>
            <w:vAlign w:val="bottom"/>
          </w:tcPr>
          <w:p>
            <w:pPr>
              <w:spacing w:after="0"/>
              <w:rPr>
                <w:sz w:val="10"/>
                <w:szCs w:val="10"/>
                <w:color w:val="auto"/>
              </w:rPr>
            </w:pPr>
          </w:p>
        </w:tc>
        <w:tc>
          <w:tcPr>
            <w:tcW w:w="1040" w:type="dxa"/>
            <w:vAlign w:val="bottom"/>
            <w:tcBorders>
              <w:top w:val="single" w:sz="8" w:color="auto"/>
            </w:tcBorders>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Nine</w:t>
            </w:r>
          </w:p>
        </w:tc>
        <w:tc>
          <w:tcPr>
            <w:tcW w:w="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 from</w:t>
            </w:r>
          </w:p>
        </w:tc>
        <w:tc>
          <w:tcPr>
            <w:tcW w:w="20" w:type="dxa"/>
            <w:vAlign w:val="bottom"/>
          </w:tcPr>
          <w:p>
            <w:pPr>
              <w:spacing w:after="0"/>
              <w:rPr>
                <w:sz w:val="10"/>
                <w:szCs w:val="10"/>
                <w:color w:val="auto"/>
              </w:rPr>
            </w:pPr>
          </w:p>
        </w:tc>
      </w:tr>
      <w:tr>
        <w:trPr>
          <w:trHeight w:val="149"/>
        </w:trPr>
        <w:tc>
          <w:tcPr>
            <w:tcW w:w="8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July 1, 2019</w:t>
            </w:r>
          </w:p>
        </w:tc>
        <w:tc>
          <w:tcPr>
            <w:tcW w:w="2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 13, 2019</w:t>
            </w:r>
          </w:p>
        </w:tc>
      </w:tr>
      <w:tr>
        <w:trPr>
          <w:trHeight w:val="148"/>
        </w:trPr>
        <w:tc>
          <w:tcPr>
            <w:tcW w:w="8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8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r>
      <w:tr>
        <w:trPr>
          <w:trHeight w:val="173"/>
        </w:trPr>
        <w:tc>
          <w:tcPr>
            <w:tcW w:w="8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Sep 12, 2019</w:t>
            </w:r>
          </w:p>
        </w:tc>
        <w:tc>
          <w:tcPr>
            <w:tcW w:w="22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 30, 2019</w:t>
            </w: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 30, 2020</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 30, 2019</w:t>
            </w:r>
          </w:p>
        </w:tc>
      </w:tr>
      <w:tr>
        <w:trPr>
          <w:trHeight w:val="191"/>
        </w:trPr>
        <w:tc>
          <w:tcPr>
            <w:tcW w:w="7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36,270</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45,210</w:t>
            </w:r>
          </w:p>
        </w:tc>
        <w:tc>
          <w:tcPr>
            <w:tcW w:w="260" w:type="dxa"/>
            <w:vAlign w:val="bottom"/>
          </w:tcPr>
          <w:p>
            <w:pPr>
              <w:spacing w:after="0"/>
              <w:rPr>
                <w:sz w:val="16"/>
                <w:szCs w:val="16"/>
                <w:color w:val="auto"/>
              </w:rPr>
            </w:pPr>
          </w:p>
        </w:tc>
        <w:tc>
          <w:tcPr>
            <w:tcW w:w="7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228,612</w:t>
            </w:r>
          </w:p>
        </w:tc>
        <w:tc>
          <w:tcPr>
            <w:tcW w:w="260" w:type="dxa"/>
            <w:vAlign w:val="bottom"/>
          </w:tcPr>
          <w:p>
            <w:pPr>
              <w:spacing w:after="0"/>
              <w:rPr>
                <w:sz w:val="16"/>
                <w:szCs w:val="16"/>
                <w:color w:val="auto"/>
              </w:rPr>
            </w:pPr>
          </w:p>
        </w:tc>
        <w:tc>
          <w:tcPr>
            <w:tcW w:w="7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8,940</w:t>
            </w:r>
          </w:p>
        </w:tc>
        <w:tc>
          <w:tcPr>
            <w:tcW w:w="20" w:type="dxa"/>
            <w:vAlign w:val="bottom"/>
          </w:tcPr>
          <w:p>
            <w:pPr>
              <w:spacing w:after="0"/>
              <w:rPr>
                <w:sz w:val="16"/>
                <w:szCs w:val="16"/>
                <w:color w:val="auto"/>
              </w:rPr>
            </w:pPr>
          </w:p>
        </w:tc>
      </w:tr>
      <w:tr>
        <w:trPr>
          <w:trHeight w:val="216"/>
        </w:trPr>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944</w:t>
            </w: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1,143</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1,602</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199</w:t>
            </w:r>
          </w:p>
        </w:tc>
      </w:tr>
      <w:tr>
        <w:trPr>
          <w:trHeight w:val="234"/>
        </w:trPr>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1,611</w:t>
            </w:r>
          </w:p>
        </w:tc>
        <w:tc>
          <w:tcPr>
            <w:tcW w:w="22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26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5,319</w:t>
            </w:r>
          </w:p>
        </w:tc>
        <w:tc>
          <w:tcPr>
            <w:tcW w:w="26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0" w:type="dxa"/>
            <w:vAlign w:val="bottom"/>
          </w:tcPr>
          <w:p>
            <w:pPr>
              <w:spacing w:after="0"/>
              <w:rPr>
                <w:sz w:val="20"/>
                <w:szCs w:val="20"/>
                <w:color w:val="auto"/>
              </w:rPr>
            </w:pPr>
          </w:p>
        </w:tc>
      </w:tr>
      <w:tr>
        <w:trPr>
          <w:trHeight w:val="655"/>
        </w:trPr>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38,825</w:t>
            </w: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48,277</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235,533</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9,452</w:t>
            </w:r>
          </w:p>
        </w:tc>
      </w:tr>
      <w:tr>
        <w:trPr>
          <w:trHeight w:val="20"/>
        </w:trPr>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-1353820</wp:posOffset>
            </wp:positionV>
            <wp:extent cx="6995160" cy="13627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3627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8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4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Combined</w:t>
            </w:r>
          </w:p>
        </w:tc>
      </w:tr>
      <w:tr>
        <w:trPr>
          <w:trHeight w:val="117"/>
        </w:trPr>
        <w:tc>
          <w:tcPr>
            <w:tcW w:w="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 from</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Nine</w:t>
            </w:r>
          </w:p>
        </w:tc>
        <w:tc>
          <w:tcPr>
            <w:tcW w:w="20" w:type="dxa"/>
            <w:vAlign w:val="bottom"/>
          </w:tcPr>
          <w:p>
            <w:pPr>
              <w:spacing w:after="0"/>
              <w:rPr>
                <w:sz w:val="10"/>
                <w:szCs w:val="10"/>
                <w:color w:val="auto"/>
              </w:rPr>
            </w:pPr>
          </w:p>
        </w:tc>
      </w:tr>
      <w:tr>
        <w:trPr>
          <w:trHeight w:val="149"/>
        </w:trPr>
        <w:tc>
          <w:tcPr>
            <w:tcW w:w="8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Jan 1, 2019</w:t>
            </w:r>
          </w:p>
        </w:tc>
        <w:tc>
          <w:tcPr>
            <w:tcW w:w="240" w:type="dxa"/>
            <w:vAlign w:val="bottom"/>
          </w:tcPr>
          <w:p>
            <w:pPr>
              <w:spacing w:after="0"/>
              <w:rPr>
                <w:sz w:val="12"/>
                <w:szCs w:val="12"/>
                <w:color w:val="auto"/>
              </w:rPr>
            </w:pPr>
          </w:p>
        </w:tc>
        <w:tc>
          <w:tcPr>
            <w:tcW w:w="8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r>
      <w:tr>
        <w:trPr>
          <w:trHeight w:val="148"/>
        </w:trPr>
        <w:tc>
          <w:tcPr>
            <w:tcW w:w="8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24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73"/>
        </w:trPr>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 12, 2019</w:t>
            </w:r>
          </w:p>
        </w:tc>
        <w:tc>
          <w:tcPr>
            <w:tcW w:w="24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 30, 2019</w:t>
            </w:r>
          </w:p>
        </w:tc>
      </w:tr>
      <w:tr>
        <w:trPr>
          <w:trHeight w:val="191"/>
        </w:trPr>
        <w:tc>
          <w:tcPr>
            <w:tcW w:w="7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86,544</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95,484</w:t>
            </w:r>
          </w:p>
        </w:tc>
        <w:tc>
          <w:tcPr>
            <w:tcW w:w="20" w:type="dxa"/>
            <w:vAlign w:val="bottom"/>
          </w:tcPr>
          <w:p>
            <w:pPr>
              <w:spacing w:after="0"/>
              <w:rPr>
                <w:sz w:val="16"/>
                <w:szCs w:val="16"/>
                <w:color w:val="auto"/>
              </w:rPr>
            </w:pPr>
          </w:p>
        </w:tc>
      </w:tr>
      <w:tr>
        <w:trPr>
          <w:trHeight w:val="216"/>
        </w:trPr>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3,198</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3,397</w:t>
            </w:r>
          </w:p>
        </w:tc>
      </w:tr>
      <w:tr>
        <w:trPr>
          <w:trHeight w:val="234"/>
        </w:trPr>
        <w:tc>
          <w:tcPr>
            <w:tcW w:w="8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5,078</w:t>
            </w:r>
          </w:p>
        </w:tc>
        <w:tc>
          <w:tcPr>
            <w:tcW w:w="24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5,391</w:t>
            </w:r>
          </w:p>
        </w:tc>
        <w:tc>
          <w:tcPr>
            <w:tcW w:w="20" w:type="dxa"/>
            <w:vAlign w:val="bottom"/>
          </w:tcPr>
          <w:p>
            <w:pPr>
              <w:spacing w:after="0"/>
              <w:rPr>
                <w:sz w:val="20"/>
                <w:szCs w:val="20"/>
                <w:color w:val="auto"/>
              </w:rPr>
            </w:pPr>
          </w:p>
        </w:tc>
      </w:tr>
      <w:tr>
        <w:trPr>
          <w:trHeight w:val="655"/>
        </w:trPr>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94,820</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104,272</w:t>
            </w:r>
          </w:p>
        </w:tc>
      </w:tr>
      <w:tr>
        <w:trPr>
          <w:trHeight w:val="20"/>
        </w:trPr>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4420" w:space="420"/>
            <w:col w:w="3880" w:space="420"/>
            <w:col w:w="1860"/>
          </w:cols>
          <w:pgMar w:left="440" w:top="270" w:right="459" w:bottom="1440" w:gutter="0" w:footer="0" w:header="0"/>
          <w:type w:val="continuous"/>
        </w:sectPr>
      </w:pP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i w:val="1"/>
          <w:iCs w:val="1"/>
          <w:color w:val="auto"/>
        </w:rPr>
        <w:t>Medicare—External</w:t>
      </w:r>
    </w:p>
    <w:p>
      <w:pPr>
        <w:sectPr>
          <w:pgSz w:w="11900" w:h="16838" w:orient="portrait"/>
          <w:cols w:equalWidth="0" w:num="1">
            <w:col w:w="11000"/>
          </w:cols>
          <w:pgMar w:left="440" w:top="270" w:right="459" w:bottom="1440" w:gutter="0" w:footer="0" w:header="0"/>
          <w:type w:val="continuous"/>
        </w:sect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80" w:type="dxa"/>
            <w:vAlign w:val="bottom"/>
          </w:tcPr>
          <w:p>
            <w:pPr>
              <w:spacing w:after="0"/>
              <w:rPr>
                <w:sz w:val="15"/>
                <w:szCs w:val="15"/>
                <w:color w:val="auto"/>
              </w:rPr>
            </w:pPr>
          </w:p>
        </w:tc>
        <w:tc>
          <w:tcPr>
            <w:tcW w:w="182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117"/>
        </w:trPr>
        <w:tc>
          <w:tcPr>
            <w:tcW w:w="2680" w:type="dxa"/>
            <w:vAlign w:val="bottom"/>
          </w:tcPr>
          <w:p>
            <w:pPr>
              <w:spacing w:after="0"/>
              <w:rPr>
                <w:sz w:val="10"/>
                <w:szCs w:val="10"/>
                <w:color w:val="auto"/>
              </w:rPr>
            </w:pPr>
          </w:p>
        </w:tc>
        <w:tc>
          <w:tcPr>
            <w:tcW w:w="1020" w:type="dxa"/>
            <w:vAlign w:val="bottom"/>
            <w:tcBorders>
              <w:top w:val="single" w:sz="8" w:color="auto"/>
            </w:tcBorders>
            <w:gridSpan w:val="3"/>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Three</w:t>
            </w:r>
          </w:p>
        </w:tc>
        <w:tc>
          <w:tcPr>
            <w:tcW w:w="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 from</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102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 13, 2019</w:t>
            </w: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102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8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73"/>
        </w:trPr>
        <w:tc>
          <w:tcPr>
            <w:tcW w:w="2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Medicare Advantage</w:t>
            </w:r>
          </w:p>
        </w:tc>
        <w:tc>
          <w:tcPr>
            <w:tcW w:w="10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 30, 2020</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 30, 2019</w:t>
            </w:r>
          </w:p>
        </w:tc>
        <w:tc>
          <w:tcPr>
            <w:tcW w:w="0" w:type="dxa"/>
            <w:vAlign w:val="bottom"/>
          </w:tcPr>
          <w:p>
            <w:pPr>
              <w:spacing w:after="0"/>
              <w:rPr>
                <w:sz w:val="1"/>
                <w:szCs w:val="1"/>
                <w:color w:val="auto"/>
              </w:rPr>
            </w:pPr>
          </w:p>
        </w:tc>
      </w:tr>
      <w:tr>
        <w:trPr>
          <w:trHeight w:val="191"/>
        </w:trPr>
        <w:tc>
          <w:tcPr>
            <w:tcW w:w="2680" w:type="dxa"/>
            <w:vAlign w:val="bottom"/>
            <w:vMerge w:val="continue"/>
          </w:tcPr>
          <w:p>
            <w:pPr>
              <w:spacing w:after="0"/>
              <w:rPr>
                <w:sz w:val="16"/>
                <w:szCs w:val="16"/>
                <w:color w:val="auto"/>
              </w:rPr>
            </w:pPr>
          </w:p>
        </w:tc>
        <w:tc>
          <w:tcPr>
            <w:tcW w:w="7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19,390</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3,441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Medicare Supplement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844</w:t>
            </w: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34"/>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Prescription Drug Plans</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352</w:t>
            </w:r>
          </w:p>
        </w:tc>
        <w:tc>
          <w:tcPr>
            <w:tcW w:w="22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05"/>
        </w:trPr>
        <w:tc>
          <w:tcPr>
            <w:tcW w:w="2680" w:type="dxa"/>
            <w:vAlign w:val="bottom"/>
          </w:tcPr>
          <w:p>
            <w:pPr>
              <w:ind w:left="360"/>
              <w:spacing w:after="0" w:line="205" w:lineRule="exact"/>
              <w:rPr>
                <w:sz w:val="20"/>
                <w:szCs w:val="20"/>
                <w:color w:val="auto"/>
              </w:rPr>
            </w:pPr>
            <w:r>
              <w:rPr>
                <w:rFonts w:ascii="Times New Roman" w:cs="Times New Roman" w:eastAsia="Times New Roman" w:hAnsi="Times New Roman"/>
                <w:sz w:val="18"/>
                <w:szCs w:val="18"/>
                <w:color w:val="auto"/>
              </w:rPr>
              <w:t>Total Medicare - External</w:t>
            </w:r>
          </w:p>
        </w:tc>
        <w:tc>
          <w:tcPr>
            <w:tcW w:w="7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Commissionble Approved</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Submissions</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20,586</w:t>
            </w:r>
          </w:p>
        </w:tc>
        <w:tc>
          <w:tcPr>
            <w:tcW w:w="22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4,046</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7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24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182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Successor</w:t>
            </w:r>
          </w:p>
        </w:tc>
      </w:tr>
      <w:tr>
        <w:trPr>
          <w:trHeight w:val="117"/>
        </w:trPr>
        <w:tc>
          <w:tcPr>
            <w:tcW w:w="7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 from</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Three</w:t>
            </w:r>
          </w:p>
        </w:tc>
        <w:tc>
          <w:tcPr>
            <w:tcW w:w="240" w:type="dxa"/>
            <w:vAlign w:val="bottom"/>
          </w:tcPr>
          <w:p>
            <w:pPr>
              <w:spacing w:after="0"/>
              <w:rPr>
                <w:sz w:val="10"/>
                <w:szCs w:val="10"/>
                <w:color w:val="auto"/>
              </w:rPr>
            </w:pPr>
          </w:p>
        </w:tc>
        <w:tc>
          <w:tcPr>
            <w:tcW w:w="1040" w:type="dxa"/>
            <w:vAlign w:val="bottom"/>
            <w:tcBorders>
              <w:top w:val="single" w:sz="8" w:color="auto"/>
            </w:tcBorders>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Nine</w:t>
            </w:r>
          </w:p>
        </w:tc>
        <w:tc>
          <w:tcPr>
            <w:tcW w:w="7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 from</w:t>
            </w:r>
          </w:p>
        </w:tc>
        <w:tc>
          <w:tcPr>
            <w:tcW w:w="20" w:type="dxa"/>
            <w:vAlign w:val="bottom"/>
          </w:tcPr>
          <w:p>
            <w:pPr>
              <w:spacing w:after="0"/>
              <w:rPr>
                <w:sz w:val="10"/>
                <w:szCs w:val="10"/>
                <w:color w:val="auto"/>
              </w:rPr>
            </w:pPr>
          </w:p>
        </w:tc>
      </w:tr>
      <w:tr>
        <w:trPr>
          <w:trHeight w:val="149"/>
        </w:trPr>
        <w:tc>
          <w:tcPr>
            <w:tcW w:w="7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July 1, 2019</w:t>
            </w:r>
          </w:p>
        </w:tc>
        <w:tc>
          <w:tcPr>
            <w:tcW w:w="2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10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7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Sep 13, 2019</w:t>
            </w:r>
          </w:p>
        </w:tc>
      </w:tr>
      <w:tr>
        <w:trPr>
          <w:trHeight w:val="148"/>
        </w:trPr>
        <w:tc>
          <w:tcPr>
            <w:tcW w:w="7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c>
          <w:tcPr>
            <w:tcW w:w="2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7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through</w:t>
            </w:r>
          </w:p>
        </w:tc>
      </w:tr>
      <w:tr>
        <w:trPr>
          <w:trHeight w:val="173"/>
        </w:trPr>
        <w:tc>
          <w:tcPr>
            <w:tcW w:w="7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 12, 2019</w:t>
            </w:r>
          </w:p>
        </w:tc>
        <w:tc>
          <w:tcPr>
            <w:tcW w:w="24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 30, 2019</w:t>
            </w: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 30, 2020</w:t>
            </w:r>
          </w:p>
        </w:tc>
        <w:tc>
          <w:tcPr>
            <w:tcW w:w="7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Sep 30, 2019</w:t>
            </w:r>
          </w:p>
        </w:tc>
      </w:tr>
      <w:tr>
        <w:trPr>
          <w:trHeight w:val="191"/>
        </w:trPr>
        <w:tc>
          <w:tcPr>
            <w:tcW w:w="7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15,551</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18,992</w:t>
            </w:r>
          </w:p>
        </w:tc>
        <w:tc>
          <w:tcPr>
            <w:tcW w:w="240" w:type="dxa"/>
            <w:vAlign w:val="bottom"/>
          </w:tcPr>
          <w:p>
            <w:pPr>
              <w:spacing w:after="0"/>
              <w:rPr>
                <w:sz w:val="16"/>
                <w:szCs w:val="16"/>
                <w:color w:val="auto"/>
              </w:rPr>
            </w:pPr>
          </w:p>
        </w:tc>
        <w:tc>
          <w:tcPr>
            <w:tcW w:w="7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80,656</w:t>
            </w:r>
          </w:p>
        </w:tc>
        <w:tc>
          <w:tcPr>
            <w:tcW w:w="260" w:type="dxa"/>
            <w:vAlign w:val="bottom"/>
          </w:tcPr>
          <w:p>
            <w:pPr>
              <w:spacing w:after="0"/>
              <w:rPr>
                <w:sz w:val="16"/>
                <w:szCs w:val="16"/>
                <w:color w:val="auto"/>
              </w:rPr>
            </w:pPr>
          </w:p>
        </w:tc>
        <w:tc>
          <w:tcPr>
            <w:tcW w:w="7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3,441</w:t>
            </w:r>
          </w:p>
        </w:tc>
        <w:tc>
          <w:tcPr>
            <w:tcW w:w="20" w:type="dxa"/>
            <w:vAlign w:val="bottom"/>
          </w:tcPr>
          <w:p>
            <w:pPr>
              <w:spacing w:after="0"/>
              <w:rPr>
                <w:sz w:val="16"/>
                <w:szCs w:val="16"/>
                <w:color w:val="auto"/>
              </w:rPr>
            </w:pPr>
          </w:p>
        </w:tc>
      </w:tr>
      <w:tr>
        <w:trPr>
          <w:trHeight w:val="216"/>
        </w:trPr>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1,852</w:t>
            </w:r>
          </w:p>
        </w:tc>
        <w:tc>
          <w:tcPr>
            <w:tcW w:w="1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2,318</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4,035</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466</w:t>
            </w:r>
          </w:p>
        </w:tc>
      </w:tr>
      <w:tr>
        <w:trPr>
          <w:trHeight w:val="234"/>
        </w:trPr>
        <w:tc>
          <w:tcPr>
            <w:tcW w:w="7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606</w:t>
            </w:r>
          </w:p>
        </w:tc>
        <w:tc>
          <w:tcPr>
            <w:tcW w:w="24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24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26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 w:type="dxa"/>
            <w:vAlign w:val="bottom"/>
          </w:tcPr>
          <w:p>
            <w:pPr>
              <w:spacing w:after="0"/>
              <w:rPr>
                <w:sz w:val="20"/>
                <w:szCs w:val="20"/>
                <w:color w:val="auto"/>
              </w:rPr>
            </w:pPr>
          </w:p>
        </w:tc>
      </w:tr>
      <w:tr>
        <w:trPr>
          <w:trHeight w:val="655"/>
        </w:trPr>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18,009</w:t>
            </w:r>
          </w:p>
        </w:tc>
        <w:tc>
          <w:tcPr>
            <w:tcW w:w="12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22,055</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85,897</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4,046</w:t>
            </w:r>
          </w:p>
        </w:tc>
      </w:tr>
      <w:tr>
        <w:trPr>
          <w:trHeight w:val="20"/>
        </w:trPr>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-3113405</wp:posOffset>
            </wp:positionH>
            <wp:positionV relativeFrom="paragraph">
              <wp:posOffset>-1353820</wp:posOffset>
            </wp:positionV>
            <wp:extent cx="6995160" cy="13633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3633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10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Combined</w:t>
            </w:r>
          </w:p>
        </w:tc>
      </w:tr>
      <w:tr>
        <w:trPr>
          <w:trHeight w:val="117"/>
        </w:trPr>
        <w:tc>
          <w:tcPr>
            <w:tcW w:w="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Period from</w:t>
            </w:r>
          </w:p>
        </w:tc>
        <w:tc>
          <w:tcPr>
            <w:tcW w:w="240" w:type="dxa"/>
            <w:vAlign w:val="bottom"/>
            <w:gridSpan w:val="2"/>
          </w:tcPr>
          <w:p>
            <w:pPr>
              <w:spacing w:after="0"/>
              <w:rPr>
                <w:sz w:val="10"/>
                <w:szCs w:val="10"/>
                <w:color w:val="auto"/>
              </w:rPr>
            </w:pPr>
          </w:p>
        </w:tc>
        <w:tc>
          <w:tcPr>
            <w:tcW w:w="7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Nine</w:t>
            </w:r>
          </w:p>
        </w:tc>
        <w:tc>
          <w:tcPr>
            <w:tcW w:w="20" w:type="dxa"/>
            <w:vAlign w:val="bottom"/>
          </w:tcPr>
          <w:p>
            <w:pPr>
              <w:spacing w:after="0"/>
              <w:rPr>
                <w:sz w:val="10"/>
                <w:szCs w:val="10"/>
                <w:color w:val="auto"/>
              </w:rPr>
            </w:pPr>
          </w:p>
        </w:tc>
      </w:tr>
      <w:tr>
        <w:trPr>
          <w:trHeight w:val="149"/>
        </w:trPr>
        <w:tc>
          <w:tcPr>
            <w:tcW w:w="102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Jan 1, 2019</w:t>
            </w:r>
          </w:p>
        </w:tc>
        <w:tc>
          <w:tcPr>
            <w:tcW w:w="80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r>
      <w:tr>
        <w:trPr>
          <w:trHeight w:val="148"/>
        </w:trPr>
        <w:tc>
          <w:tcPr>
            <w:tcW w:w="102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73"/>
        </w:trPr>
        <w:tc>
          <w:tcPr>
            <w:tcW w:w="10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 12, 2019</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 30, 2019</w:t>
            </w:r>
          </w:p>
        </w:tc>
      </w:tr>
      <w:tr>
        <w:trPr>
          <w:trHeight w:val="191"/>
        </w:trPr>
        <w:tc>
          <w:tcPr>
            <w:tcW w:w="7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48,341</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51,782</w:t>
            </w:r>
          </w:p>
        </w:tc>
        <w:tc>
          <w:tcPr>
            <w:tcW w:w="20" w:type="dxa"/>
            <w:vAlign w:val="bottom"/>
          </w:tcPr>
          <w:p>
            <w:pPr>
              <w:spacing w:after="0"/>
              <w:rPr>
                <w:sz w:val="16"/>
                <w:szCs w:val="16"/>
                <w:color w:val="auto"/>
              </w:rPr>
            </w:pPr>
          </w:p>
        </w:tc>
      </w:tr>
      <w:tr>
        <w:trPr>
          <w:trHeight w:val="216"/>
        </w:trPr>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7,531</w:t>
            </w:r>
          </w:p>
        </w:tc>
      </w:tr>
      <w:tr>
        <w:trPr>
          <w:trHeight w:val="234"/>
        </w:trPr>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20" w:type="dxa"/>
            <w:vAlign w:val="bottom"/>
          </w:tcPr>
          <w:p>
            <w:pPr>
              <w:spacing w:after="0"/>
              <w:rPr>
                <w:sz w:val="20"/>
                <w:szCs w:val="20"/>
                <w:color w:val="auto"/>
              </w:rPr>
            </w:pPr>
          </w:p>
        </w:tc>
      </w:tr>
      <w:tr>
        <w:trPr>
          <w:trHeight w:val="655"/>
        </w:trPr>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58,003</w:t>
            </w:r>
          </w:p>
        </w:tc>
        <w:tc>
          <w:tcPr>
            <w:tcW w:w="22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62,049</w:t>
            </w:r>
          </w:p>
        </w:tc>
      </w:tr>
      <w:tr>
        <w:trPr>
          <w:trHeight w:val="20"/>
        </w:trPr>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4480" w:space="420"/>
            <w:col w:w="3840" w:space="420"/>
            <w:col w:w="1840"/>
          </w:cols>
          <w:pgMar w:left="440" w:top="270" w:right="45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LTV per Approved Submission by product for the Medicare segments for the three and nine months ended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2020 and 2019:</w:t>
      </w:r>
    </w:p>
    <w:p>
      <w:pPr>
        <w:sectPr>
          <w:pgSz w:w="11900" w:h="16838" w:orient="portrait"/>
          <w:cols w:equalWidth="0" w:num="1">
            <w:col w:w="11000"/>
          </w:cols>
          <w:pgMar w:left="440" w:top="270" w:right="459" w:bottom="1440" w:gutter="0" w:footer="0" w:header="0"/>
          <w:type w:val="continuous"/>
        </w:sect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117"/>
        </w:trPr>
        <w:tc>
          <w:tcPr>
            <w:tcW w:w="24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Three</w:t>
            </w:r>
          </w:p>
        </w:tc>
        <w:tc>
          <w:tcPr>
            <w:tcW w:w="76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Period from</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7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 13, 2019</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73"/>
        </w:trPr>
        <w:tc>
          <w:tcPr>
            <w:tcW w:w="2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Medicare Advantage</w:t>
            </w:r>
          </w:p>
        </w:tc>
        <w:tc>
          <w:tcPr>
            <w:tcW w:w="1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 30, 2020</w:t>
            </w: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 30, 2019</w:t>
            </w:r>
          </w:p>
        </w:tc>
        <w:tc>
          <w:tcPr>
            <w:tcW w:w="0" w:type="dxa"/>
            <w:vAlign w:val="bottom"/>
          </w:tcPr>
          <w:p>
            <w:pPr>
              <w:spacing w:after="0"/>
              <w:rPr>
                <w:sz w:val="1"/>
                <w:szCs w:val="1"/>
                <w:color w:val="auto"/>
              </w:rPr>
            </w:pPr>
          </w:p>
        </w:tc>
      </w:tr>
      <w:tr>
        <w:trPr>
          <w:trHeight w:val="191"/>
        </w:trPr>
        <w:tc>
          <w:tcPr>
            <w:tcW w:w="2420" w:type="dxa"/>
            <w:vAlign w:val="bottom"/>
            <w:vMerge w:val="continue"/>
          </w:tcPr>
          <w:p>
            <w:pPr>
              <w:spacing w:after="0"/>
              <w:rPr>
                <w:sz w:val="16"/>
                <w:szCs w:val="16"/>
                <w:color w:val="auto"/>
              </w:rPr>
            </w:pPr>
          </w:p>
        </w:tc>
        <w:tc>
          <w:tcPr>
            <w:tcW w:w="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987</w:t>
            </w:r>
          </w:p>
        </w:tc>
        <w:tc>
          <w:tcPr>
            <w:tcW w:w="280" w:type="dxa"/>
            <w:vAlign w:val="bottom"/>
          </w:tcPr>
          <w:p>
            <w:pPr>
              <w:spacing w:after="0"/>
              <w:rPr>
                <w:sz w:val="16"/>
                <w:szCs w:val="16"/>
                <w:color w:val="auto"/>
              </w:rPr>
            </w:pPr>
          </w:p>
        </w:tc>
        <w:tc>
          <w:tcPr>
            <w:tcW w:w="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Medicare Supplement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934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Prescription Drug Plans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40" w:type="dxa"/>
            <w:vAlign w:val="bottom"/>
          </w:tcPr>
          <w:p>
            <w:pPr>
              <w:spacing w:after="0"/>
              <w:rPr>
                <w:sz w:val="13"/>
                <w:szCs w:val="13"/>
                <w:color w:val="auto"/>
              </w:rPr>
            </w:pPr>
          </w:p>
        </w:tc>
        <w:tc>
          <w:tcPr>
            <w:tcW w:w="10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120" w:type="dxa"/>
            <w:vAlign w:val="bottom"/>
          </w:tcPr>
          <w:p>
            <w:pPr>
              <w:spacing w:after="0"/>
              <w:rPr>
                <w:sz w:val="13"/>
                <w:szCs w:val="13"/>
                <w:color w:val="auto"/>
              </w:rPr>
            </w:pPr>
          </w:p>
        </w:tc>
        <w:tc>
          <w:tcPr>
            <w:tcW w:w="1740" w:type="dxa"/>
            <w:vAlign w:val="bottom"/>
            <w:gridSpan w:val="6"/>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Successor</w:t>
            </w:r>
          </w:p>
        </w:tc>
        <w:tc>
          <w:tcPr>
            <w:tcW w:w="0" w:type="dxa"/>
            <w:vAlign w:val="bottom"/>
          </w:tcPr>
          <w:p>
            <w:pPr>
              <w:spacing w:after="0"/>
              <w:rPr>
                <w:sz w:val="1"/>
                <w:szCs w:val="1"/>
                <w:color w:val="auto"/>
              </w:rPr>
            </w:pPr>
          </w:p>
        </w:tc>
      </w:tr>
      <w:tr>
        <w:trPr>
          <w:trHeight w:val="173"/>
        </w:trPr>
        <w:tc>
          <w:tcPr>
            <w:tcW w:w="9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120" w:type="dxa"/>
            <w:vAlign w:val="bottom"/>
          </w:tcPr>
          <w:p>
            <w:pPr>
              <w:spacing w:after="0"/>
              <w:rPr>
                <w:sz w:val="15"/>
                <w:szCs w:val="15"/>
                <w:color w:val="auto"/>
              </w:rPr>
            </w:pPr>
          </w:p>
        </w:tc>
        <w:tc>
          <w:tcPr>
            <w:tcW w:w="174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6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Period from</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Three</w:t>
            </w:r>
          </w:p>
        </w:tc>
        <w:tc>
          <w:tcPr>
            <w:tcW w:w="3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Nine</w:t>
            </w: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Period from</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July 1, 2019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12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16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Sep 13, 2019</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2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73"/>
        </w:trPr>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 12, 2019</w:t>
            </w:r>
          </w:p>
        </w:tc>
        <w:tc>
          <w:tcPr>
            <w:tcW w:w="140" w:type="dxa"/>
            <w:vAlign w:val="bottom"/>
          </w:tcPr>
          <w:p>
            <w:pPr>
              <w:spacing w:after="0"/>
              <w:rPr>
                <w:sz w:val="15"/>
                <w:szCs w:val="15"/>
                <w:color w:val="auto"/>
              </w:rPr>
            </w:pPr>
          </w:p>
        </w:tc>
        <w:tc>
          <w:tcPr>
            <w:tcW w:w="10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Sep 30, 2019</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 30, 2020</w:t>
            </w:r>
          </w:p>
        </w:tc>
        <w:tc>
          <w:tcPr>
            <w:tcW w:w="160" w:type="dxa"/>
            <w:vAlign w:val="bottom"/>
          </w:tcPr>
          <w:p>
            <w:pPr>
              <w:spacing w:after="0"/>
              <w:rPr>
                <w:sz w:val="15"/>
                <w:szCs w:val="15"/>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 30, 2019</w:t>
            </w:r>
          </w:p>
        </w:tc>
        <w:tc>
          <w:tcPr>
            <w:tcW w:w="0" w:type="dxa"/>
            <w:vAlign w:val="bottom"/>
          </w:tcPr>
          <w:p>
            <w:pPr>
              <w:spacing w:after="0"/>
              <w:rPr>
                <w:sz w:val="1"/>
                <w:szCs w:val="1"/>
                <w:color w:val="auto"/>
              </w:rPr>
            </w:pPr>
          </w:p>
        </w:tc>
      </w:tr>
      <w:tr>
        <w:trPr>
          <w:trHeight w:val="191"/>
        </w:trPr>
        <w:tc>
          <w:tcPr>
            <w:tcW w:w="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922</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ind w:left="380"/>
              <w:spacing w:after="0" w:line="191" w:lineRule="exact"/>
              <w:rPr>
                <w:sz w:val="20"/>
                <w:szCs w:val="20"/>
                <w:color w:val="auto"/>
              </w:rPr>
            </w:pPr>
            <w:r>
              <w:rPr>
                <w:rFonts w:ascii="Times New Roman" w:cs="Times New Roman" w:eastAsia="Times New Roman" w:hAnsi="Times New Roman"/>
                <w:sz w:val="18"/>
                <w:szCs w:val="18"/>
                <w:color w:val="auto"/>
                <w:w w:val="88"/>
              </w:rPr>
              <w:t>939</w:t>
            </w:r>
          </w:p>
        </w:tc>
        <w:tc>
          <w:tcPr>
            <w:tcW w:w="300" w:type="dxa"/>
            <w:vAlign w:val="bottom"/>
          </w:tcPr>
          <w:p>
            <w:pPr>
              <w:spacing w:after="0"/>
              <w:rPr>
                <w:sz w:val="16"/>
                <w:szCs w:val="16"/>
                <w:color w:val="auto"/>
              </w:rPr>
            </w:pPr>
          </w:p>
        </w:tc>
        <w:tc>
          <w:tcPr>
            <w:tcW w:w="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913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867</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929</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951</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216</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-2986405</wp:posOffset>
            </wp:positionH>
            <wp:positionV relativeFrom="paragraph">
              <wp:posOffset>-993775</wp:posOffset>
            </wp:positionV>
            <wp:extent cx="6995160" cy="9944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9944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Predecessor</w:t>
            </w:r>
          </w:p>
        </w:tc>
        <w:tc>
          <w:tcPr>
            <w:tcW w:w="140" w:type="dxa"/>
            <w:vAlign w:val="bottom"/>
          </w:tcPr>
          <w:p>
            <w:pPr>
              <w:spacing w:after="0"/>
              <w:rPr>
                <w:sz w:val="13"/>
                <w:szCs w:val="13"/>
                <w:color w:val="auto"/>
              </w:rPr>
            </w:pPr>
          </w:p>
        </w:tc>
        <w:tc>
          <w:tcPr>
            <w:tcW w:w="8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73"/>
        </w:trPr>
        <w:tc>
          <w:tcPr>
            <w:tcW w:w="9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0" w:type="dxa"/>
            <w:vAlign w:val="bottom"/>
          </w:tcPr>
          <w:p>
            <w:pPr>
              <w:spacing w:after="0"/>
              <w:rPr>
                <w:sz w:val="1"/>
                <w:szCs w:val="1"/>
                <w:color w:val="auto"/>
              </w:rPr>
            </w:pPr>
          </w:p>
        </w:tc>
      </w:tr>
      <w:tr>
        <w:trPr>
          <w:trHeight w:val="117"/>
        </w:trPr>
        <w:tc>
          <w:tcPr>
            <w:tcW w:w="780" w:type="dxa"/>
            <w:vAlign w:val="bottom"/>
            <w:tcBorders>
              <w:top w:val="single" w:sz="8" w:color="auto"/>
            </w:tcBorders>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Period from</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Nine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Jan 1, 2019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73"/>
        </w:trPr>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 12, 2019</w:t>
            </w:r>
          </w:p>
        </w:tc>
        <w:tc>
          <w:tcPr>
            <w:tcW w:w="140" w:type="dxa"/>
            <w:vAlign w:val="bottom"/>
          </w:tcPr>
          <w:p>
            <w:pPr>
              <w:spacing w:after="0"/>
              <w:rPr>
                <w:sz w:val="15"/>
                <w:szCs w:val="15"/>
                <w:color w:val="auto"/>
              </w:rPr>
            </w:pPr>
          </w:p>
        </w:tc>
        <w:tc>
          <w:tcPr>
            <w:tcW w:w="8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 30, 2019</w:t>
            </w:r>
          </w:p>
        </w:tc>
        <w:tc>
          <w:tcPr>
            <w:tcW w:w="0" w:type="dxa"/>
            <w:vAlign w:val="bottom"/>
          </w:tcPr>
          <w:p>
            <w:pPr>
              <w:spacing w:after="0"/>
              <w:rPr>
                <w:sz w:val="1"/>
                <w:szCs w:val="1"/>
                <w:color w:val="auto"/>
              </w:rPr>
            </w:pPr>
          </w:p>
        </w:tc>
      </w:tr>
      <w:tr>
        <w:trPr>
          <w:trHeight w:val="191"/>
        </w:trPr>
        <w:tc>
          <w:tcPr>
            <w:tcW w:w="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888</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899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914</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3">
        <w:col w:w="4240" w:space="460"/>
        <w:col w:w="3960" w:space="460"/>
        <w:col w:w="1880"/>
      </w:cols>
      <w:pgMar w:left="440" w:top="270" w:right="4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lowerLetter"/>
      <w:start w:val="4"/>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bullet"/>
      <w:start w:val="1"/>
    </w:lvl>
  </w:abstractNum>
  <w:abstractNum w:abstractNumId="6">
    <w:nsid w:val="DED7263"/>
    <w:multiLevelType w:val="hybridMultilevel"/>
    <w:lvl w:ilvl="0">
      <w:lvlJc w:val="left"/>
      <w:lvlText w:val="2"/>
      <w:numFmt w:val="bullet"/>
      <w:start w:val="1"/>
    </w:lvl>
  </w:abstractNum>
  <w:abstractNum w:abstractNumId="7">
    <w:nsid w:val="7FDCC233"/>
    <w:multiLevelType w:val="hybridMultilevel"/>
    <w:lvl w:ilvl="0">
      <w:lvlJc w:val="left"/>
      <w:lvlText w:val="3"/>
      <w:numFmt w:val="bullet"/>
      <w:start w:val="1"/>
    </w:lvl>
  </w:abstractNum>
  <w:abstractNum w:abstractNumId="8">
    <w:nsid w:val="1BEFD79F"/>
    <w:multiLevelType w:val="hybridMultilevel"/>
    <w:lvl w:ilvl="0">
      <w:lvlJc w:val="left"/>
      <w:lvlText w:val="4"/>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decimal"/>
      <w:start w:val="140"/>
    </w:lvl>
    <w:lvl w:ilvl="1">
      <w:lvlJc w:val="left"/>
      <w:lvlText w:val="(%2)"/>
      <w:numFmt w:val="decimal"/>
      <w:start w:val="66"/>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2020-11-12T06:03:45Z</dcterms:created>
  <dcterms:modified xsi:type="dcterms:W3CDTF">2020-11-12T06:03:45Z</dcterms:modified>
</cp:coreProperties>
</file>