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964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964045"/>
                    </a:xfrm>
                    <a:prstGeom prst="rect">
                      <a:avLst/>
                    </a:prstGeom>
                    <a:noFill/>
                  </pic:spPr>
                </pic:pic>
              </a:graphicData>
            </a:graphic>
          </wp:anchor>
        </w:drawing>
      </w:r>
    </w:p>
    <w:p>
      <w:pPr>
        <w:spacing w:after="0" w:line="113" w:lineRule="exact"/>
        <w:rPr>
          <w:sz w:val="24"/>
          <w:szCs w:val="24"/>
          <w:color w:val="auto"/>
        </w:rPr>
      </w:pPr>
    </w:p>
    <w:p>
      <w:pPr>
        <w:sectPr>
          <w:pgSz w:w="11900" w:h="16936"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CB Blizzard Holdings C,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936"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936"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12/05/2022</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3,872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11.8479</w:t>
            </w:r>
            <w:r>
              <w:rPr>
                <w:rFonts w:ascii="Times New Roman" w:cs="Times New Roman" w:eastAsia="Times New Roman" w:hAnsi="Times New Roman"/>
                <w:sz w:val="22"/>
                <w:szCs w:val="22"/>
                <w:color w:val="008000"/>
                <w:w w:val="95"/>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3,882,490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12/05/2022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13,754</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12.1856</w:t>
            </w:r>
            <w:r>
              <w:rPr>
                <w:rFonts w:ascii="Times New Roman" w:cs="Times New Roman" w:eastAsia="Times New Roman" w:hAnsi="Times New Roman"/>
                <w:sz w:val="22"/>
                <w:szCs w:val="22"/>
                <w:color w:val="008000"/>
                <w:w w:val="97"/>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3,896,244</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12/06/2022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8,547</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11.3174</w:t>
            </w:r>
            <w:r>
              <w:rPr>
                <w:rFonts w:ascii="Times New Roman" w:cs="Times New Roman" w:eastAsia="Times New Roman" w:hAnsi="Times New Roman"/>
                <w:sz w:val="22"/>
                <w:szCs w:val="22"/>
                <w:color w:val="008000"/>
                <w:w w:val="95"/>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3,904,791</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12/07/2022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10,740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11.6532</w:t>
            </w:r>
            <w:r>
              <w:rPr>
                <w:rFonts w:ascii="Times New Roman" w:cs="Times New Roman" w:eastAsia="Times New Roman" w:hAnsi="Times New Roman"/>
                <w:sz w:val="22"/>
                <w:szCs w:val="22"/>
                <w:color w:val="008000"/>
                <w:w w:val="95"/>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3,915,531</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12/07/2022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20,515</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12.4143</w:t>
            </w:r>
            <w:r>
              <w:rPr>
                <w:rFonts w:ascii="Times New Roman" w:cs="Times New Roman" w:eastAsia="Times New Roman" w:hAnsi="Times New Roman"/>
                <w:sz w:val="22"/>
                <w:szCs w:val="22"/>
                <w:color w:val="008000"/>
                <w:w w:val="97"/>
                <w:vertAlign w:val="superscript"/>
              </w:rPr>
              <w:t>(8)</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3,936,046</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12/07/2022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49,416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13.5112</w:t>
            </w:r>
            <w:r>
              <w:rPr>
                <w:rFonts w:ascii="Times New Roman" w:cs="Times New Roman" w:eastAsia="Times New Roman" w:hAnsi="Times New Roman"/>
                <w:sz w:val="22"/>
                <w:szCs w:val="22"/>
                <w:color w:val="008000"/>
                <w:w w:val="95"/>
                <w:vertAlign w:val="superscript"/>
              </w:rPr>
              <w:t>(9)</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3,985,462</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12/07/2022</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2,988</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3,988,450</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0" w:type="dxa"/>
            <w:vAlign w:val="bottom"/>
            <w:gridSpan w:val="11"/>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$11.75 to $11.97.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1,276,253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$12.00 to $12.44.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$11.07 to $11.56.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$11.36 to $11.99. The reporting person undertakes to provide the Issuer, any security holder of the Issuer, or the staff of the Securities and Exchange Commission, upon request, full information regarding the number of shares purchased at each separate price within</w:t>
      </w:r>
    </w:p>
    <w:p>
      <w:pPr>
        <w:sectPr>
          <w:pgSz w:w="11900" w:h="16936"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range set forth in this footnote.</w:t>
      </w:r>
    </w:p>
    <w:p>
      <w:pPr>
        <w:spacing w:after="0" w:line="50" w:lineRule="exact"/>
        <w:rPr>
          <w:sz w:val="20"/>
          <w:szCs w:val="20"/>
          <w:color w:val="auto"/>
        </w:rPr>
      </w:pPr>
    </w:p>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$12.00 to $12.99.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$13.00 to $13.99.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008000"/>
        </w:rPr>
        <w:t>Due to the limitations of the electronic filing system, each of CCP III Cayman GP Ltd., Centerbridge Associates III, L.P., CCP III AIV VII Holdings, L.P., CB Blizzard Co-Invest Holdings, L.P., Blizzard Aggregator, LLC, Jeffrey H. Aronson, CB Blizzard Lower Holdings GP A, LLC, CB Blizzard Lower Holdings A, L.P., CB Blizzard Lower Holdings GP B, LLC and CB Blizzard Lower Holdings B, L.P. are filing on a separate Form 4.</w:t>
      </w:r>
    </w:p>
    <w:p>
      <w:pPr>
        <w:sectPr>
          <w:pgSz w:w="11900" w:h="16838" w:orient="portrait"/>
          <w:cols w:equalWidth="0" w:num="1">
            <w:col w:w="10840"/>
          </w:cols>
          <w:pgMar w:left="500" w:top="127" w:right="55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 L.P.,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8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00"/>
          </w:cols>
          <w:pgMar w:left="500" w:top="127"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953976"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2022-12-07T18:43:27Z</dcterms:created>
  <dcterms:modified xsi:type="dcterms:W3CDTF">2022-12-07T18:43:27Z</dcterms:modified>
</cp:coreProperties>
</file>