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As filed with the Securities and Exchange Commission on July 21, 2026</w:t>
      </w:r>
    </w:p>
    <w:tbl>
      <w:tblPr>
        <w:tblW w:w="2595" w:type="dxa"/>
        <w:jc w:val="left"/>
        <w:tblInd w:w="0" w:type="dxa"/>
        <w:tblLayout w:type="fixed"/>
        <w:tblCellMar>
          <w:top w:w="28" w:type="dxa"/>
          <w:left w:w="28" w:type="dxa"/>
          <w:bottom w:w="28" w:type="dxa"/>
          <w:right w:w="28" w:type="dxa"/>
        </w:tblCellMar>
      </w:tblPr>
      <w:tblGrid>
        <w:gridCol w:w="830"/>
        <w:gridCol w:w="730"/>
        <w:gridCol w:w="1035"/>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bottom w:val="double" w:sz="10" w:space="0" w:color="000000"/>
            </w:tcBorders>
            <w:tcMar>
              <w:top w:w="0" w:type="dxa"/>
              <w:left w:w="0" w:type="dxa"/>
              <w:bottom w:w="30" w:type="dxa"/>
              <w:right w:w="0" w:type="dxa"/>
            </w:tcMar>
            <w:vAlign w:val="center"/>
          </w:tcPr>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333-239879</w:t>
            </w:r>
          </w:p>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333-252962</w:t>
            </w:r>
          </w:p>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333-261770</w:t>
            </w:r>
          </w:p>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333-263787</w:t>
            </w:r>
          </w:p>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333-265442</w:t>
            </w:r>
          </w:p>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333-269223</w:t>
            </w:r>
          </w:p>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333-278112</w:t>
            </w:r>
          </w:p>
          <w:p>
            <w:pPr>
              <w:pStyle w:val="TableContents"/>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Registration No. 333-285605</w:t>
            </w:r>
          </w:p>
          <w:p>
            <w:pPr>
              <w:pStyle w:val="TableContents"/>
              <w:bidi w:val="0"/>
              <w:spacing w:lineRule="auto" w:line="288" w:before="0" w:after="240"/>
              <w:jc w:val="right"/>
              <w:rPr>
                <w:rFonts w:ascii="Times New Roman;serif" w:hAnsi="Times New Roman;serif"/>
                <w:b/>
                <w:color w:val="000000"/>
                <w:sz w:val="20"/>
              </w:rPr>
            </w:pPr>
            <w:r>
              <w:rPr>
                <w:rFonts w:ascii="Times New Roman;serif" w:hAnsi="Times New Roman;serif"/>
                <w:b/>
                <w:color w:val="000000"/>
                <w:sz w:val="20"/>
              </w:rPr>
              <w:t>Registration No. 333-288761</w:t>
            </w:r>
          </w:p>
        </w:tc>
      </w:tr>
    </w:tbl>
    <w:p>
      <w:pPr>
        <w:pStyle w:val="TextBody"/>
        <w:bidi w:val="0"/>
        <w:spacing w:lineRule="auto" w:line="288" w:before="0" w:after="120"/>
        <w:jc w:val="center"/>
        <w:rPr/>
      </w:pPr>
      <w:r>
        <w:rPr>
          <w:rFonts w:ascii="Times New Roman;serif" w:hAnsi="Times New Roman;serif"/>
          <w:b/>
          <w:color w:val="000000"/>
          <w:sz w:val="24"/>
        </w:rPr>
        <w:t>UNITED STATES</w:t>
        <w:br/>
        <w:t>SECURITIES AND EXCHANGE COMMISSION</w:t>
      </w:r>
      <w:r>
        <w:rPr>
          <w:rFonts w:ascii="Times New Roman;serif" w:hAnsi="Times New Roman;serif"/>
          <w:b/>
          <w:color w:val="000000"/>
          <w:sz w:val="20"/>
        </w:rPr>
        <w:b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333-239879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333-252962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333-261770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333-263787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333-265442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333-269223</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333-278112</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333-285605</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POST-EFFECTIVE AMENDMENT NO. 1 TO</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FORM S-8 REGISTRATION STATEMENT NO. 333-288761</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UNDER</w:t>
        <w:br/>
        <w:t>THE SECURITIES ACT OF 1933</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pPr>
      <w:r>
        <w:rPr>
          <w:rFonts w:ascii="Times New Roman;serif" w:hAnsi="Times New Roman;serif"/>
          <w:b/>
          <w:color w:val="000000"/>
          <w:sz w:val="40"/>
        </w:rPr>
        <w:t>GoHealth, Inc.</w:t>
      </w:r>
      <w:r>
        <w:rPr>
          <w:rFonts w:ascii="Times New Roman;serif" w:hAnsi="Times New Roman;serif"/>
          <w:b/>
          <w:color w:val="000000"/>
          <w:sz w:val="24"/>
        </w:rPr>
        <w:br/>
      </w:r>
      <w:r>
        <w:rPr>
          <w:rFonts w:ascii="Times New Roman;serif" w:hAnsi="Times New Roman;serif"/>
          <w:b/>
          <w:color w:val="000000"/>
          <w:sz w:val="20"/>
        </w:rPr>
        <w:t>(New GoHealth, LLC, as successor by conversion to GoHealth,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(Exact name of registrant as specified in its charter) </w:t>
      </w:r>
    </w:p>
    <w:p>
      <w:pPr>
        <w:pStyle w:val="TextBody"/>
        <w:bidi w:val="0"/>
        <w:spacing w:before="0" w:after="0"/>
        <w:jc w:val="center"/>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362" w:type="dxa"/>
        <w:jc w:val="left"/>
        <w:tblInd w:w="0" w:type="dxa"/>
        <w:tblLayout w:type="fixed"/>
        <w:tblCellMar>
          <w:top w:w="28" w:type="dxa"/>
          <w:left w:w="28" w:type="dxa"/>
          <w:bottom w:w="28" w:type="dxa"/>
          <w:right w:w="28" w:type="dxa"/>
        </w:tblCellMar>
      </w:tblPr>
      <w:tblGrid>
        <w:gridCol w:w="1560"/>
        <w:gridCol w:w="1370"/>
        <w:gridCol w:w="1390"/>
        <w:gridCol w:w="109"/>
        <w:gridCol w:w="109"/>
        <w:gridCol w:w="109"/>
        <w:gridCol w:w="793"/>
        <w:gridCol w:w="793"/>
        <w:gridCol w:w="1129"/>
      </w:tblGrid>
      <w:tr>
        <w:trPr/>
        <w:tc>
          <w:tcPr>
            <w:tcW w:w="15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320"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85-0563805</w:t>
            </w:r>
          </w:p>
        </w:tc>
      </w:tr>
      <w:tr>
        <w:trPr/>
        <w:tc>
          <w:tcPr>
            <w:tcW w:w="43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5051" w:type="dxa"/>
        <w:jc w:val="left"/>
        <w:tblInd w:w="0" w:type="dxa"/>
        <w:tblLayout w:type="fixed"/>
        <w:tblCellMar>
          <w:top w:w="28" w:type="dxa"/>
          <w:left w:w="28" w:type="dxa"/>
          <w:bottom w:w="28" w:type="dxa"/>
          <w:right w:w="28" w:type="dxa"/>
        </w:tblCellMar>
      </w:tblPr>
      <w:tblGrid>
        <w:gridCol w:w="1373"/>
        <w:gridCol w:w="1208"/>
        <w:gridCol w:w="1214"/>
        <w:gridCol w:w="109"/>
        <w:gridCol w:w="109"/>
        <w:gridCol w:w="109"/>
        <w:gridCol w:w="272"/>
        <w:gridCol w:w="272"/>
        <w:gridCol w:w="385"/>
      </w:tblGrid>
      <w:tr>
        <w:trPr/>
        <w:tc>
          <w:tcPr>
            <w:tcW w:w="1373"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379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W Merchandise Mart Plaza, Suite 1750</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Chicago, IL 60654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color w:val="000000"/>
                <w:sz w:val="20"/>
              </w:rPr>
            </w:pPr>
            <w:r>
              <w:rPr>
                <w:rFonts w:ascii="Times New Roman;serif" w:hAnsi="Times New Roman;serif"/>
                <w:b/>
                <w:color w:val="000000"/>
                <w:sz w:val="20"/>
              </w:rPr>
              <w:t>60654</w:t>
            </w:r>
          </w:p>
        </w:tc>
      </w:tr>
      <w:tr>
        <w:trPr/>
        <w:tc>
          <w:tcPr>
            <w:tcW w:w="379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40"/>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p>
      <w:pPr>
        <w:pStyle w:val="TextBody"/>
        <w:bidi w:val="0"/>
        <w:spacing w:before="0" w:after="0"/>
        <w:jc w:val="center"/>
        <w:rPr/>
      </w:pPr>
      <w:r>
        <w:rPr/>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GOHEALTH, INC. 2020 EMPLOYEE STOCK PURCHASE PLAN</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GOHEALTH, INC. 2021 INDUCEMENT AWARD PLAN</w:t>
      </w:r>
    </w:p>
    <w:p>
      <w:pPr>
        <w:pStyle w:val="TextBody"/>
        <w:bidi w:val="0"/>
        <w:spacing w:lineRule="auto" w:line="276" w:before="0" w:after="0"/>
        <w:jc w:val="center"/>
        <w:rPr>
          <w:rFonts w:ascii="Times New Roman;serif" w:hAnsi="Times New Roman;serif"/>
          <w:b/>
          <w:color w:val="000000"/>
          <w:sz w:val="16"/>
        </w:rPr>
      </w:pPr>
      <w:r>
        <w:rPr>
          <w:rFonts w:ascii="Times New Roman;serif" w:hAnsi="Times New Roman;serif"/>
          <w:b/>
          <w:color w:val="000000"/>
          <w:sz w:val="16"/>
        </w:rPr>
        <w:t>GOHEALTH, INC. SECOND AMENDED AND RESTATED 2020 INCENTIVE AWARD PLAN (AND PRIOR VERSIONS THERETO)</w:t>
      </w:r>
    </w:p>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16"/>
        </w:rPr>
      </w:pPr>
      <w:r>
        <w:rPr>
          <w:rFonts w:ascii="Times New Roman;serif" w:hAnsi="Times New Roman;serif"/>
          <w:b w:val="false"/>
          <w:color w:val="000000"/>
          <w:sz w:val="16"/>
        </w:rPr>
        <w:t>(Full title of the plan)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Bradley Burd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Chief Legal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222 W Merchandise Mart Plaza, Suite 1750</w:t>
      </w:r>
    </w:p>
    <w:p>
      <w:pPr>
        <w:pStyle w:val="TextBody"/>
        <w:bidi w:val="0"/>
        <w:spacing w:lineRule="auto" w:line="288" w:before="0" w:after="0"/>
        <w:jc w:val="center"/>
        <w:rPr/>
      </w:pPr>
      <w:r>
        <w:rPr>
          <w:rFonts w:ascii="Times New Roman;serif" w:hAnsi="Times New Roman;serif"/>
          <w:b/>
          <w:color w:val="000000"/>
          <w:sz w:val="20"/>
        </w:rPr>
        <w:t>Chicago, IL 60654</w:t>
        <w:br/>
      </w:r>
      <w:r>
        <w:rPr>
          <w:rFonts w:ascii="Times New Roman;serif" w:hAnsi="Times New Roman;serif"/>
          <w:b w:val="false"/>
          <w:color w:val="000000"/>
          <w:sz w:val="18"/>
        </w:rPr>
        <w:t>(Name and address of agent for service)</w:t>
      </w:r>
    </w:p>
    <w:p>
      <w:pPr>
        <w:pStyle w:val="TextBody"/>
        <w:bidi w:val="0"/>
        <w:spacing w:before="0" w:after="0"/>
        <w:jc w:val="center"/>
        <w:rPr/>
      </w:pPr>
      <w:r>
        <w:rPr/>
      </w:r>
    </w:p>
    <w:p>
      <w:pPr>
        <w:pStyle w:val="TextBody"/>
        <w:bidi w:val="0"/>
        <w:spacing w:lineRule="auto" w:line="288" w:before="0" w:after="120"/>
        <w:jc w:val="center"/>
        <w:rPr/>
      </w:pPr>
      <w:r>
        <w:rPr>
          <w:rFonts w:ascii="Times New Roman;serif" w:hAnsi="Times New Roman;serif"/>
          <w:b/>
          <w:color w:val="000000"/>
          <w:sz w:val="20"/>
        </w:rPr>
        <w:t xml:space="preserve">(312) 386-8200 </w:t>
        <w:br/>
      </w:r>
      <w:r>
        <w:rPr>
          <w:rFonts w:ascii="Times New Roman;serif" w:hAnsi="Times New Roman;serif"/>
          <w:b w:val="false"/>
          <w:color w:val="000000"/>
          <w:sz w:val="18"/>
        </w:rPr>
        <w:t>(Telephone number, including area code, of agent for service)</w:t>
      </w:r>
    </w:p>
    <w:p>
      <w:pPr>
        <w:pStyle w:val="TextBody"/>
        <w:bidi w:val="0"/>
        <w:spacing w:lineRule="auto" w:line="288" w:before="0" w:after="120"/>
        <w:jc w:val="center"/>
        <w:rPr>
          <w:rFonts w:ascii="Times New Roman;serif" w:hAnsi="Times New Roman;serif"/>
          <w:b/>
          <w:i/>
          <w:color w:val="000000"/>
          <w:sz w:val="20"/>
        </w:rPr>
      </w:pPr>
      <w:r>
        <w:rPr>
          <w:rFonts w:ascii="Times New Roman;serif" w:hAnsi="Times New Roman;serif"/>
          <w:b/>
          <w:i/>
          <w:color w:val="000000"/>
          <w:sz w:val="20"/>
        </w:rPr>
        <w:t>Copy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Sharon Freiman, P.C.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Kirkland &amp; Ellis LLP</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601 Lexington Avenue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New York, NY 10022</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 xml:space="preserve">(212) 446-4800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0" w:after="240"/>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40"/>
              <w:jc w:val="left"/>
              <w:rPr>
                <w:color w:val="000000"/>
              </w:rPr>
            </w:pPr>
            <w:r>
              <w:rPr>
                <w:color w:val="000000"/>
              </w:rPr>
              <w:t>☐</w:t>
            </w:r>
          </w:p>
        </w:tc>
      </w:tr>
    </w:tbl>
    <w:p>
      <w:pPr>
        <w:pStyle w:val="TextBody"/>
        <w:bidi w:val="0"/>
        <w:spacing w:lineRule="auto" w:line="288" w:before="0" w:after="120"/>
        <w:ind w:left="0" w:right="0" w:firstLine="7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color w:val="000000"/>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10"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DEREGISTRATION OF SECURITIES</w:t>
      </w:r>
    </w:p>
    <w:p>
      <w:pPr>
        <w:pStyle w:val="TextBody"/>
        <w:bidi w:val="0"/>
        <w:spacing w:lineRule="auto" w:line="288" w:before="0" w:after="240"/>
        <w:ind w:left="0" w:right="0" w:firstLine="720"/>
        <w:jc w:val="left"/>
        <w:rPr/>
      </w:pPr>
      <w:r>
        <w:rPr>
          <w:rFonts w:ascii="Times New Roman;serif" w:hAnsi="Times New Roman;serif"/>
          <w:b w:val="false"/>
          <w:color w:val="000000"/>
          <w:sz w:val="20"/>
        </w:rPr>
        <w:t>These post-effective amendments (the “</w:t>
      </w:r>
      <w:r>
        <w:rPr>
          <w:rFonts w:ascii="Times New Roman;serif" w:hAnsi="Times New Roman;serif"/>
          <w:b w:val="false"/>
          <w:color w:val="000000"/>
          <w:sz w:val="20"/>
          <w:u w:val="single"/>
        </w:rPr>
        <w:t>Post-Effective Amendments</w:t>
      </w:r>
      <w:r>
        <w:rPr>
          <w:color w:val="000000"/>
        </w:rPr>
        <w:t>”</w:t>
      </w:r>
      <w:r>
        <w:rPr>
          <w:rFonts w:ascii="Times New Roman;serif" w:hAnsi="Times New Roman;serif"/>
          <w:b w:val="false"/>
          <w:color w:val="000000"/>
          <w:sz w:val="20"/>
        </w:rPr>
        <w:t>) are being filed by New GoHealth, LLC, a Delaware limited liability company (as successor by conversion to GoHealth, Inc.) (the “</w:t>
      </w:r>
      <w:r>
        <w:rPr>
          <w:rFonts w:ascii="Times New Roman;serif" w:hAnsi="Times New Roman;serif"/>
          <w:b w:val="false"/>
          <w:color w:val="000000"/>
          <w:sz w:val="20"/>
          <w:u w:val="single"/>
        </w:rPr>
        <w:t>Company</w:t>
      </w:r>
      <w:r>
        <w:rPr>
          <w:color w:val="000000"/>
        </w:rPr>
        <w:t>”</w:t>
      </w:r>
      <w:r>
        <w:rPr>
          <w:rFonts w:ascii="Times New Roman;serif" w:hAnsi="Times New Roman;serif"/>
          <w:b w:val="false"/>
          <w:color w:val="000000"/>
          <w:sz w:val="20"/>
        </w:rPr>
        <w:t>), to deregister any and all securities registered but unsold or otherwise unissued as of the date hereof, and to terminate all offerings, under the following Registration Statements on Form S-8 (the “</w:t>
      </w:r>
      <w:r>
        <w:rPr>
          <w:rFonts w:ascii="Times New Roman;serif" w:hAnsi="Times New Roman;serif"/>
          <w:b w:val="false"/>
          <w:color w:val="000000"/>
          <w:sz w:val="20"/>
          <w:u w:val="single"/>
        </w:rPr>
        <w:t>Registration Statements</w:t>
      </w:r>
      <w:r>
        <w:rPr>
          <w:color w:val="000000"/>
        </w:rPr>
        <w:t>”</w:t>
      </w:r>
      <w:r>
        <w:rPr>
          <w:rFonts w:ascii="Times New Roman;serif" w:hAnsi="Times New Roman;serif"/>
          <w:b w:val="false"/>
          <w:color w:val="000000"/>
          <w:sz w:val="20"/>
        </w:rPr>
        <w:t>) filed by the Company with the U.S. Securities and Exchange Commission (the “</w:t>
      </w:r>
      <w:r>
        <w:rPr>
          <w:rFonts w:ascii="Times New Roman;serif" w:hAnsi="Times New Roman;serif"/>
          <w:b w:val="false"/>
          <w:color w:val="000000"/>
          <w:sz w:val="20"/>
          <w:u w:val="single"/>
        </w:rPr>
        <w:t>SEC</w:t>
      </w:r>
      <w:r>
        <w:rPr>
          <w:color w:val="000000"/>
        </w:rPr>
        <w:t>”</w:t>
      </w:r>
      <w:r>
        <w:rPr>
          <w:rFonts w:ascii="Times New Roman;serif" w:hAnsi="Times New Roman;serif"/>
          <w:b w:val="false"/>
          <w:color w:val="000000"/>
          <w:sz w:val="20"/>
        </w:rPr>
        <w:t>), each as amended or supplemented to date:</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2">
        <w:r>
          <w:rPr>
            <w:rStyle w:val="InternetLink"/>
            <w:rFonts w:ascii="Times New Roman;serif" w:hAnsi="Times New Roman;serif"/>
            <w:b w:val="false"/>
            <w:color w:val="0000FF"/>
            <w:sz w:val="20"/>
            <w:u w:val="single"/>
          </w:rPr>
          <w:t>Form S-8 (No. 333-239879)</w:t>
        </w:r>
      </w:hyperlink>
      <w:r>
        <w:rPr>
          <w:rFonts w:ascii="Times New Roman;serif" w:hAnsi="Times New Roman;serif"/>
          <w:b w:val="false"/>
          <w:color w:val="000000"/>
          <w:sz w:val="20"/>
        </w:rPr>
        <w:t>, originally filed with the SEC on July 15, 2020, registering 6,465,359 shares of Class A Common Stock, par value $0.0001 per share, of the Company (“</w:t>
      </w:r>
      <w:r>
        <w:rPr>
          <w:rFonts w:ascii="Times New Roman;serif" w:hAnsi="Times New Roman;serif"/>
          <w:b w:val="false"/>
          <w:color w:val="000000"/>
          <w:sz w:val="20"/>
          <w:u w:val="single"/>
        </w:rPr>
        <w:t>Class A Common Stock</w:t>
      </w:r>
      <w:r>
        <w:rPr>
          <w:color w:val="000000"/>
        </w:rPr>
        <w:t>”</w:t>
      </w:r>
      <w:r>
        <w:rPr>
          <w:rFonts w:ascii="Times New Roman;serif" w:hAnsi="Times New Roman;serif"/>
          <w:b w:val="false"/>
          <w:color w:val="000000"/>
          <w:sz w:val="20"/>
        </w:rPr>
        <w:t>) under the Company’s 2020 Incentive Award Plan, and 808,170 shares of Class A Common Stock under the Company’s 2020 Employee Stock Purchase Plan;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3">
        <w:r>
          <w:rPr>
            <w:rStyle w:val="InternetLink"/>
            <w:rFonts w:ascii="Times New Roman;serif" w:hAnsi="Times New Roman;serif"/>
            <w:b w:val="false"/>
            <w:color w:val="0000FF"/>
            <w:sz w:val="20"/>
            <w:u w:val="single"/>
          </w:rPr>
          <w:t>Form S-8 (No. 333-252962)</w:t>
        </w:r>
      </w:hyperlink>
      <w:r>
        <w:rPr>
          <w:rFonts w:ascii="Times New Roman;serif" w:hAnsi="Times New Roman;serif"/>
          <w:b w:val="false"/>
          <w:color w:val="000000"/>
          <w:sz w:val="20"/>
        </w:rPr>
        <w:t>, originally filed with the SEC on February 10, 2021, registering 4,209,773 shares of Class A Common Stock under the Company’s 2020 Incentive Award Plan, and 841,955 shares of Class A Common Stock under the Company’s 2020 Employee Stock Purchase Plan;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4">
        <w:r>
          <w:rPr>
            <w:rStyle w:val="InternetLink"/>
            <w:rFonts w:ascii="Times New Roman;serif" w:hAnsi="Times New Roman;serif"/>
            <w:b w:val="false"/>
            <w:color w:val="0000FF"/>
            <w:sz w:val="20"/>
            <w:u w:val="single"/>
          </w:rPr>
          <w:t>Form S-8 (No. 333-261770)</w:t>
        </w:r>
      </w:hyperlink>
      <w:r>
        <w:rPr>
          <w:rFonts w:ascii="Times New Roman;serif" w:hAnsi="Times New Roman;serif"/>
          <w:b w:val="false"/>
          <w:color w:val="000000"/>
          <w:sz w:val="20"/>
        </w:rPr>
        <w:t>, originally filed with the SEC on December 20, 2021, registering 4,000,000 shares of Class A Common Stock under the Company’s 2021 Inducement Award Plan;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5">
        <w:r>
          <w:rPr>
            <w:rStyle w:val="InternetLink"/>
            <w:rFonts w:ascii="Times New Roman;serif" w:hAnsi="Times New Roman;serif"/>
            <w:b w:val="false"/>
            <w:color w:val="0000FF"/>
            <w:sz w:val="20"/>
            <w:u w:val="single"/>
          </w:rPr>
          <w:t>Form S-8 (No. 333-263787)</w:t>
        </w:r>
      </w:hyperlink>
      <w:r>
        <w:rPr>
          <w:rFonts w:ascii="Times New Roman;serif" w:hAnsi="Times New Roman;serif"/>
          <w:b w:val="false"/>
          <w:color w:val="000000"/>
          <w:sz w:val="20"/>
        </w:rPr>
        <w:t>, originally filed with the SEC on March 23, 2022, registering 5,774,506 shares of Class A Common Stock under the Company’s 2020 Incentive Award Plan, and 1,154,901 shares of Class A Common Stock under the Company’s 2020 Employee Stock Purchase Plan;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6">
        <w:r>
          <w:rPr>
            <w:rStyle w:val="InternetLink"/>
            <w:rFonts w:ascii="Times New Roman;serif" w:hAnsi="Times New Roman;serif"/>
            <w:b w:val="false"/>
            <w:color w:val="0000FF"/>
            <w:sz w:val="20"/>
            <w:u w:val="single"/>
          </w:rPr>
          <w:t>Form S-8 (No. 333-265442)</w:t>
        </w:r>
      </w:hyperlink>
      <w:r>
        <w:rPr>
          <w:rFonts w:ascii="Times New Roman;serif" w:hAnsi="Times New Roman;serif"/>
          <w:b w:val="false"/>
          <w:color w:val="000000"/>
          <w:sz w:val="20"/>
        </w:rPr>
        <w:t>, originally filed with the SEC on June 6, 2022 registering 10,267,608 shares of Class A Common Stock under the Company’s 2020 Incentive Award Plan, and 21,000,000 shares of Class A Common Stock under Company’s 2021 Inducement Award Plan;</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7">
        <w:r>
          <w:rPr>
            <w:rStyle w:val="InternetLink"/>
            <w:rFonts w:ascii="Times New Roman;serif" w:hAnsi="Times New Roman;serif"/>
            <w:b w:val="false"/>
            <w:color w:val="0000FF"/>
            <w:sz w:val="20"/>
            <w:u w:val="single"/>
          </w:rPr>
          <w:t>Form S-8 (No. 333-269223)</w:t>
        </w:r>
      </w:hyperlink>
      <w:r>
        <w:rPr>
          <w:rFonts w:ascii="Times New Roman;serif" w:hAnsi="Times New Roman;serif"/>
          <w:b w:val="false"/>
          <w:color w:val="000000"/>
          <w:sz w:val="20"/>
        </w:rPr>
        <w:t xml:space="preserve">, originally filed with the SEC on January 13, 2023 registering 1,099,888 shares of Class A Common Stock under the Company’s Amended and Restated 2020 Incentive Award Plan, and 89,498 shares of Class A Common Stock under the Company’s 2020 Employee Stock Purchase Plan; </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8">
        <w:r>
          <w:rPr>
            <w:rStyle w:val="InternetLink"/>
            <w:rFonts w:ascii="Times New Roman;serif" w:hAnsi="Times New Roman;serif"/>
            <w:b w:val="false"/>
            <w:color w:val="0000FF"/>
            <w:sz w:val="20"/>
            <w:u w:val="single"/>
          </w:rPr>
          <w:t>Form S-8 (No. 333-278112)</w:t>
        </w:r>
      </w:hyperlink>
      <w:r>
        <w:rPr>
          <w:rFonts w:ascii="Times New Roman;serif" w:hAnsi="Times New Roman;serif"/>
          <w:b w:val="false"/>
          <w:color w:val="000000"/>
          <w:sz w:val="20"/>
        </w:rPr>
        <w:t xml:space="preserve">, originally filed with the SEC on March 20, 2024, registering 1,123,218 shares of Class A Common Stock under the Company’s Amended and Restated 2020 Incentive Award Plan, and 96,508 shares of Class A Common Stock under the Company’s 2020 Employee Stock Purchase Plan; </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9">
        <w:r>
          <w:rPr>
            <w:rStyle w:val="InternetLink"/>
            <w:rFonts w:ascii="Times New Roman;serif" w:hAnsi="Times New Roman;serif"/>
            <w:b w:val="false"/>
            <w:color w:val="0000FF"/>
            <w:sz w:val="20"/>
            <w:u w:val="single"/>
          </w:rPr>
          <w:t>Form S-8 (No. 333-285605)</w:t>
        </w:r>
      </w:hyperlink>
      <w:r>
        <w:rPr>
          <w:rFonts w:ascii="Times New Roman;serif" w:hAnsi="Times New Roman;serif"/>
          <w:b w:val="false"/>
          <w:color w:val="000000"/>
          <w:sz w:val="20"/>
        </w:rPr>
        <w:t>, originally filed with the SEC on March 6, 2025, registering 1,150,198 shares of Class A Common Stock under the Company’s Amended and Restated 2020 Incentive Award Plan, and 102,931 shares of Class A Common Stock under the Company’s 2020 Employee Stock Purchase Plan; and</w:t>
      </w:r>
    </w:p>
    <w:p>
      <w:pPr>
        <w:pStyle w:val="TextBody"/>
        <w:bidi w:val="0"/>
        <w:spacing w:lineRule="auto" w:line="240" w:before="0" w:after="240"/>
        <w:ind w:left="0" w:right="0" w:hanging="720"/>
        <w:jc w:val="left"/>
        <w:rPr/>
      </w:pPr>
      <w:r>
        <w:rPr>
          <w:color w:val="000000"/>
        </w:rPr>
        <w:t>•</w:t>
      </w:r>
      <w:r>
        <w:rPr>
          <w:rFonts w:ascii="Times New Roman;serif" w:hAnsi="Times New Roman;serif"/>
          <w:b w:val="false"/>
          <w:color w:val="000000"/>
          <w:sz w:val="20"/>
        </w:rPr>
        <w:t xml:space="preserve">Registration Statement on </w:t>
      </w:r>
      <w:hyperlink r:id="rId10">
        <w:r>
          <w:rPr>
            <w:rStyle w:val="InternetLink"/>
            <w:rFonts w:ascii="Times New Roman;serif" w:hAnsi="Times New Roman;serif"/>
            <w:b w:val="false"/>
            <w:color w:val="0000FF"/>
            <w:sz w:val="20"/>
            <w:u w:val="single"/>
          </w:rPr>
          <w:t>Form S-8 (No. 333-288761)</w:t>
        </w:r>
      </w:hyperlink>
      <w:r>
        <w:rPr>
          <w:rFonts w:ascii="Times New Roman;serif" w:hAnsi="Times New Roman;serif"/>
          <w:b w:val="false"/>
          <w:color w:val="000000"/>
          <w:sz w:val="20"/>
        </w:rPr>
        <w:t>, originally filed with the SEC on July 18, 2025, registering 225,000 shares of Class A Common Stock under the Company’s Second Amended and Restated 2020 Incentive Award Plan.</w:t>
      </w:r>
    </w:p>
    <w:p>
      <w:pPr>
        <w:pStyle w:val="TextBody"/>
        <w:bidi w:val="0"/>
        <w:spacing w:lineRule="auto" w:line="268"/>
        <w:jc w:val="left"/>
        <w:rPr/>
      </w:pPr>
      <w:r>
        <w:rPr>
          <w:rFonts w:ascii="Times New Roman;serif" w:hAnsi="Times New Roman;serif"/>
          <w:b w:val="false"/>
          <w:color w:val="000000"/>
          <w:sz w:val="20"/>
        </w:rPr>
        <w:t>As previously disclosed, on June 7, 2026, the Company, GoHealth Holdings, LLC and certain of their direct and indirect subsidiaries (the "Debtors") filed voluntary petitions commencing cases under chapter 11 of title 11 of the United States Bankruptcy Code in the United States Court for the District of Delaware (the “</w:t>
      </w:r>
      <w:r>
        <w:rPr>
          <w:rFonts w:ascii="Times New Roman;serif" w:hAnsi="Times New Roman;serif"/>
          <w:b w:val="false"/>
          <w:color w:val="000000"/>
          <w:sz w:val="20"/>
          <w:u w:val="single"/>
        </w:rPr>
        <w:t>Bankruptcy Court</w:t>
      </w:r>
      <w:r>
        <w:rPr>
          <w:color w:val="000000"/>
        </w:rPr>
        <w:t>”</w:t>
      </w:r>
      <w:r>
        <w:rPr>
          <w:rFonts w:ascii="Times New Roman;serif" w:hAnsi="Times New Roman;serif"/>
          <w:b w:val="false"/>
          <w:color w:val="000000"/>
          <w:sz w:val="20"/>
        </w:rPr>
        <w:t>). On July 13, 2026, the Debtors filed the Amended Joint Prepackaged Chapter 11 Plan of GoHealth, Inc. and Its Debtor Affiliates (the “</w:t>
      </w:r>
      <w:r>
        <w:rPr>
          <w:rFonts w:ascii="Times New Roman;serif" w:hAnsi="Times New Roman;serif"/>
          <w:b w:val="false"/>
          <w:color w:val="000000"/>
          <w:sz w:val="24"/>
          <w:u w:val="single"/>
        </w:rPr>
        <w:t>Plan</w:t>
      </w:r>
      <w:r>
        <w:rPr>
          <w:color w:val="000000"/>
        </w:rPr>
        <w:t>”</w:t>
      </w:r>
      <w:r>
        <w:rPr>
          <w:rFonts w:ascii="Times New Roman;serif" w:hAnsi="Times New Roman;serif"/>
          <w:b w:val="false"/>
          <w:color w:val="000000"/>
          <w:sz w:val="20"/>
        </w:rPr>
        <w:t xml:space="preserve">). On July 21, 2026, the Bankruptcy Court entered the Findings of Fact, Conclusions of Law, and Order (I) Approving the Disclosure Statement for, and Confirming, the Amended Joint Prepackaged Chapter 11 Plan of GoHealth, Inc. and Its Debtor Affiliates and (II) Granting Related Relief. The Plan became effective on July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21, 2026. In connection with the foregoing, the offerings pursuant to the Registration Statements are being terminated. </w:t>
      </w:r>
    </w:p>
    <w:p>
      <w:pPr>
        <w:pStyle w:val="TextBody"/>
        <w:bidi w:val="0"/>
        <w:spacing w:before="0" w:after="240"/>
        <w:ind w:left="0" w:right="0" w:firstLine="720"/>
        <w:jc w:val="left"/>
        <w:rPr/>
      </w:pPr>
      <w:r>
        <w:rPr/>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accordance with an undertaking made by the Company in each of the Registration Statements to remove from registration, by means of post-effective amendments, any of the securities that remain unsold at the termination of the offering, the Company hereby removes from registration all securities that were registered but unsold or otherwise unissued under each of the Registration Statements as of the date hereof. As of the date hereof, the Registration Statements are hereby amended, as appropriate, to reflect the deregistration of such securities, and the Company hereby terminates the effectiveness of the Registration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Act of 1933, as amended, the Registrant certifies that it has reasonable grounds to believe that it meets all of the requirements for filing on Form S-8 and has duly caused these Post-Effective Amendments to be signed on its behalf by the undersigned, thereunto duly authorized, in the City of Chicago, State of Illinois, on the 21st day of July, 2026.</w:t>
      </w:r>
    </w:p>
    <w:p>
      <w:pPr>
        <w:pStyle w:val="TextBody"/>
        <w:bidi w:val="0"/>
        <w:spacing w:lineRule="auto" w:line="288" w:before="0" w:after="240"/>
        <w:jc w:val="left"/>
        <w:rPr>
          <w:rFonts w:ascii="Times New Roman;serif" w:hAnsi="Times New Roman;serif"/>
          <w:b/>
          <w:color w:val="000000"/>
          <w:sz w:val="20"/>
        </w:rPr>
      </w:pPr>
      <w:r>
        <w:rPr>
          <w:rFonts w:ascii="Times New Roman;serif" w:hAnsi="Times New Roman;serif"/>
          <w:b/>
          <w:color w:val="000000"/>
          <w:sz w:val="20"/>
        </w:rPr>
        <w:t>New GoHealth, LLC, as successor by conversion to GoHealth, Inc.</w:t>
      </w:r>
    </w:p>
    <w:p>
      <w:pPr>
        <w:pStyle w:val="TextBody"/>
        <w:bidi w:val="0"/>
        <w:spacing w:lineRule="auto" w:line="288" w:before="0" w:after="240"/>
        <w:jc w:val="left"/>
        <w:rPr/>
      </w:pPr>
      <w:r>
        <w:rPr>
          <w:rFonts w:ascii="Times New Roman;serif" w:hAnsi="Times New Roman;serif"/>
          <w:b w:val="false"/>
          <w:color w:val="000000"/>
          <w:sz w:val="20"/>
        </w:rPr>
        <w:t>By:    </w:t>
      </w:r>
      <w:r>
        <w:rPr>
          <w:rFonts w:ascii="Times New Roman;serif" w:hAnsi="Times New Roman;serif"/>
          <w:b w:val="false"/>
          <w:color w:val="000000"/>
          <w:sz w:val="20"/>
          <w:u w:val="single"/>
        </w:rPr>
        <w:t>/s/ Vijay Kotte    </w:t>
      </w:r>
      <w:r>
        <w:rPr>
          <w:rFonts w:ascii="Times New Roman;serif" w:hAnsi="Times New Roman;serif"/>
          <w:b w:val="false"/>
          <w:color w:val="000000"/>
          <w:sz w:val="20"/>
        </w:rPr>
        <w:br/>
        <w:t>    Vijay Kotte</w:t>
        <w:br/>
        <w:t>    Chief Executive Officer</w:t>
      </w:r>
    </w:p>
    <w:p>
      <w:pPr>
        <w:pStyle w:val="TextBody"/>
        <w:bidi w:val="0"/>
        <w:spacing w:lineRule="auto" w:line="288" w:before="0" w:after="24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 other person is required to sign these Post-Effective Amendments in reliance upon Rule 478 under the Securities Act of 1933, as amended.</w:t>
      </w:r>
    </w:p>
    <w:p>
      <w:pPr>
        <w:pStyle w:val="TextBody"/>
        <w:bidi w:val="0"/>
        <w:spacing w:before="0" w:after="24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08220/000119312520193438/d16231ds8.htm" TargetMode="External"/><Relationship Id="rId3" Type="http://schemas.openxmlformats.org/officeDocument/2006/relationships/hyperlink" Target="https://www.sec.gov/Archives/edgar/data/1808220/000119312521036470/d86815ds8.htm" TargetMode="External"/><Relationship Id="rId4" Type="http://schemas.openxmlformats.org/officeDocument/2006/relationships/hyperlink" Target="https://www.sec.gov/Archives/edgar/data/1808220/000119312521362438/d270006ds8.htm" TargetMode="External"/><Relationship Id="rId5" Type="http://schemas.openxmlformats.org/officeDocument/2006/relationships/hyperlink" Target="https://www.sec.gov/Archives/edgar/data/1808220/000119312522082736/d271011ds8.htm" TargetMode="External"/><Relationship Id="rId6" Type="http://schemas.openxmlformats.org/officeDocument/2006/relationships/hyperlink" Target="https://www.sec.gov/Archives/edgar/data/1808220/000119312522168376/d365724ds8.htm" TargetMode="External"/><Relationship Id="rId7" Type="http://schemas.openxmlformats.org/officeDocument/2006/relationships/hyperlink" Target="https://www.sec.gov/Archives/edgar/data/1808220/000180822023000014/s-811323.htm" TargetMode="External"/><Relationship Id="rId8" Type="http://schemas.openxmlformats.org/officeDocument/2006/relationships/hyperlink" Target="https://www.sec.gov/Archives/edgar/data/1808220/000180822024000023/goco-sx8x20240319.htm" TargetMode="External"/><Relationship Id="rId9" Type="http://schemas.openxmlformats.org/officeDocument/2006/relationships/hyperlink" Target="https://www.sec.gov/Archives/edgar/data/1808220/000180822025000014/goco-sx8x362025.htm" TargetMode="External"/><Relationship Id="rId10" Type="http://schemas.openxmlformats.org/officeDocument/2006/relationships/hyperlink" Target="https://www.sec.gov/Archives/edgar/data/1808220/000162828025035327/goco-sx8x7172025.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1244</Words>
  <Characters>7023</Characters>
  <CharactersWithSpaces>8202</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