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102235</wp:posOffset>
            </wp:positionV>
            <wp:extent cx="71577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596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00" w:lineRule="exact"/>
        <w:rPr>
          <w:sz w:val="24"/>
          <w:szCs w:val="24"/>
          <w:color w:val="auto"/>
        </w:rPr>
      </w:pPr>
    </w:p>
    <w:p>
      <w:pPr>
        <w:spacing w:after="0" w:line="29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39"/>
        <w:spacing w:after="0"/>
        <w:tabs>
          <w:tab w:leader="none" w:pos="240" w:val="left"/>
          <w:tab w:leader="none" w:pos="200" w:val="left"/>
        </w:tabs>
        <w:rPr>
          <w:sz w:val="20"/>
          <w:szCs w:val="20"/>
          <w:color w:val="auto"/>
        </w:rPr>
      </w:pPr>
      <w:r>
        <w:rPr>
          <w:rFonts w:ascii="Arial" w:cs="Arial" w:eastAsia="Arial" w:hAnsi="Arial"/>
          <w:sz w:val="22"/>
          <w:szCs w:val="22"/>
          <w:b w:val="1"/>
          <w:bCs w:val="1"/>
          <w:color w:val="auto"/>
        </w:rPr>
        <w:t>(Amendment No.</w:t>
        <w:tab/>
        <w:t>01</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3828415</wp:posOffset>
            </wp:positionH>
            <wp:positionV relativeFrom="paragraph">
              <wp:posOffset>-12065</wp:posOffset>
            </wp:positionV>
            <wp:extent cx="4114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11480" cy="8255"/>
                    </a:xfrm>
                    <a:prstGeom prst="rect">
                      <a:avLst/>
                    </a:prstGeom>
                    <a:noFill/>
                  </pic:spPr>
                </pic:pic>
              </a:graphicData>
            </a:graphic>
          </wp:anchor>
        </w:drawing>
      </w:r>
    </w:p>
    <w:p>
      <w:pPr>
        <w:spacing w:after="0" w:line="185" w:lineRule="exact"/>
        <w:rPr>
          <w:sz w:val="24"/>
          <w:szCs w:val="24"/>
          <w:color w:val="auto"/>
        </w:rPr>
      </w:pPr>
    </w:p>
    <w:p>
      <w:pPr>
        <w:jc w:val="center"/>
        <w:ind w:right="20"/>
        <w:spacing w:after="0"/>
        <w:rPr>
          <w:sz w:val="20"/>
          <w:szCs w:val="20"/>
          <w:color w:val="auto"/>
        </w:rPr>
      </w:pPr>
      <w:r>
        <w:rPr>
          <w:rFonts w:ascii="Arial" w:cs="Arial" w:eastAsia="Arial" w:hAnsi="Arial"/>
          <w:sz w:val="43"/>
          <w:szCs w:val="43"/>
          <w:color w:val="auto"/>
        </w:rPr>
        <w:t>GoHealth,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62165"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2165" cy="34290"/>
                    </a:xfrm>
                    <a:prstGeom prst="rect">
                      <a:avLst/>
                    </a:prstGeom>
                    <a:noFill/>
                  </pic:spPr>
                </pic:pic>
              </a:graphicData>
            </a:graphic>
          </wp:anchor>
        </w:drawing>
      </w: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(Name of Issuer)</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Class A Common Stock,$0.0001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62165" cy="336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2165" cy="33655"/>
                    </a:xfrm>
                    <a:prstGeom prst="rect">
                      <a:avLst/>
                    </a:prstGeom>
                    <a:noFill/>
                  </pic:spPr>
                </pic:pic>
              </a:graphicData>
            </a:graphic>
          </wp:anchor>
        </w:drawing>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38046W105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62165" cy="336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2165" cy="33655"/>
                    </a:xfrm>
                    <a:prstGeom prst="rect">
                      <a:avLst/>
                    </a:prstGeom>
                    <a:noFill/>
                  </pic:spPr>
                </pic:pic>
              </a:graphicData>
            </a:graphic>
          </wp:anchor>
        </w:drawing>
      </w:r>
    </w:p>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16216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2165" cy="34290"/>
                    </a:xfrm>
                    <a:prstGeom prst="rect">
                      <a:avLst/>
                    </a:prstGeom>
                    <a:noFill/>
                  </pic:spPr>
                </pic:pic>
              </a:graphicData>
            </a:graphic>
          </wp:anchor>
        </w:drawing>
      </w:r>
    </w:p>
    <w:p>
      <w:pPr>
        <w:spacing w:after="0" w:line="182"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(Date of Event Which Requires Filing of this Statement)</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jc w:val="both"/>
        <w:ind w:left="240" w:right="9800" w:hanging="7"/>
        <w:spacing w:after="0" w:line="598" w:lineRule="auto"/>
        <w:tabs>
          <w:tab w:leader="none" w:pos="420" w:val="left"/>
        </w:tabs>
        <w:numPr>
          <w:ilvl w:val="1"/>
          <w:numId w:val="1"/>
        </w:numPr>
        <w:rPr>
          <w:rFonts w:ascii="Arial" w:cs="Arial" w:eastAsia="Arial" w:hAnsi="Arial"/>
          <w:sz w:val="16"/>
          <w:szCs w:val="16"/>
          <w:color w:val="auto"/>
        </w:rPr>
      </w:pPr>
      <w:r>
        <w:rPr>
          <w:rFonts w:ascii="Arial" w:cs="Arial" w:eastAsia="Arial" w:hAnsi="Arial"/>
          <w:sz w:val="16"/>
          <w:szCs w:val="16"/>
          <w:color w:val="auto"/>
        </w:rPr>
        <w:t>Rule 13d-1(b) o Rule 13d-1(c) o Rule 13d-1(d)</w:t>
      </w:r>
    </w:p>
    <w:p>
      <w:pPr>
        <w:spacing w:after="0" w:line="1" w:lineRule="exact"/>
        <w:rPr>
          <w:rFonts w:ascii="Arial" w:cs="Arial" w:eastAsia="Arial" w:hAnsi="Arial"/>
          <w:sz w:val="16"/>
          <w:szCs w:val="16"/>
          <w:color w:val="auto"/>
        </w:rPr>
      </w:pPr>
    </w:p>
    <w:p>
      <w:pPr>
        <w:spacing w:after="0" w:line="277" w:lineRule="auto"/>
        <w:rPr>
          <w:rFonts w:ascii="Arial" w:cs="Arial" w:eastAsia="Arial" w:hAnsi="Arial"/>
          <w:sz w:val="16"/>
          <w:szCs w:val="16"/>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7" w:lineRule="exact"/>
        <w:rPr>
          <w:sz w:val="24"/>
          <w:szCs w:val="24"/>
          <w:color w:val="auto"/>
        </w:rPr>
      </w:pPr>
    </w:p>
    <w:p>
      <w:pPr>
        <w:ind w:right="20"/>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772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685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412750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1" w:name="page2"/>
    <w:bookmarkEnd w:id="1"/>
    <w:p>
      <w:pPr>
        <w:spacing w:after="0"/>
        <w:tabs>
          <w:tab w:leader="none" w:pos="900" w:val="left"/>
        </w:tabs>
        <w:rPr>
          <w:sz w:val="20"/>
          <w:szCs w:val="20"/>
          <w:color w:val="auto"/>
        </w:rPr>
      </w:pPr>
      <w:r>
        <w:rPr>
          <w:rFonts w:ascii="Arial" w:cs="Arial" w:eastAsia="Arial" w:hAnsi="Arial"/>
          <w:sz w:val="36"/>
          <w:szCs w:val="36"/>
          <w:color w:val="auto"/>
          <w:vertAlign w:val="superscript"/>
        </w:rPr>
        <w:t>CUSIP</w:t>
      </w:r>
      <w:r>
        <w:rPr>
          <w:sz w:val="20"/>
          <w:szCs w:val="20"/>
          <w:color w:val="auto"/>
        </w:rPr>
        <w:tab/>
      </w:r>
      <w:r>
        <w:rPr>
          <w:rFonts w:ascii="Arial" w:cs="Arial" w:eastAsia="Arial" w:hAnsi="Arial"/>
          <w:sz w:val="18"/>
          <w:szCs w:val="18"/>
          <w:color w:val="auto"/>
        </w:rPr>
        <w:t>38046W105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508635</wp:posOffset>
            </wp:positionH>
            <wp:positionV relativeFrom="paragraph">
              <wp:posOffset>-71120</wp:posOffset>
            </wp:positionV>
            <wp:extent cx="723900" cy="2781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3900" cy="278130"/>
                    </a:xfrm>
                    <a:prstGeom prst="rect">
                      <a:avLst/>
                    </a:prstGeom>
                    <a:noFill/>
                  </pic:spPr>
                </pic:pic>
              </a:graphicData>
            </a:graphic>
          </wp:anchor>
        </w:drawing>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22542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254250"/>
                    </a:xfrm>
                    <a:prstGeom prst="rect">
                      <a:avLst/>
                    </a:prstGeom>
                    <a:noFill/>
                  </pic:spPr>
                </pic:pic>
              </a:graphicData>
            </a:graphic>
          </wp:anchor>
        </w:drawing>
      </w:r>
    </w:p>
    <w:p>
      <w:pPr>
        <w:spacing w:after="0" w:line="28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NAMES OF REPORTING PERSONS</w:t>
      </w:r>
    </w:p>
    <w:p>
      <w:pPr>
        <w:spacing w:after="0" w:line="23" w:lineRule="exact"/>
        <w:rPr>
          <w:sz w:val="20"/>
          <w:szCs w:val="20"/>
          <w:color w:val="auto"/>
        </w:rPr>
      </w:pPr>
    </w:p>
    <w:p>
      <w:pPr>
        <w:ind w:left="760" w:right="4900" w:hanging="529"/>
        <w:spacing w:after="0" w:line="180" w:lineRule="auto"/>
        <w:tabs>
          <w:tab w:leader="none" w:pos="760" w:val="left"/>
        </w:tabs>
        <w:numPr>
          <w:ilvl w:val="0"/>
          <w:numId w:val="2"/>
        </w:numPr>
        <w:rPr>
          <w:rFonts w:ascii="Arial" w:cs="Arial" w:eastAsia="Arial" w:hAnsi="Arial"/>
          <w:sz w:val="38"/>
          <w:szCs w:val="38"/>
          <w:b w:val="1"/>
          <w:bCs w:val="1"/>
          <w:color w:val="auto"/>
          <w:vertAlign w:val="subscript"/>
        </w:rPr>
      </w:pPr>
      <w:r>
        <w:rPr>
          <w:rFonts w:ascii="Arial" w:cs="Arial" w:eastAsia="Arial" w:hAnsi="Arial"/>
          <w:sz w:val="15"/>
          <w:szCs w:val="15"/>
          <w:color w:val="auto"/>
        </w:rPr>
        <w:t>I.R.S. IDENTIFICATION NOS. OF ABOVE PERSONS (ENTITIES ONLY) CREDIT SUISSE AG/</w:t>
      </w:r>
    </w:p>
    <w:p>
      <w:pPr>
        <w:spacing w:after="0" w:line="1" w:lineRule="exact"/>
        <w:rPr>
          <w:rFonts w:ascii="Arial" w:cs="Arial" w:eastAsia="Arial" w:hAnsi="Arial"/>
          <w:sz w:val="38"/>
          <w:szCs w:val="38"/>
          <w:b w:val="1"/>
          <w:bCs w:val="1"/>
          <w:color w:val="auto"/>
          <w:vertAlign w:val="subscript"/>
        </w:rPr>
      </w:pPr>
    </w:p>
    <w:p>
      <w:pPr>
        <w:ind w:left="760"/>
        <w:spacing w:after="0"/>
        <w:rPr>
          <w:rFonts w:ascii="Arial" w:cs="Arial" w:eastAsia="Arial" w:hAnsi="Arial"/>
          <w:sz w:val="38"/>
          <w:szCs w:val="38"/>
          <w:b w:val="1"/>
          <w:bCs w:val="1"/>
          <w:color w:val="auto"/>
          <w:vertAlign w:val="subscript"/>
        </w:rPr>
      </w:pPr>
      <w:r>
        <w:rPr>
          <w:rFonts w:ascii="Arial" w:cs="Arial" w:eastAsia="Arial" w:hAnsi="Arial"/>
          <w:sz w:val="18"/>
          <w:szCs w:val="18"/>
          <w:color w:val="auto"/>
        </w:rPr>
        <w:t>000000000</w:t>
      </w:r>
    </w:p>
    <w:p>
      <w:pPr>
        <w:spacing w:after="0" w:line="75" w:lineRule="exact"/>
        <w:rPr>
          <w:rFonts w:ascii="Arial" w:cs="Arial" w:eastAsia="Arial" w:hAnsi="Arial"/>
          <w:sz w:val="38"/>
          <w:szCs w:val="38"/>
          <w:b w:val="1"/>
          <w:bCs w:val="1"/>
          <w:color w:val="auto"/>
          <w:vertAlign w:val="subscript"/>
        </w:rPr>
      </w:pPr>
    </w:p>
    <w:p>
      <w:pPr>
        <w:ind w:left="760"/>
        <w:spacing w:after="0"/>
        <w:rPr>
          <w:rFonts w:ascii="Arial" w:cs="Arial" w:eastAsia="Arial" w:hAnsi="Arial"/>
          <w:sz w:val="38"/>
          <w:szCs w:val="38"/>
          <w:b w:val="1"/>
          <w:bCs w:val="1"/>
          <w:color w:val="auto"/>
          <w:vertAlign w:val="subscript"/>
        </w:rPr>
      </w:pPr>
      <w:r>
        <w:rPr>
          <w:rFonts w:ascii="Arial" w:cs="Arial" w:eastAsia="Arial" w:hAnsi="Arial"/>
          <w:sz w:val="18"/>
          <w:szCs w:val="18"/>
          <w:color w:val="auto"/>
        </w:rPr>
        <w:t>CHECK THE APPROPRIATE BOX IF A MEMBER OF A GROUP (SEE INSTRUCTIONS)</w:t>
      </w:r>
    </w:p>
    <w:p>
      <w:pPr>
        <w:spacing w:after="0" w:line="258" w:lineRule="exact"/>
        <w:rPr>
          <w:sz w:val="20"/>
          <w:szCs w:val="20"/>
          <w:color w:val="auto"/>
        </w:rPr>
      </w:pPr>
    </w:p>
    <w:p>
      <w:pPr>
        <w:jc w:val="right"/>
        <w:ind w:left="240" w:right="10060" w:firstLine="510"/>
        <w:spacing w:after="0" w:line="248" w:lineRule="auto"/>
        <w:tabs>
          <w:tab w:leader="none" w:pos="1094" w:val="left"/>
        </w:tabs>
        <w:numPr>
          <w:ilvl w:val="0"/>
          <w:numId w:val="3"/>
        </w:numPr>
        <w:rPr>
          <w:rFonts w:ascii="Arial" w:cs="Arial" w:eastAsia="Arial" w:hAnsi="Arial"/>
          <w:sz w:val="15"/>
          <w:szCs w:val="15"/>
          <w:color w:val="auto"/>
        </w:rPr>
      </w:pPr>
      <w:r>
        <w:rPr>
          <w:rFonts w:ascii="Arial" w:cs="Arial" w:eastAsia="Arial" w:hAnsi="Arial"/>
          <w:sz w:val="15"/>
          <w:szCs w:val="15"/>
          <w:color w:val="auto"/>
        </w:rPr>
        <w:t xml:space="preserve">o </w:t>
      </w:r>
      <w:r>
        <w:rPr>
          <w:rFonts w:ascii="Arial" w:cs="Arial" w:eastAsia="Arial" w:hAnsi="Arial"/>
          <w:sz w:val="26"/>
          <w:szCs w:val="26"/>
          <w:b w:val="1"/>
          <w:bCs w:val="1"/>
          <w:color w:val="auto"/>
        </w:rPr>
        <w:t xml:space="preserve">2  </w:t>
      </w:r>
      <w:r>
        <w:rPr>
          <w:rFonts w:ascii="Arial" w:cs="Arial" w:eastAsia="Arial" w:hAnsi="Arial"/>
          <w:sz w:val="15"/>
          <w:szCs w:val="15"/>
          <w:color w:val="auto"/>
        </w:rPr>
        <w:t>(b)</w:t>
      </w:r>
      <w:r>
        <w:rPr>
          <w:rFonts w:ascii="Arial" w:cs="Arial" w:eastAsia="Arial" w:hAnsi="Arial"/>
          <w:sz w:val="26"/>
          <w:szCs w:val="26"/>
          <w:b w:val="1"/>
          <w:bCs w:val="1"/>
          <w:color w:val="auto"/>
        </w:rPr>
        <w:t xml:space="preserve">  </w:t>
      </w:r>
      <w:r>
        <w:rPr>
          <w:rFonts w:ascii="Arial" w:cs="Arial" w:eastAsia="Arial" w:hAnsi="Arial"/>
          <w:sz w:val="15"/>
          <w:szCs w:val="15"/>
          <w:color w:val="auto"/>
        </w:rPr>
        <w:t>x</w:t>
      </w:r>
    </w:p>
    <w:p>
      <w:pPr>
        <w:spacing w:after="0" w:line="46" w:lineRule="exact"/>
        <w:rPr>
          <w:rFonts w:ascii="Arial" w:cs="Arial" w:eastAsia="Arial" w:hAnsi="Arial"/>
          <w:sz w:val="15"/>
          <w:szCs w:val="15"/>
          <w:color w:val="auto"/>
        </w:rPr>
      </w:pPr>
    </w:p>
    <w:p>
      <w:pPr>
        <w:ind w:left="760"/>
        <w:spacing w:after="0"/>
        <w:rPr>
          <w:rFonts w:ascii="Arial" w:cs="Arial" w:eastAsia="Arial" w:hAnsi="Arial"/>
          <w:sz w:val="15"/>
          <w:szCs w:val="15"/>
          <w:color w:val="auto"/>
        </w:rPr>
      </w:pPr>
      <w:r>
        <w:rPr>
          <w:rFonts w:ascii="Arial" w:cs="Arial" w:eastAsia="Arial" w:hAnsi="Arial"/>
          <w:sz w:val="18"/>
          <w:szCs w:val="18"/>
          <w:color w:val="auto"/>
        </w:rPr>
        <w:t>SEC USE ONLY</w:t>
      </w:r>
    </w:p>
    <w:p>
      <w:pPr>
        <w:spacing w:after="0" w:line="104" w:lineRule="exact"/>
        <w:rPr>
          <w:sz w:val="20"/>
          <w:szCs w:val="20"/>
          <w:color w:val="auto"/>
        </w:rPr>
      </w:pPr>
    </w:p>
    <w:p>
      <w:pPr>
        <w:ind w:left="240"/>
        <w:spacing w:after="0"/>
        <w:rPr>
          <w:sz w:val="20"/>
          <w:szCs w:val="20"/>
          <w:color w:val="auto"/>
        </w:rPr>
      </w:pPr>
      <w:r>
        <w:rPr>
          <w:rFonts w:ascii="Arial" w:cs="Arial" w:eastAsia="Arial" w:hAnsi="Arial"/>
          <w:sz w:val="32"/>
          <w:szCs w:val="32"/>
          <w:b w:val="1"/>
          <w:bCs w:val="1"/>
          <w:color w:val="auto"/>
        </w:rPr>
        <w:t>3</w:t>
      </w:r>
    </w:p>
    <w:p>
      <w:pPr>
        <w:spacing w:after="0" w:line="10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CITIZENSHIP OR PLACE OF ORGANIZATION</w:t>
      </w:r>
    </w:p>
    <w:p>
      <w:pPr>
        <w:spacing w:after="0" w:line="141" w:lineRule="exact"/>
        <w:rPr>
          <w:sz w:val="20"/>
          <w:szCs w:val="20"/>
          <w:color w:val="auto"/>
        </w:rPr>
      </w:pPr>
    </w:p>
    <w:p>
      <w:pPr>
        <w:ind w:left="760" w:hanging="529"/>
        <w:spacing w:after="0"/>
        <w:tabs>
          <w:tab w:leader="none" w:pos="760" w:val="left"/>
        </w:tabs>
        <w:numPr>
          <w:ilvl w:val="0"/>
          <w:numId w:val="4"/>
        </w:numPr>
        <w:rPr>
          <w:rFonts w:ascii="Arial" w:cs="Arial" w:eastAsia="Arial" w:hAnsi="Arial"/>
          <w:sz w:val="32"/>
          <w:szCs w:val="32"/>
          <w:b w:val="1"/>
          <w:bCs w:val="1"/>
          <w:color w:val="auto"/>
        </w:rPr>
      </w:pPr>
      <w:r>
        <w:rPr>
          <w:rFonts w:ascii="Arial" w:cs="Arial" w:eastAsia="Arial" w:hAnsi="Arial"/>
          <w:sz w:val="18"/>
          <w:szCs w:val="18"/>
          <w:color w:val="auto"/>
        </w:rPr>
        <w:t>Switzerland</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360" w:type="dxa"/>
            <w:vAlign w:val="bottom"/>
            <w:tcBorders>
              <w:top w:val="single" w:sz="8" w:color="auto"/>
              <w:right w:val="single" w:sz="8" w:color="auto"/>
            </w:tcBorders>
          </w:tcPr>
          <w:p>
            <w:pPr>
              <w:spacing w:after="0"/>
              <w:rPr>
                <w:sz w:val="22"/>
                <w:szCs w:val="22"/>
                <w:color w:val="auto"/>
              </w:rPr>
            </w:pPr>
          </w:p>
        </w:tc>
        <w:tc>
          <w:tcPr>
            <w:tcW w:w="540" w:type="dxa"/>
            <w:vAlign w:val="bottom"/>
            <w:tcBorders>
              <w:top w:val="single" w:sz="8" w:color="auto"/>
              <w:right w:val="single" w:sz="8" w:color="auto"/>
            </w:tcBorders>
          </w:tcPr>
          <w:p>
            <w:pPr>
              <w:spacing w:after="0"/>
              <w:rPr>
                <w:sz w:val="22"/>
                <w:szCs w:val="22"/>
                <w:color w:val="auto"/>
              </w:rPr>
            </w:pPr>
          </w:p>
        </w:tc>
        <w:tc>
          <w:tcPr>
            <w:tcW w:w="934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99"/>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5</w:t>
            </w:r>
          </w:p>
        </w:tc>
        <w:tc>
          <w:tcPr>
            <w:tcW w:w="9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63"/>
        </w:trPr>
        <w:tc>
          <w:tcPr>
            <w:tcW w:w="1360" w:type="dxa"/>
            <w:vAlign w:val="bottom"/>
            <w:tcBorders>
              <w:right w:val="single" w:sz="8" w:color="auto"/>
            </w:tcBorders>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9340" w:type="dxa"/>
            <w:vAlign w:val="bottom"/>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499"/>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6</w:t>
            </w:r>
          </w:p>
        </w:tc>
        <w:tc>
          <w:tcPr>
            <w:tcW w:w="9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28,571</w:t>
            </w:r>
          </w:p>
        </w:tc>
        <w:tc>
          <w:tcPr>
            <w:tcW w:w="0" w:type="dxa"/>
            <w:vAlign w:val="bottom"/>
          </w:tcPr>
          <w:p>
            <w:pPr>
              <w:spacing w:after="0"/>
              <w:rPr>
                <w:sz w:val="1"/>
                <w:szCs w:val="1"/>
                <w:color w:val="auto"/>
              </w:rPr>
            </w:pPr>
          </w:p>
        </w:tc>
      </w:tr>
      <w:tr>
        <w:trPr>
          <w:trHeight w:val="222"/>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540" w:type="dxa"/>
            <w:vAlign w:val="bottom"/>
            <w:tcBorders>
              <w:right w:val="single" w:sz="8" w:color="auto"/>
            </w:tcBorders>
          </w:tcPr>
          <w:p>
            <w:pPr>
              <w:spacing w:after="0"/>
              <w:rPr>
                <w:sz w:val="19"/>
                <w:szCs w:val="19"/>
                <w:color w:val="auto"/>
              </w:rPr>
            </w:pPr>
          </w:p>
        </w:tc>
        <w:tc>
          <w:tcPr>
            <w:tcW w:w="934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7</w:t>
            </w:r>
          </w:p>
        </w:tc>
        <w:tc>
          <w:tcPr>
            <w:tcW w:w="9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540" w:type="dxa"/>
            <w:vAlign w:val="bottom"/>
            <w:tcBorders>
              <w:right w:val="single" w:sz="8" w:color="auto"/>
            </w:tcBorders>
            <w:vMerge w:val="continue"/>
          </w:tcPr>
          <w:p>
            <w:pPr>
              <w:spacing w:after="0"/>
              <w:rPr>
                <w:sz w:val="20"/>
                <w:szCs w:val="20"/>
                <w:color w:val="auto"/>
              </w:rPr>
            </w:pPr>
          </w:p>
        </w:tc>
        <w:tc>
          <w:tcPr>
            <w:tcW w:w="9340" w:type="dxa"/>
            <w:vAlign w:val="bottom"/>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93"/>
        </w:trPr>
        <w:tc>
          <w:tcPr>
            <w:tcW w:w="1360" w:type="dxa"/>
            <w:vAlign w:val="bottom"/>
            <w:tcBorders>
              <w:right w:val="single" w:sz="8" w:color="auto"/>
            </w:tcBorders>
            <w:vMerge w:val="restart"/>
          </w:tcPr>
          <w:p>
            <w:pPr>
              <w:jc w:val="center"/>
              <w:spacing w:after="0" w:line="200" w:lineRule="exact"/>
              <w:rPr>
                <w:sz w:val="20"/>
                <w:szCs w:val="20"/>
                <w:color w:val="auto"/>
              </w:rPr>
            </w:pPr>
            <w:r>
              <w:rPr>
                <w:rFonts w:ascii="Arial" w:cs="Arial" w:eastAsia="Arial" w:hAnsi="Arial"/>
                <w:sz w:val="18"/>
                <w:szCs w:val="18"/>
                <w:color w:val="auto"/>
                <w:w w:val="97"/>
              </w:rPr>
              <w:t>OWNED BY</w:t>
            </w:r>
          </w:p>
        </w:tc>
        <w:tc>
          <w:tcPr>
            <w:tcW w:w="540" w:type="dxa"/>
            <w:vAlign w:val="bottom"/>
            <w:tcBorders>
              <w:bottom w:val="single" w:sz="8" w:color="auto"/>
              <w:right w:val="single" w:sz="8" w:color="auto"/>
            </w:tcBorders>
          </w:tcPr>
          <w:p>
            <w:pPr>
              <w:spacing w:after="0"/>
              <w:rPr>
                <w:sz w:val="8"/>
                <w:szCs w:val="8"/>
                <w:color w:val="auto"/>
              </w:rPr>
            </w:pPr>
          </w:p>
        </w:tc>
        <w:tc>
          <w:tcPr>
            <w:tcW w:w="93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1360" w:type="dxa"/>
            <w:vAlign w:val="bottom"/>
            <w:tcBorders>
              <w:right w:val="single" w:sz="8" w:color="auto"/>
            </w:tcBorders>
            <w:vMerge w:val="continue"/>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9340" w:type="dxa"/>
            <w:vAlign w:val="bottom"/>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540" w:type="dxa"/>
            <w:vAlign w:val="bottom"/>
            <w:tcBorders>
              <w:right w:val="single" w:sz="8" w:color="auto"/>
            </w:tcBorders>
          </w:tcPr>
          <w:p>
            <w:pPr>
              <w:spacing w:after="0"/>
              <w:rPr>
                <w:sz w:val="18"/>
                <w:szCs w:val="18"/>
                <w:color w:val="auto"/>
              </w:rPr>
            </w:pPr>
          </w:p>
        </w:tc>
        <w:tc>
          <w:tcPr>
            <w:tcW w:w="9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8</w:t>
            </w:r>
          </w:p>
        </w:tc>
        <w:tc>
          <w:tcPr>
            <w:tcW w:w="9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PERSON WITH:</w:t>
            </w:r>
          </w:p>
        </w:tc>
        <w:tc>
          <w:tcPr>
            <w:tcW w:w="540" w:type="dxa"/>
            <w:vAlign w:val="bottom"/>
            <w:tcBorders>
              <w:bottom w:val="single" w:sz="8" w:color="auto"/>
              <w:right w:val="single" w:sz="8" w:color="auto"/>
            </w:tcBorders>
            <w:vMerge w:val="continue"/>
          </w:tcPr>
          <w:p>
            <w:pPr>
              <w:spacing w:after="0"/>
              <w:rPr>
                <w:sz w:val="21"/>
                <w:szCs w:val="21"/>
                <w:color w:val="auto"/>
              </w:rPr>
            </w:pPr>
          </w:p>
        </w:tc>
        <w:tc>
          <w:tcPr>
            <w:tcW w:w="9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28,571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9970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997075"/>
                    </a:xfrm>
                    <a:prstGeom prst="rect">
                      <a:avLst/>
                    </a:prstGeom>
                    <a:noFill/>
                  </pic:spPr>
                </pic:pic>
              </a:graphicData>
            </a:graphic>
          </wp:anchor>
        </w:drawing>
      </w:r>
    </w:p>
    <w:p>
      <w:pPr>
        <w:spacing w:after="0" w:line="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41" w:lineRule="exact"/>
        <w:rPr>
          <w:sz w:val="20"/>
          <w:szCs w:val="20"/>
          <w:color w:val="auto"/>
        </w:rPr>
      </w:pPr>
    </w:p>
    <w:p>
      <w:pPr>
        <w:ind w:left="760" w:hanging="529"/>
        <w:spacing w:after="0"/>
        <w:tabs>
          <w:tab w:leader="none" w:pos="760" w:val="left"/>
        </w:tabs>
        <w:numPr>
          <w:ilvl w:val="0"/>
          <w:numId w:val="5"/>
        </w:numPr>
        <w:rPr>
          <w:rFonts w:ascii="Arial" w:cs="Arial" w:eastAsia="Arial" w:hAnsi="Arial"/>
          <w:sz w:val="32"/>
          <w:szCs w:val="32"/>
          <w:b w:val="1"/>
          <w:bCs w:val="1"/>
          <w:color w:val="auto"/>
        </w:rPr>
      </w:pPr>
      <w:r>
        <w:rPr>
          <w:rFonts w:ascii="Arial" w:cs="Arial" w:eastAsia="Arial" w:hAnsi="Arial"/>
          <w:sz w:val="18"/>
          <w:szCs w:val="18"/>
          <w:color w:val="auto"/>
        </w:rPr>
        <w:t>28,571</w:t>
      </w:r>
    </w:p>
    <w:p>
      <w:pPr>
        <w:spacing w:after="0" w:line="66" w:lineRule="exact"/>
        <w:rPr>
          <w:rFonts w:ascii="Arial" w:cs="Arial" w:eastAsia="Arial" w:hAnsi="Arial"/>
          <w:sz w:val="32"/>
          <w:szCs w:val="32"/>
          <w:b w:val="1"/>
          <w:bCs w:val="1"/>
          <w:color w:val="auto"/>
        </w:rPr>
      </w:pPr>
    </w:p>
    <w:p>
      <w:pPr>
        <w:ind w:left="760"/>
        <w:spacing w:after="0"/>
        <w:rPr>
          <w:rFonts w:ascii="Arial" w:cs="Arial" w:eastAsia="Arial" w:hAnsi="Arial"/>
          <w:sz w:val="32"/>
          <w:szCs w:val="32"/>
          <w:b w:val="1"/>
          <w:bCs w:val="1"/>
          <w:color w:val="auto"/>
        </w:rPr>
      </w:pPr>
      <w:r>
        <w:rPr>
          <w:rFonts w:ascii="Arial" w:cs="Arial" w:eastAsia="Arial" w:hAnsi="Arial"/>
          <w:sz w:val="18"/>
          <w:szCs w:val="18"/>
          <w:color w:val="auto"/>
        </w:rPr>
        <w:t>CHECK IF THE AGGREGATE AMOUNT IN ROW (9) EXCLUDES CERTAIN SHARES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10</w:t>
      </w:r>
      <w:r>
        <w:rPr>
          <w:sz w:val="20"/>
          <w:szCs w:val="20"/>
          <w:color w:val="auto"/>
        </w:rPr>
        <w:tab/>
      </w:r>
      <w:r>
        <w:rPr>
          <w:rFonts w:ascii="Arial" w:cs="Arial" w:eastAsia="Arial" w:hAnsi="Arial"/>
          <w:sz w:val="14"/>
          <w:szCs w:val="14"/>
          <w:color w:val="auto"/>
        </w:rPr>
        <w:t>o</w:t>
      </w:r>
    </w:p>
    <w:p>
      <w:pPr>
        <w:spacing w:after="0" w:line="10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PERCENT OF CLASS REPRESENTED BY AMOUNT IN ROW (9)</w:t>
      </w:r>
    </w:p>
    <w:p>
      <w:pPr>
        <w:spacing w:after="0" w:line="104" w:lineRule="exact"/>
        <w:rPr>
          <w:sz w:val="20"/>
          <w:szCs w:val="20"/>
          <w:color w:val="auto"/>
        </w:rPr>
      </w:pPr>
    </w:p>
    <w:p>
      <w:pPr>
        <w:ind w:left="160"/>
        <w:spacing w:after="0"/>
        <w:tabs>
          <w:tab w:leader="none" w:pos="740" w:val="left"/>
        </w:tabs>
        <w:rPr>
          <w:sz w:val="20"/>
          <w:szCs w:val="20"/>
          <w:color w:val="auto"/>
        </w:rPr>
      </w:pPr>
      <w:r>
        <w:rPr>
          <w:rFonts w:ascii="Arial" w:cs="Arial" w:eastAsia="Arial" w:hAnsi="Arial"/>
          <w:sz w:val="32"/>
          <w:szCs w:val="32"/>
          <w:b w:val="1"/>
          <w:bCs w:val="1"/>
          <w:color w:val="auto"/>
        </w:rPr>
        <w:t>11</w:t>
      </w:r>
      <w:r>
        <w:rPr>
          <w:sz w:val="20"/>
          <w:szCs w:val="20"/>
          <w:color w:val="auto"/>
        </w:rPr>
        <w:tab/>
      </w:r>
      <w:r>
        <w:rPr>
          <w:rFonts w:ascii="Arial" w:cs="Arial" w:eastAsia="Arial" w:hAnsi="Arial"/>
          <w:sz w:val="16"/>
          <w:szCs w:val="16"/>
          <w:color w:val="auto"/>
        </w:rPr>
        <w:t>0.02%</w:t>
      </w:r>
    </w:p>
    <w:p>
      <w:pPr>
        <w:spacing w:after="0" w:line="10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TYPE OF REPORTING PERSON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12</w:t>
      </w:r>
      <w:r>
        <w:rPr>
          <w:sz w:val="20"/>
          <w:szCs w:val="20"/>
          <w:color w:val="auto"/>
        </w:rPr>
        <w:tab/>
      </w:r>
      <w:r>
        <w:rPr>
          <w:rFonts w:ascii="Arial" w:cs="Arial" w:eastAsia="Arial" w:hAnsi="Arial"/>
          <w:sz w:val="18"/>
          <w:szCs w:val="18"/>
          <w:color w:val="auto"/>
        </w:rPr>
        <w:t>BK , HC</w:t>
      </w:r>
    </w:p>
    <w:p>
      <w:pPr>
        <w:spacing w:after="0" w:line="200" w:lineRule="exact"/>
        <w:rPr>
          <w:sz w:val="20"/>
          <w:szCs w:val="20"/>
          <w:color w:val="auto"/>
        </w:rPr>
      </w:pPr>
    </w:p>
    <w:p>
      <w:pPr>
        <w:spacing w:after="0" w:line="2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FOOTNOTES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w:t>
      </w:r>
    </w:p>
    <w:p>
      <w:pPr>
        <w:spacing w:after="0" w:line="256" w:lineRule="exact"/>
        <w:rPr>
          <w:sz w:val="20"/>
          <w:szCs w:val="20"/>
          <w:color w:val="auto"/>
        </w:rPr>
      </w:pPr>
    </w:p>
    <w:p>
      <w:pPr>
        <w:jc w:val="both"/>
        <w:ind w:left="1300" w:right="8800" w:hanging="644"/>
        <w:spacing w:after="0" w:line="342" w:lineRule="auto"/>
        <w:tabs>
          <w:tab w:leader="none" w:pos="1300" w:val="left"/>
        </w:tabs>
        <w:numPr>
          <w:ilvl w:val="0"/>
          <w:numId w:val="6"/>
        </w:numPr>
        <w:rPr>
          <w:rFonts w:ascii="Arial" w:cs="Arial" w:eastAsia="Arial" w:hAnsi="Arial"/>
          <w:sz w:val="16"/>
          <w:szCs w:val="16"/>
          <w:color w:val="auto"/>
        </w:rPr>
      </w:pPr>
      <w:r>
        <w:rPr>
          <w:rFonts w:ascii="Arial" w:cs="Arial" w:eastAsia="Arial" w:hAnsi="Arial"/>
          <w:sz w:val="16"/>
          <w:szCs w:val="16"/>
          <w:color w:val="auto"/>
        </w:rPr>
        <w:t>Name of Issuer GoHealth, Inc.</w:t>
      </w:r>
    </w:p>
    <w:p>
      <w:pPr>
        <w:spacing w:after="0" w:line="150" w:lineRule="exact"/>
        <w:rPr>
          <w:rFonts w:ascii="Arial" w:cs="Arial" w:eastAsia="Arial" w:hAnsi="Arial"/>
          <w:sz w:val="16"/>
          <w:szCs w:val="16"/>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23" w:lineRule="exact"/>
        <w:rPr>
          <w:rFonts w:ascii="Arial" w:cs="Arial" w:eastAsia="Arial" w:hAnsi="Arial"/>
          <w:sz w:val="18"/>
          <w:szCs w:val="18"/>
          <w:color w:val="auto"/>
        </w:rPr>
      </w:pPr>
    </w:p>
    <w:p>
      <w:pPr>
        <w:ind w:left="1300" w:right="7700"/>
        <w:spacing w:after="0" w:line="281" w:lineRule="auto"/>
        <w:rPr>
          <w:rFonts w:ascii="Arial" w:cs="Arial" w:eastAsia="Arial" w:hAnsi="Arial"/>
          <w:sz w:val="18"/>
          <w:szCs w:val="18"/>
          <w:color w:val="auto"/>
        </w:rPr>
      </w:pPr>
      <w:r>
        <w:rPr>
          <w:rFonts w:ascii="Arial" w:cs="Arial" w:eastAsia="Arial" w:hAnsi="Arial"/>
          <w:sz w:val="16"/>
          <w:szCs w:val="16"/>
          <w:color w:val="auto"/>
        </w:rPr>
        <w:t>214 WEST HURON STREET CHICAGO IL 60654</w:t>
      </w:r>
    </w:p>
    <w:p>
      <w:pPr>
        <w:spacing w:after="0" w:line="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(312) 386-8222</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56" w:lineRule="exact"/>
        <w:rPr>
          <w:sz w:val="20"/>
          <w:szCs w:val="20"/>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CREDIT SUISSE AG/</w:t>
      </w:r>
    </w:p>
    <w:p>
      <w:pPr>
        <w:spacing w:after="0" w:line="237"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23" w:lineRule="exact"/>
        <w:rPr>
          <w:rFonts w:ascii="Arial" w:cs="Arial" w:eastAsia="Arial" w:hAnsi="Arial"/>
          <w:sz w:val="18"/>
          <w:szCs w:val="18"/>
          <w:color w:val="auto"/>
        </w:rPr>
      </w:pPr>
    </w:p>
    <w:p>
      <w:pPr>
        <w:ind w:left="1300" w:right="8260"/>
        <w:spacing w:after="0" w:line="277" w:lineRule="auto"/>
        <w:rPr>
          <w:rFonts w:ascii="Arial" w:cs="Arial" w:eastAsia="Arial" w:hAnsi="Arial"/>
          <w:sz w:val="18"/>
          <w:szCs w:val="18"/>
          <w:color w:val="auto"/>
        </w:rPr>
      </w:pPr>
      <w:r>
        <w:rPr>
          <w:rFonts w:ascii="Arial" w:cs="Arial" w:eastAsia="Arial" w:hAnsi="Arial"/>
          <w:sz w:val="17"/>
          <w:szCs w:val="17"/>
          <w:color w:val="auto"/>
        </w:rPr>
        <w:t>PARADEPLATZ 8 ZURICH V8 CH 8001 41 44333 2751</w:t>
      </w:r>
    </w:p>
    <w:p>
      <w:pPr>
        <w:spacing w:after="0" w:line="199" w:lineRule="exact"/>
        <w:rPr>
          <w:rFonts w:ascii="Arial" w:cs="Arial" w:eastAsia="Arial" w:hAnsi="Arial"/>
          <w:sz w:val="18"/>
          <w:szCs w:val="18"/>
          <w:color w:val="auto"/>
        </w:rPr>
      </w:pPr>
    </w:p>
    <w:p>
      <w:pPr>
        <w:jc w:val="both"/>
        <w:ind w:left="1300" w:right="9040" w:hanging="644"/>
        <w:spacing w:after="0" w:line="342"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Citizenship Switzerland</w:t>
      </w:r>
    </w:p>
    <w:p>
      <w:pPr>
        <w:spacing w:after="0" w:line="150" w:lineRule="exact"/>
        <w:rPr>
          <w:rFonts w:ascii="Arial" w:cs="Arial" w:eastAsia="Arial" w:hAnsi="Arial"/>
          <w:sz w:val="16"/>
          <w:szCs w:val="16"/>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Title of Class of Securities</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Class A Common Stock,$0.0001 par value per share</w:t>
      </w:r>
    </w:p>
    <w:p>
      <w:pPr>
        <w:spacing w:after="0" w:line="237" w:lineRule="exact"/>
        <w:rPr>
          <w:rFonts w:ascii="Arial" w:cs="Arial" w:eastAsia="Arial" w:hAnsi="Arial"/>
          <w:sz w:val="18"/>
          <w:szCs w:val="18"/>
          <w:color w:val="auto"/>
        </w:rPr>
      </w:pPr>
    </w:p>
    <w:p>
      <w:pPr>
        <w:ind w:left="1300" w:right="8760" w:hanging="644"/>
        <w:spacing w:after="0" w:line="342"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CUSIP Number 38046W105</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256" w:lineRule="exact"/>
        <w:rPr>
          <w:sz w:val="20"/>
          <w:szCs w:val="20"/>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Act (15 U.S.C. 78o).</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Bank as defined in section 3(a)(6) of the Act (15 U.S.C. 78c).</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Act (15 U.S.C. 78c).</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 of 1940 (15 U.S.C 80a-8).</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investment adviser in accordance with §240.13d-1(b)(1)(ii)(E);</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A parent holding company or control person in accordance with § 240.13d-1(b)(1)(ii)(G);</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savings associations as defined in Section 3(b) of the Federal Deposit Insurance Act (12 U.S.C. 1813);</w:t>
      </w:r>
    </w:p>
    <w:p>
      <w:pPr>
        <w:spacing w:after="0" w:line="252" w:lineRule="exact"/>
        <w:rPr>
          <w:rFonts w:ascii="Arial" w:cs="Arial" w:eastAsia="Arial" w:hAnsi="Arial"/>
          <w:sz w:val="18"/>
          <w:szCs w:val="18"/>
          <w:color w:val="auto"/>
        </w:rPr>
      </w:pPr>
    </w:p>
    <w:p>
      <w:pPr>
        <w:ind w:left="1960" w:hanging="1304"/>
        <w:spacing w:after="0" w:line="277" w:lineRule="auto"/>
        <w:tabs>
          <w:tab w:leader="none" w:pos="1312" w:val="left"/>
        </w:tabs>
        <w:numPr>
          <w:ilvl w:val="0"/>
          <w:numId w:val="8"/>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non-U.S. institution in accordance with § 240.13d-1(b)(1)(ii)(J).</w:t>
      </w:r>
    </w:p>
    <w:p>
      <w:pPr>
        <w:spacing w:after="0" w:line="252" w:lineRule="exact"/>
        <w:rPr>
          <w:rFonts w:ascii="Arial" w:cs="Arial" w:eastAsia="Arial" w:hAnsi="Arial"/>
          <w:sz w:val="18"/>
          <w:szCs w:val="18"/>
          <w:color w:val="auto"/>
        </w:rPr>
      </w:pPr>
    </w:p>
    <w:p>
      <w:pPr>
        <w:ind w:left="1960" w:hanging="1304"/>
        <w:spacing w:after="0" w:line="277" w:lineRule="auto"/>
        <w:tabs>
          <w:tab w:leader="none" w:pos="1312" w:val="left"/>
        </w:tabs>
        <w:numPr>
          <w:ilvl w:val="0"/>
          <w:numId w:val="8"/>
        </w:numPr>
        <w:rPr>
          <w:rFonts w:ascii="Arial" w:cs="Arial" w:eastAsia="Arial" w:hAnsi="Arial"/>
          <w:sz w:val="18"/>
          <w:szCs w:val="18"/>
          <w:color w:val="auto"/>
        </w:rPr>
      </w:pPr>
      <w:r>
        <w:rPr>
          <w:rFonts w:ascii="Arial" w:cs="Arial" w:eastAsia="Arial" w:hAnsi="Arial"/>
          <w:sz w:val="18"/>
          <w:szCs w:val="18"/>
          <w:color w:val="auto"/>
        </w:rPr>
        <w:t>oA group, in accordance with § 240.13d-1(b)(1)(ii)(K). If filing as a non-U.S. institution in accordance with § 240.13d-1(b)(1)(ii) (J),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13" w:right="37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4. Ownership.</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Provide the following information regarding the aggregate number and percentage of the class of securities of the issuer identified in Item 1.</w:t>
      </w:r>
    </w:p>
    <w:p>
      <w:pPr>
        <w:spacing w:after="0" w:line="275" w:lineRule="exact"/>
        <w:rPr>
          <w:sz w:val="20"/>
          <w:szCs w:val="20"/>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Amount beneficially owned: 28,571</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 of class: 0.02%</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52" w:lineRule="exact"/>
        <w:rPr>
          <w:rFonts w:ascii="Arial" w:cs="Arial" w:eastAsia="Arial" w:hAnsi="Arial"/>
          <w:sz w:val="18"/>
          <w:szCs w:val="18"/>
          <w:color w:val="auto"/>
        </w:rPr>
      </w:pPr>
    </w:p>
    <w:p>
      <w:pPr>
        <w:ind w:left="1960" w:hanging="656"/>
        <w:spacing w:after="0"/>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52" w:lineRule="exact"/>
        <w:rPr>
          <w:rFonts w:ascii="Arial" w:cs="Arial" w:eastAsia="Arial" w:hAnsi="Arial"/>
          <w:sz w:val="18"/>
          <w:szCs w:val="18"/>
          <w:color w:val="auto"/>
        </w:rPr>
      </w:pPr>
    </w:p>
    <w:p>
      <w:pPr>
        <w:ind w:left="1960" w:hanging="656"/>
        <w:spacing w:after="0"/>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power to vote or to direct the vote: 28,571</w:t>
      </w:r>
    </w:p>
    <w:p>
      <w:pPr>
        <w:spacing w:after="0" w:line="252" w:lineRule="exact"/>
        <w:rPr>
          <w:rFonts w:ascii="Arial" w:cs="Arial" w:eastAsia="Arial" w:hAnsi="Arial"/>
          <w:sz w:val="18"/>
          <w:szCs w:val="18"/>
          <w:color w:val="auto"/>
        </w:rPr>
      </w:pPr>
    </w:p>
    <w:p>
      <w:pPr>
        <w:ind w:left="1960" w:hanging="656"/>
        <w:spacing w:after="0"/>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52" w:lineRule="exact"/>
        <w:rPr>
          <w:rFonts w:ascii="Arial" w:cs="Arial" w:eastAsia="Arial" w:hAnsi="Arial"/>
          <w:sz w:val="18"/>
          <w:szCs w:val="18"/>
          <w:color w:val="auto"/>
        </w:rPr>
      </w:pPr>
    </w:p>
    <w:p>
      <w:pPr>
        <w:ind w:left="1960" w:hanging="656"/>
        <w:spacing w:after="0"/>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28,571</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x .</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N/A</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N/A</w:t>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 Identification and Classification of the Subsidiary Which Acquired the Security Being Reported on By the Parent Holding Company</w:t>
      </w:r>
    </w:p>
    <w:p>
      <w:pPr>
        <w:spacing w:after="0" w:line="27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See EX 99.1</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N/A</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405765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513" w:right="539" w:bottom="1440" w:gutter="0" w:footer="0" w:header="0"/>
        </w:sectPr>
      </w:pPr>
    </w:p>
    <w:bookmarkStart w:id="4" w:name="page5"/>
    <w:bookmarkEnd w:id="4"/>
    <w:p>
      <w:pPr>
        <w:spacing w:after="0"/>
        <w:tabs>
          <w:tab w:leader="none" w:pos="580" w:val="left"/>
        </w:tabs>
        <w:rPr>
          <w:sz w:val="20"/>
          <w:szCs w:val="20"/>
          <w:color w:val="auto"/>
        </w:rPr>
      </w:pPr>
      <w:r>
        <w:rPr>
          <w:rFonts w:ascii="Arial" w:cs="Arial" w:eastAsia="Arial" w:hAnsi="Arial"/>
          <w:sz w:val="18"/>
          <w:szCs w:val="18"/>
          <w:b w:val="1"/>
          <w:bCs w:val="1"/>
          <w:color w:val="auto"/>
        </w:rPr>
        <w:t>Item</w:t>
        <w:tab/>
        <w:t>Certification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w:t>
      </w:r>
    </w:p>
    <w:p>
      <w:pPr>
        <w:spacing w:after="0" w:line="211" w:lineRule="exact"/>
        <w:rPr>
          <w:sz w:val="20"/>
          <w:szCs w:val="20"/>
          <w:color w:val="auto"/>
        </w:rPr>
      </w:pPr>
    </w:p>
    <w:p>
      <w:pPr>
        <w:ind w:left="60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0" w:lineRule="exact"/>
        <w:rPr>
          <w:sz w:val="20"/>
          <w:szCs w:val="20"/>
          <w:color w:val="auto"/>
        </w:rPr>
      </w:pPr>
    </w:p>
    <w:p>
      <w:pPr>
        <w:spacing w:after="0" w:line="27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Credit Suisse AG</w:t>
      </w:r>
    </w:p>
    <w:p>
      <w:pPr>
        <w:sectPr>
          <w:pgSz w:w="11900" w:h="16838" w:orient="portrait"/>
          <w:cols w:equalWidth="0" w:num="1">
            <w:col w:w="11180"/>
          </w:cols>
          <w:pgMar w:left="320" w:top="756" w:right="39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Date: February 14, 2022</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/s/ Robert Andric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Name: Robert Andric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ectPr>
          <w:pgSz w:w="11900" w:h="16838" w:orient="portrait"/>
          <w:cols w:equalWidth="0" w:num="3">
            <w:col w:w="4920" w:space="720"/>
            <w:col w:w="260" w:space="80"/>
            <w:col w:w="5200"/>
          </w:cols>
          <w:pgMar w:left="320" w:top="756" w:right="399" w:bottom="1440" w:gutter="0" w:footer="0" w:header="0"/>
          <w:type w:val="continuous"/>
        </w:sect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Footnotes: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379095</wp:posOffset>
            </wp:positionV>
            <wp:extent cx="71748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756" w:right="399" w:bottom="1440" w:gutter="0" w:footer="0" w:header="0"/>
          <w:type w:val="continuous"/>
        </w:sectPr>
      </w:pPr>
    </w:p>
    <w:bookmarkStart w:id="5" w:name="page6"/>
    <w:bookmarkEnd w:id="5"/>
    <w:p>
      <w:pPr>
        <w:ind w:right="60"/>
        <w:spacing w:after="0" w:line="254" w:lineRule="auto"/>
        <w:rPr>
          <w:sz w:val="20"/>
          <w:szCs w:val="20"/>
          <w:color w:val="auto"/>
        </w:rPr>
      </w:pPr>
      <w:r>
        <w:rPr>
          <w:rFonts w:ascii="Arial" w:cs="Arial" w:eastAsia="Arial" w:hAnsi="Arial"/>
          <w:sz w:val="18"/>
          <w:szCs w:val="18"/>
          <w:color w:val="auto"/>
        </w:rPr>
        <w:t>In accordance with Securities and Exchange Commission Release No. 34-39538 (January 12, 1998), this Statement is being filed by Credit Suisse AG (the "Bank"), a Swiss bank, on behalf of its subsidiaries to the extent that they conduct business as the Swiss Universal Bank, Asia Pacific, International Wealth Management, Global Markets, Investment Banking &amp; Capital Markets and the Strategic Resolution Unit operating divisions (collectively, the “Divisions” and together with the Bank and its subsidiaries, the "Reporting Person"). The address of the principal business and office of the Bank is Uetlibergstrasse 231, P.O. Box 900, CH 8070 Zurich, Switzerland. The address of the principal business and office of the Reporting Person in the United States is Eleven Madison Avenue, New York, New York 10010. The ultimate parent company of the Bank is Credit Suisse Group AG ("CSG"), a corporation formed under the laws of Switzerland. CSG is a global financial services company, active in all major financial centers and providing a comprehensive range of banking products.</w:t>
      </w:r>
    </w:p>
    <w:p>
      <w:pPr>
        <w:spacing w:after="0" w:line="19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Bank is comprised of three regionally focused divisions: Swiss Universal Bank, Asia Pacific and International Wealth Management serving Europe, the Middle East, Latin America and Africa. Two other divisions—Global Markets as well as Investment Banking &amp; Capital Markets—sit alongside these regional businesses. The Strategic Resolution Unit consolidates, as of December 31, 2018, the Bank’s remaining portfolios from the former non-strategic units plus additional businesses and positions that do not fit with its strategic direction. The business address of CSG is Paradeplatz 8, P.O. Box 1, CH 8070 Zurich, Switzerland. CSG, for purposes of the federal securities laws, may be deemed ultimately to control the Bank and the Reporting Person. CSG, its executive officers and directors, and its direct and indirect subsidiaries may beneficially own securities to which this Statement relates (the "Shares") and such Shares are not reported in this Statement. CSG disclaims beneficial ownership of Shares beneficially owned by its direct and indirect subsidiaries, including the Reporting Person. Each of the Divisions disclaims beneficial ownership of Shares beneficially owned by the Reporting Person. The Reporting Person disclaims beneficial ownership of Shares beneficially owned by CSG and each of the Divisions.</w:t>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lvl w:ilvl="1">
      <w:lvlJc w:val="left"/>
      <w:lvlText w:val="x"/>
      <w:numFmt w:val="bullet"/>
      <w:start w:val="1"/>
    </w:lvl>
  </w:abstractNum>
  <w:abstractNum w:abstractNumId="1">
    <w:nsid w:val="3D1B58BA"/>
    <w:multiLevelType w:val="hybridMultilevel"/>
    <w:lvl w:ilvl="0">
      <w:lvlJc w:val="left"/>
      <w:lvlText w:val="1"/>
      <w:numFmt w:val="bullet"/>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4"/>
      <w:numFmt w:val="bullet"/>
      <w:start w:val="1"/>
    </w:lvl>
  </w:abstractNum>
  <w:abstractNum w:abstractNumId="4">
    <w:nsid w:val="41B71EFB"/>
    <w:multiLevelType w:val="hybridMultilevel"/>
    <w:lvl w:ilvl="0">
      <w:lvlJc w:val="left"/>
      <w:lvlText w:val="9"/>
      <w:numFmt w:val="bullet"/>
      <w:start w:val="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2022-02-14T12:08:57Z</dcterms:created>
  <dcterms:modified xsi:type="dcterms:W3CDTF">2022-02-14T12:08:57Z</dcterms:modified>
</cp:coreProperties>
</file>