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January 13, 2023</w:t>
      </w:r>
    </w:p>
    <w:p>
      <w:pPr>
        <w:spacing w:after="0" w:line="125" w:lineRule="exact"/>
        <w:rPr>
          <w:sz w:val="24"/>
          <w:szCs w:val="24"/>
          <w:color w:val="auto"/>
        </w:rPr>
      </w:pPr>
    </w:p>
    <w:p>
      <w:pPr>
        <w:ind w:left="9680"/>
        <w:spacing w:after="0"/>
        <w:rPr>
          <w:sz w:val="20"/>
          <w:szCs w:val="20"/>
          <w:color w:val="auto"/>
        </w:rPr>
      </w:pPr>
      <w:r>
        <w:rPr>
          <w:rFonts w:ascii="Arial" w:cs="Arial" w:eastAsia="Arial" w:hAnsi="Arial"/>
          <w:sz w:val="14"/>
          <w:szCs w:val="14"/>
          <w:b w:val="1"/>
          <w:bCs w:val="1"/>
          <w:color w:val="auto"/>
        </w:rPr>
        <w:t>Registration No. 333-</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214"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33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spacing w:after="0" w:line="12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 UNDER</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318" w:lineRule="exact"/>
        <w:rPr>
          <w:sz w:val="24"/>
          <w:szCs w:val="24"/>
          <w:color w:val="auto"/>
        </w:rPr>
      </w:pPr>
    </w:p>
    <w:p>
      <w:pPr>
        <w:jc w:val="center"/>
        <w:spacing w:after="0"/>
        <w:rPr>
          <w:sz w:val="20"/>
          <w:szCs w:val="20"/>
          <w:color w:val="auto"/>
        </w:rPr>
      </w:pPr>
      <w:r>
        <w:rPr>
          <w:rFonts w:ascii="Arial" w:cs="Arial" w:eastAsia="Arial" w:hAnsi="Arial"/>
          <w:sz w:val="34"/>
          <w:szCs w:val="34"/>
          <w:b w:val="1"/>
          <w:bCs w:val="1"/>
          <w:color w:val="auto"/>
        </w:rPr>
        <w:t>GoHealth, Inc.</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33" w:lineRule="exact"/>
        <w:rPr>
          <w:sz w:val="24"/>
          <w:szCs w:val="24"/>
          <w:color w:val="auto"/>
        </w:rPr>
      </w:pPr>
    </w:p>
    <w:tbl>
      <w:tblPr>
        <w:tblLayout w:type="fixed"/>
        <w:tblInd w:w="1920" w:type="dxa"/>
        <w:tblCellMar>
          <w:top w:w="0" w:type="dxa"/>
          <w:left w:w="0" w:type="dxa"/>
          <w:bottom w:w="0" w:type="dxa"/>
          <w:right w:w="0" w:type="dxa"/>
        </w:tblCellMar>
      </w:tblPr>
      <w:tr>
        <w:trPr>
          <w:trHeight w:val="161"/>
        </w:trPr>
        <w:tc>
          <w:tcPr>
            <w:tcW w:w="4560" w:type="dxa"/>
            <w:vAlign w:val="bottom"/>
          </w:tcPr>
          <w:p>
            <w:pPr>
              <w:jc w:val="center"/>
              <w:ind w:right="2809"/>
              <w:spacing w:after="0"/>
              <w:rPr>
                <w:sz w:val="20"/>
                <w:szCs w:val="20"/>
                <w:color w:val="auto"/>
              </w:rPr>
            </w:pPr>
            <w:r>
              <w:rPr>
                <w:rFonts w:ascii="Arial" w:cs="Arial" w:eastAsia="Arial" w:hAnsi="Arial"/>
                <w:sz w:val="14"/>
                <w:szCs w:val="14"/>
                <w:b w:val="1"/>
                <w:bCs w:val="1"/>
                <w:color w:val="auto"/>
                <w:w w:val="98"/>
              </w:rPr>
              <w:t>DELAWARE</w:t>
            </w:r>
          </w:p>
        </w:tc>
        <w:tc>
          <w:tcPr>
            <w:tcW w:w="3020" w:type="dxa"/>
            <w:vAlign w:val="bottom"/>
            <w:vMerge w:val="restart"/>
          </w:tcPr>
          <w:p>
            <w:pPr>
              <w:jc w:val="right"/>
              <w:ind w:right="569"/>
              <w:spacing w:after="0"/>
              <w:rPr>
                <w:sz w:val="20"/>
                <w:szCs w:val="20"/>
                <w:color w:val="auto"/>
              </w:rPr>
            </w:pPr>
            <w:r>
              <w:rPr>
                <w:rFonts w:ascii="Arial" w:cs="Arial" w:eastAsia="Arial" w:hAnsi="Arial"/>
                <w:sz w:val="14"/>
                <w:szCs w:val="14"/>
                <w:b w:val="1"/>
                <w:bCs w:val="1"/>
                <w:color w:val="auto"/>
              </w:rPr>
              <w:t>85-0563805</w:t>
            </w:r>
          </w:p>
        </w:tc>
        <w:tc>
          <w:tcPr>
            <w:tcW w:w="0" w:type="dxa"/>
            <w:vAlign w:val="bottom"/>
          </w:tcPr>
          <w:p>
            <w:pPr>
              <w:spacing w:after="0"/>
              <w:rPr>
                <w:sz w:val="1"/>
                <w:szCs w:val="1"/>
                <w:color w:val="auto"/>
              </w:rPr>
            </w:pPr>
          </w:p>
        </w:tc>
      </w:tr>
      <w:tr>
        <w:trPr>
          <w:trHeight w:val="138"/>
        </w:trPr>
        <w:tc>
          <w:tcPr>
            <w:tcW w:w="4560" w:type="dxa"/>
            <w:vAlign w:val="bottom"/>
          </w:tcPr>
          <w:p>
            <w:pPr>
              <w:jc w:val="center"/>
              <w:ind w:right="2809"/>
              <w:spacing w:after="0" w:line="138" w:lineRule="exact"/>
              <w:rPr>
                <w:sz w:val="20"/>
                <w:szCs w:val="20"/>
                <w:color w:val="auto"/>
              </w:rPr>
            </w:pPr>
            <w:r>
              <w:rPr>
                <w:rFonts w:ascii="Arial" w:cs="Arial" w:eastAsia="Arial" w:hAnsi="Arial"/>
                <w:sz w:val="14"/>
                <w:szCs w:val="14"/>
                <w:color w:val="auto"/>
                <w:w w:val="93"/>
              </w:rPr>
              <w:t>(State or other jurisdiction of</w:t>
            </w:r>
          </w:p>
        </w:tc>
        <w:tc>
          <w:tcPr>
            <w:tcW w:w="3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4560" w:type="dxa"/>
            <w:vAlign w:val="bottom"/>
          </w:tcPr>
          <w:p>
            <w:pPr>
              <w:jc w:val="center"/>
              <w:ind w:right="2789"/>
              <w:spacing w:after="0"/>
              <w:rPr>
                <w:sz w:val="20"/>
                <w:szCs w:val="20"/>
                <w:color w:val="auto"/>
              </w:rPr>
            </w:pPr>
            <w:r>
              <w:rPr>
                <w:rFonts w:ascii="Arial" w:cs="Arial" w:eastAsia="Arial" w:hAnsi="Arial"/>
                <w:sz w:val="14"/>
                <w:szCs w:val="14"/>
                <w:color w:val="auto"/>
                <w:w w:val="93"/>
              </w:rPr>
              <w:t>incorporation or organization)</w:t>
            </w:r>
          </w:p>
        </w:tc>
        <w:tc>
          <w:tcPr>
            <w:tcW w:w="3020" w:type="dxa"/>
            <w:vAlign w:val="bottom"/>
          </w:tcPr>
          <w:p>
            <w:pPr>
              <w:jc w:val="center"/>
              <w:ind w:left="1009"/>
              <w:spacing w:after="0"/>
              <w:rPr>
                <w:sz w:val="20"/>
                <w:szCs w:val="20"/>
                <w:color w:val="auto"/>
              </w:rPr>
            </w:pPr>
            <w:r>
              <w:rPr>
                <w:rFonts w:ascii="Arial" w:cs="Arial" w:eastAsia="Arial" w:hAnsi="Arial"/>
                <w:sz w:val="14"/>
                <w:szCs w:val="14"/>
                <w:color w:val="auto"/>
                <w:w w:val="95"/>
              </w:rPr>
              <w:t>(IRS Employer Identification No.)</w:t>
            </w:r>
          </w:p>
        </w:tc>
        <w:tc>
          <w:tcPr>
            <w:tcW w:w="0" w:type="dxa"/>
            <w:vAlign w:val="bottom"/>
          </w:tcPr>
          <w:p>
            <w:pPr>
              <w:spacing w:after="0"/>
              <w:rPr>
                <w:sz w:val="1"/>
                <w:szCs w:val="1"/>
                <w:color w:val="auto"/>
              </w:rPr>
            </w:pPr>
          </w:p>
        </w:tc>
      </w:tr>
      <w:tr>
        <w:trPr>
          <w:trHeight w:val="329"/>
        </w:trPr>
        <w:tc>
          <w:tcPr>
            <w:tcW w:w="7580" w:type="dxa"/>
            <w:vAlign w:val="bottom"/>
            <w:gridSpan w:val="2"/>
          </w:tcPr>
          <w:p>
            <w:pPr>
              <w:ind w:left="2420"/>
              <w:spacing w:after="0"/>
              <w:rPr>
                <w:sz w:val="20"/>
                <w:szCs w:val="20"/>
                <w:color w:val="auto"/>
              </w:rPr>
            </w:pPr>
            <w:r>
              <w:rPr>
                <w:rFonts w:ascii="Arial" w:cs="Arial" w:eastAsia="Arial" w:hAnsi="Arial"/>
                <w:sz w:val="14"/>
                <w:szCs w:val="14"/>
                <w:b w:val="1"/>
                <w:bCs w:val="1"/>
                <w:color w:val="auto"/>
              </w:rPr>
              <w:t>214 West Huron St., Chicago, Illinois 60654</w:t>
            </w:r>
          </w:p>
        </w:tc>
        <w:tc>
          <w:tcPr>
            <w:tcW w:w="0" w:type="dxa"/>
            <w:vAlign w:val="bottom"/>
          </w:tcPr>
          <w:p>
            <w:pPr>
              <w:spacing w:after="0"/>
              <w:rPr>
                <w:sz w:val="1"/>
                <w:szCs w:val="1"/>
                <w:color w:val="auto"/>
              </w:rPr>
            </w:pPr>
          </w:p>
        </w:tc>
      </w:tr>
      <w:tr>
        <w:trPr>
          <w:trHeight w:val="180"/>
        </w:trPr>
        <w:tc>
          <w:tcPr>
            <w:tcW w:w="4560" w:type="dxa"/>
            <w:vAlign w:val="bottom"/>
          </w:tcPr>
          <w:p>
            <w:pPr>
              <w:ind w:left="2100"/>
              <w:spacing w:after="0"/>
              <w:rPr>
                <w:sz w:val="20"/>
                <w:szCs w:val="20"/>
                <w:color w:val="auto"/>
              </w:rPr>
            </w:pPr>
            <w:r>
              <w:rPr>
                <w:rFonts w:ascii="Arial" w:cs="Arial" w:eastAsia="Arial" w:hAnsi="Arial"/>
                <w:sz w:val="14"/>
                <w:szCs w:val="14"/>
                <w:color w:val="auto"/>
                <w:w w:val="99"/>
              </w:rPr>
              <w:t>(Address of Principal Executive Offices)</w:t>
            </w:r>
          </w:p>
        </w:tc>
        <w:tc>
          <w:tcPr>
            <w:tcW w:w="3020" w:type="dxa"/>
            <w:vAlign w:val="bottom"/>
          </w:tcPr>
          <w:p>
            <w:pPr>
              <w:ind w:left="14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bl>
    <w:p>
      <w:pPr>
        <w:spacing w:after="0" w:line="9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GOHEALTH, INC. AMENDED AND RESTATED 2020 INCENTIVE AWARD PLAN</w:t>
      </w:r>
    </w:p>
    <w:p>
      <w:pPr>
        <w:jc w:val="center"/>
        <w:spacing w:after="0" w:line="221" w:lineRule="auto"/>
        <w:rPr>
          <w:sz w:val="20"/>
          <w:szCs w:val="20"/>
          <w:color w:val="auto"/>
        </w:rPr>
      </w:pPr>
      <w:r>
        <w:rPr>
          <w:rFonts w:ascii="Arial" w:cs="Arial" w:eastAsia="Arial" w:hAnsi="Arial"/>
          <w:sz w:val="14"/>
          <w:szCs w:val="14"/>
          <w:b w:val="1"/>
          <w:bCs w:val="1"/>
          <w:color w:val="auto"/>
        </w:rPr>
        <w:t>GOHEALTH, INC. 2020 EMPLOYEE STOCK PURCHASE PLAN</w:t>
      </w:r>
    </w:p>
    <w:p>
      <w:pPr>
        <w:jc w:val="center"/>
        <w:spacing w:after="0"/>
        <w:rPr>
          <w:sz w:val="20"/>
          <w:szCs w:val="20"/>
          <w:color w:val="auto"/>
        </w:rPr>
      </w:pPr>
      <w:r>
        <w:rPr>
          <w:rFonts w:ascii="Arial" w:cs="Arial" w:eastAsia="Arial" w:hAnsi="Arial"/>
          <w:sz w:val="14"/>
          <w:szCs w:val="14"/>
          <w:color w:val="auto"/>
        </w:rPr>
        <w:t>(Full title of the plan)</w:t>
      </w:r>
    </w:p>
    <w:p>
      <w:pPr>
        <w:spacing w:after="0" w:line="290" w:lineRule="exact"/>
        <w:rPr>
          <w:sz w:val="24"/>
          <w:szCs w:val="24"/>
          <w:color w:val="auto"/>
        </w:rPr>
      </w:pPr>
    </w:p>
    <w:p>
      <w:pPr>
        <w:ind w:left="4920"/>
        <w:spacing w:after="0"/>
        <w:rPr>
          <w:sz w:val="20"/>
          <w:szCs w:val="20"/>
          <w:color w:val="auto"/>
        </w:rPr>
      </w:pPr>
      <w:r>
        <w:rPr>
          <w:rFonts w:ascii="Arial" w:cs="Arial" w:eastAsia="Arial" w:hAnsi="Arial"/>
          <w:sz w:val="14"/>
          <w:szCs w:val="14"/>
          <w:b w:val="1"/>
          <w:bCs w:val="1"/>
          <w:color w:val="auto"/>
        </w:rPr>
        <w:t>BRIAN FARLEY, ESQ.</w:t>
      </w:r>
    </w:p>
    <w:p>
      <w:pPr>
        <w:ind w:left="4280"/>
        <w:spacing w:after="0" w:line="210" w:lineRule="auto"/>
        <w:rPr>
          <w:sz w:val="20"/>
          <w:szCs w:val="20"/>
          <w:color w:val="auto"/>
        </w:rPr>
      </w:pPr>
      <w:r>
        <w:rPr>
          <w:rFonts w:ascii="Arial" w:cs="Arial" w:eastAsia="Arial" w:hAnsi="Arial"/>
          <w:sz w:val="14"/>
          <w:szCs w:val="14"/>
          <w:b w:val="1"/>
          <w:bCs w:val="1"/>
          <w:color w:val="auto"/>
        </w:rPr>
        <w:t>Chief Legal Officer and Corporate Secretary</w:t>
      </w:r>
    </w:p>
    <w:p>
      <w:pPr>
        <w:jc w:val="center"/>
        <w:spacing w:after="0" w:line="206" w:lineRule="auto"/>
        <w:rPr>
          <w:sz w:val="20"/>
          <w:szCs w:val="20"/>
          <w:color w:val="auto"/>
        </w:rPr>
      </w:pPr>
      <w:r>
        <w:rPr>
          <w:rFonts w:ascii="Arial" w:cs="Arial" w:eastAsia="Arial" w:hAnsi="Arial"/>
          <w:sz w:val="14"/>
          <w:szCs w:val="14"/>
          <w:b w:val="1"/>
          <w:bCs w:val="1"/>
          <w:color w:val="auto"/>
        </w:rPr>
        <w:t>GoHealth, Inc.</w:t>
      </w:r>
    </w:p>
    <w:p>
      <w:pPr>
        <w:jc w:val="center"/>
        <w:spacing w:after="0" w:line="206" w:lineRule="auto"/>
        <w:rPr>
          <w:sz w:val="20"/>
          <w:szCs w:val="20"/>
          <w:color w:val="auto"/>
        </w:rPr>
      </w:pPr>
      <w:r>
        <w:rPr>
          <w:rFonts w:ascii="Arial" w:cs="Arial" w:eastAsia="Arial" w:hAnsi="Arial"/>
          <w:sz w:val="14"/>
          <w:szCs w:val="14"/>
          <w:b w:val="1"/>
          <w:bCs w:val="1"/>
          <w:color w:val="auto"/>
        </w:rPr>
        <w:t>214 West Huron St.</w:t>
      </w:r>
    </w:p>
    <w:p>
      <w:pPr>
        <w:jc w:val="center"/>
        <w:spacing w:after="0" w:line="221" w:lineRule="auto"/>
        <w:rPr>
          <w:sz w:val="20"/>
          <w:szCs w:val="20"/>
          <w:color w:val="auto"/>
        </w:rPr>
      </w:pPr>
      <w:r>
        <w:rPr>
          <w:rFonts w:ascii="Arial" w:cs="Arial" w:eastAsia="Arial" w:hAnsi="Arial"/>
          <w:sz w:val="14"/>
          <w:szCs w:val="14"/>
          <w:b w:val="1"/>
          <w:bCs w:val="1"/>
          <w:color w:val="auto"/>
        </w:rPr>
        <w:t>Chicago, Illinois 60654</w:t>
      </w:r>
    </w:p>
    <w:p>
      <w:pPr>
        <w:jc w:val="center"/>
        <w:spacing w:after="0"/>
        <w:rPr>
          <w:sz w:val="20"/>
          <w:szCs w:val="20"/>
          <w:color w:val="auto"/>
        </w:rPr>
      </w:pPr>
      <w:r>
        <w:rPr>
          <w:rFonts w:ascii="Arial" w:cs="Arial" w:eastAsia="Arial" w:hAnsi="Arial"/>
          <w:sz w:val="14"/>
          <w:szCs w:val="14"/>
          <w:color w:val="auto"/>
        </w:rPr>
        <w:t>(Name and address of agent for service)</w:t>
      </w:r>
    </w:p>
    <w:p>
      <w:pPr>
        <w:spacing w:after="0" w:line="14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(312) 386-8200</w:t>
      </w:r>
    </w:p>
    <w:p>
      <w:pPr>
        <w:jc w:val="center"/>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294640</wp:posOffset>
            </wp:positionV>
            <wp:extent cx="388048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80485" cy="133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spacing w:after="0" w:line="24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of 1934.</w:t>
      </w:r>
    </w:p>
    <w:p>
      <w:pPr>
        <w:spacing w:after="0" w:line="161" w:lineRule="exact"/>
        <w:rPr>
          <w:sz w:val="24"/>
          <w:szCs w:val="24"/>
          <w:color w:val="auto"/>
        </w:rPr>
      </w:pPr>
    </w:p>
    <w:tbl>
      <w:tblPr>
        <w:tblLayout w:type="fixed"/>
        <w:tblInd w:w="620" w:type="dxa"/>
        <w:tblCellMar>
          <w:top w:w="0" w:type="dxa"/>
          <w:left w:w="0" w:type="dxa"/>
          <w:bottom w:w="0" w:type="dxa"/>
          <w:right w:w="0" w:type="dxa"/>
        </w:tblCellMar>
      </w:tblPr>
      <w:tr>
        <w:trPr>
          <w:trHeight w:val="180"/>
        </w:trPr>
        <w:tc>
          <w:tcPr>
            <w:tcW w:w="1700" w:type="dxa"/>
            <w:vAlign w:val="bottom"/>
          </w:tcPr>
          <w:p>
            <w:pPr>
              <w:jc w:val="center"/>
              <w:ind w:right="369"/>
              <w:spacing w:after="0"/>
              <w:rPr>
                <w:sz w:val="20"/>
                <w:szCs w:val="20"/>
                <w:color w:val="auto"/>
              </w:rPr>
            </w:pPr>
            <w:r>
              <w:rPr>
                <w:rFonts w:ascii="Arial" w:cs="Arial" w:eastAsia="Arial" w:hAnsi="Arial"/>
                <w:sz w:val="14"/>
                <w:szCs w:val="14"/>
                <w:color w:val="auto"/>
                <w:w w:val="90"/>
              </w:rPr>
              <w:t>Large accelerated filer</w:t>
            </w:r>
          </w:p>
        </w:tc>
        <w:tc>
          <w:tcPr>
            <w:tcW w:w="31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jc w:val="center"/>
              <w:ind w:left="2029"/>
              <w:spacing w:after="0"/>
              <w:rPr>
                <w:sz w:val="20"/>
                <w:szCs w:val="20"/>
                <w:color w:val="auto"/>
              </w:rPr>
            </w:pPr>
            <w:r>
              <w:rPr>
                <w:rFonts w:ascii="Arial" w:cs="Arial" w:eastAsia="Arial" w:hAnsi="Arial"/>
                <w:sz w:val="14"/>
                <w:szCs w:val="14"/>
                <w:color w:val="auto"/>
                <w:w w:val="93"/>
              </w:rPr>
              <w:t>Accelerated filer</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80"/>
        </w:trPr>
        <w:tc>
          <w:tcPr>
            <w:tcW w:w="1700" w:type="dxa"/>
            <w:vAlign w:val="bottom"/>
          </w:tcPr>
          <w:p>
            <w:pPr>
              <w:jc w:val="center"/>
              <w:ind w:right="349"/>
              <w:spacing w:after="0"/>
              <w:rPr>
                <w:sz w:val="20"/>
                <w:szCs w:val="20"/>
                <w:color w:val="auto"/>
              </w:rPr>
            </w:pPr>
            <w:r>
              <w:rPr>
                <w:rFonts w:ascii="Arial" w:cs="Arial" w:eastAsia="Arial" w:hAnsi="Arial"/>
                <w:sz w:val="14"/>
                <w:szCs w:val="14"/>
                <w:color w:val="auto"/>
                <w:w w:val="92"/>
              </w:rPr>
              <w:t>Non-accelerated filer</w:t>
            </w:r>
          </w:p>
        </w:tc>
        <w:tc>
          <w:tcPr>
            <w:tcW w:w="3180" w:type="dxa"/>
            <w:vAlign w:val="bottom"/>
          </w:tcPr>
          <w:p>
            <w:pPr>
              <w:ind w:left="420"/>
              <w:spacing w:after="0" w:line="141" w:lineRule="exact"/>
              <w:rPr>
                <w:sz w:val="20"/>
                <w:szCs w:val="20"/>
                <w:color w:val="auto"/>
              </w:rPr>
            </w:pPr>
            <w:r>
              <w:rPr>
                <w:rFonts w:ascii="MS PGothic" w:cs="MS PGothic" w:eastAsia="MS PGothic" w:hAnsi="MS PGothic"/>
                <w:sz w:val="14"/>
                <w:szCs w:val="14"/>
                <w:color w:val="auto"/>
              </w:rPr>
              <w:t>☒</w:t>
            </w:r>
          </w:p>
        </w:tc>
        <w:tc>
          <w:tcPr>
            <w:tcW w:w="4720" w:type="dxa"/>
            <w:vAlign w:val="bottom"/>
          </w:tcPr>
          <w:p>
            <w:pPr>
              <w:jc w:val="center"/>
              <w:ind w:left="2029"/>
              <w:spacing w:after="0"/>
              <w:rPr>
                <w:sz w:val="20"/>
                <w:szCs w:val="20"/>
                <w:color w:val="auto"/>
              </w:rPr>
            </w:pPr>
            <w:r>
              <w:rPr>
                <w:rFonts w:ascii="Arial" w:cs="Arial" w:eastAsia="Arial" w:hAnsi="Arial"/>
                <w:sz w:val="14"/>
                <w:szCs w:val="14"/>
                <w:color w:val="auto"/>
                <w:w w:val="92"/>
              </w:rPr>
              <w:t>Smaller reporting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21"/>
        </w:trPr>
        <w:tc>
          <w:tcPr>
            <w:tcW w:w="17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720" w:type="dxa"/>
            <w:vAlign w:val="bottom"/>
          </w:tcPr>
          <w:p>
            <w:pPr>
              <w:jc w:val="center"/>
              <w:ind w:left="2029"/>
              <w:spacing w:after="0"/>
              <w:rPr>
                <w:sz w:val="20"/>
                <w:szCs w:val="20"/>
                <w:color w:val="auto"/>
              </w:rPr>
            </w:pPr>
            <w:r>
              <w:rPr>
                <w:rFonts w:ascii="Arial" w:cs="Arial" w:eastAsia="Arial" w:hAnsi="Arial"/>
                <w:sz w:val="14"/>
                <w:szCs w:val="14"/>
                <w:color w:val="auto"/>
                <w:w w:val="92"/>
              </w:rPr>
              <w:t>Emerging growth company</w:t>
            </w:r>
          </w:p>
        </w:tc>
        <w:tc>
          <w:tcPr>
            <w:tcW w:w="660" w:type="dxa"/>
            <w:vAlign w:val="bottom"/>
          </w:tcPr>
          <w:p>
            <w:pPr>
              <w:ind w:left="5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228" w:lineRule="exact"/>
        <w:rPr>
          <w:sz w:val="24"/>
          <w:szCs w:val="24"/>
          <w:color w:val="auto"/>
        </w:rPr>
      </w:pPr>
    </w:p>
    <w:p>
      <w:pPr>
        <w:ind w:right="220"/>
        <w:spacing w:after="0" w:line="167"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ectPr>
          <w:pgSz w:w="11900" w:h="16838" w:orient="portrait"/>
          <w:cols w:equalWidth="0" w:num="1">
            <w:col w:w="11280"/>
          </w:cols>
          <w:pgMar w:left="300" w:top="1218" w:right="319" w:bottom="1440" w:gutter="0" w:footer="0" w:header="0"/>
        </w:sectPr>
      </w:pPr>
    </w:p>
    <w:bookmarkStart w:id="1" w:name="page2"/>
    <w:bookmarkEnd w:id="1"/>
    <w:p>
      <w:pPr>
        <w:jc w:val="center"/>
        <w:spacing w:after="0"/>
        <w:rPr>
          <w:sz w:val="20"/>
          <w:szCs w:val="20"/>
          <w:color w:val="auto"/>
        </w:rPr>
      </w:pPr>
      <w:r>
        <w:rPr>
          <w:rFonts w:ascii="Arial" w:cs="Arial" w:eastAsia="Arial" w:hAnsi="Arial"/>
          <w:sz w:val="14"/>
          <w:szCs w:val="14"/>
          <w:b w:val="1"/>
          <w:bCs w:val="1"/>
          <w:color w:val="auto"/>
        </w:rPr>
        <w:t>EXPLANATORY NOTE</w:t>
      </w:r>
    </w:p>
    <w:p>
      <w:pPr>
        <w:spacing w:after="0" w:line="172" w:lineRule="exact"/>
        <w:rPr>
          <w:sz w:val="20"/>
          <w:szCs w:val="20"/>
          <w:color w:val="auto"/>
        </w:rPr>
      </w:pPr>
    </w:p>
    <w:p>
      <w:pPr>
        <w:spacing w:after="0"/>
        <w:rPr>
          <w:sz w:val="20"/>
          <w:szCs w:val="20"/>
          <w:color w:val="auto"/>
        </w:rPr>
      </w:pPr>
      <w:r>
        <w:rPr>
          <w:rFonts w:ascii="Arial" w:cs="Arial" w:eastAsia="Arial" w:hAnsi="Arial"/>
          <w:sz w:val="13"/>
          <w:szCs w:val="13"/>
          <w:color w:val="auto"/>
        </w:rPr>
        <w:t>This Registration Statement on Form S-8 is being filed by GoHealth, Inc. (the “Company”) with the Securities and Exchange Commission (the “Commission”) for the purpose of registering an</w:t>
      </w:r>
    </w:p>
    <w:p>
      <w:pPr>
        <w:spacing w:after="0" w:line="11" w:lineRule="exact"/>
        <w:rPr>
          <w:sz w:val="20"/>
          <w:szCs w:val="20"/>
          <w:color w:val="auto"/>
        </w:rPr>
      </w:pPr>
    </w:p>
    <w:p>
      <w:pPr>
        <w:jc w:val="both"/>
        <w:spacing w:after="0" w:line="246" w:lineRule="auto"/>
        <w:rPr>
          <w:sz w:val="20"/>
          <w:szCs w:val="20"/>
          <w:color w:val="auto"/>
        </w:rPr>
      </w:pPr>
      <w:r>
        <w:rPr>
          <w:rFonts w:ascii="Arial" w:cs="Arial" w:eastAsia="Arial" w:hAnsi="Arial"/>
          <w:sz w:val="12"/>
          <w:szCs w:val="12"/>
          <w:color w:val="auto"/>
        </w:rPr>
        <w:t>additional 1,189,386 shares of the Company’s Class A Common Stock, par value $0.0001 per share (“Common Stock”), issuable under the following employee benefit plans: (i) the Company’s Amended and Restated 2020 Incentive Award Plan (the “2020 Plan”), which, as a result of the operation of an automatic annual increase provision therein, added 1,099,888 shares of Common Stock, and (ii) the Company’s 2020 Employee Stock Purchase Plan (the “ESPP”), which, as a result of the operation of an automatic annual increase provision therein, added 89,498 shares of Common</w:t>
      </w:r>
    </w:p>
    <w:p>
      <w:pPr>
        <w:spacing w:after="0"/>
        <w:rPr>
          <w:sz w:val="20"/>
          <w:szCs w:val="20"/>
          <w:color w:val="auto"/>
        </w:rPr>
      </w:pPr>
      <w:r>
        <w:rPr>
          <w:rFonts w:ascii="Arial" w:cs="Arial" w:eastAsia="Arial" w:hAnsi="Arial"/>
          <w:sz w:val="14"/>
          <w:szCs w:val="14"/>
          <w:color w:val="auto"/>
        </w:rPr>
        <w:t>Stock.</w:t>
      </w:r>
    </w:p>
    <w:p>
      <w:pPr>
        <w:spacing w:after="0" w:line="167" w:lineRule="exact"/>
        <w:rPr>
          <w:sz w:val="20"/>
          <w:szCs w:val="20"/>
          <w:color w:val="auto"/>
        </w:rPr>
      </w:pPr>
    </w:p>
    <w:p>
      <w:pPr>
        <w:jc w:val="both"/>
        <w:spacing w:after="0" w:line="280" w:lineRule="auto"/>
        <w:rPr>
          <w:rFonts w:ascii="Arial" w:cs="Arial" w:eastAsia="Arial" w:hAnsi="Arial"/>
          <w:sz w:val="13"/>
          <w:szCs w:val="13"/>
          <w:color w:val="auto"/>
        </w:rPr>
      </w:pPr>
      <w:r>
        <w:rPr>
          <w:rFonts w:ascii="Arial" w:cs="Arial" w:eastAsia="Arial" w:hAnsi="Arial"/>
          <w:sz w:val="13"/>
          <w:szCs w:val="13"/>
          <w:color w:val="auto"/>
        </w:rPr>
        <w:t xml:space="preserve">On November 17, 2022, the Company effected a 1-for-15 reverse stock split (the “Reverse Stock Split”). As a result of the Reverse Stock Split, for every fifteen (15) outstanding shares of common stock before the Reverse Stock Split represents one (1) share of common stock after the reverse stock split. On a pre-split basis, we had 115,487,153 Class A Common Stock and 205,352,162 Class B Common Stock issued and outstanding as of December 31, 2021 and 84,195,461 Class A Common Stock and 236,997,109 Class B Common Stock issued and outstanding as of December 31, 2020. On a post-split basis, we had 7,699,143 Class A Common Stock and 13,690,144 Class B Common Stock issued and outstanding as of December 31, 2021 and 5,613,030 Class A Common Stock and </w:t>
      </w:r>
      <w:hyperlink r:id="rId9">
        <w:r>
          <w:rPr>
            <w:rFonts w:ascii="Arial" w:cs="Arial" w:eastAsia="Arial" w:hAnsi="Arial"/>
            <w:sz w:val="13"/>
            <w:szCs w:val="13"/>
            <w:color w:val="auto"/>
          </w:rPr>
          <w:t>15,799,807 Class B Common Stock as of December 31 2020. As a result of the Reverse Stock Split and based on the Common Stock and per share data from the Company’s Annual Report on Form</w:t>
        </w:r>
      </w:hyperlink>
      <w:r>
        <w:rPr>
          <w:rFonts w:ascii="Arial" w:cs="Arial" w:eastAsia="Arial" w:hAnsi="Arial"/>
          <w:sz w:val="13"/>
          <w:szCs w:val="13"/>
          <w:color w:val="auto"/>
        </w:rPr>
        <w:t xml:space="preserve"> </w:t>
      </w:r>
      <w:hyperlink r:id="rId9">
        <w:r>
          <w:rPr>
            <w:rFonts w:ascii="Arial" w:cs="Arial" w:eastAsia="Arial" w:hAnsi="Arial"/>
            <w:sz w:val="13"/>
            <w:szCs w:val="13"/>
            <w:color w:val="auto"/>
          </w:rPr>
          <w:t>10-K for the fiscal year ended December 31, 2021, the Company’s net loss per share of Common Stock, basic and diluted, would have been $(26.80) and $(3.35) per share for the years ended</w:t>
        </w:r>
      </w:hyperlink>
      <w:r>
        <w:rPr>
          <w:rFonts w:ascii="Arial" w:cs="Arial" w:eastAsia="Arial" w:hAnsi="Arial"/>
          <w:sz w:val="13"/>
          <w:szCs w:val="13"/>
          <w:color w:val="auto"/>
        </w:rPr>
        <w:t xml:space="preserve"> December 31, 2021 and December 31, 2020, respectively, as retrospectively adjusted to reflect the Reverse Stock Split.</w:t>
      </w:r>
    </w:p>
    <w:p>
      <w:pPr>
        <w:spacing w:after="0" w:line="148" w:lineRule="exact"/>
        <w:rPr>
          <w:sz w:val="20"/>
          <w:szCs w:val="20"/>
          <w:color w:val="auto"/>
        </w:rPr>
      </w:pPr>
    </w:p>
    <w:p>
      <w:pPr>
        <w:jc w:val="both"/>
        <w:spacing w:after="0" w:line="259" w:lineRule="auto"/>
        <w:rPr>
          <w:rFonts w:ascii="Arial" w:cs="Arial" w:eastAsia="Arial" w:hAnsi="Arial"/>
          <w:sz w:val="12"/>
          <w:szCs w:val="12"/>
          <w:color w:val="auto"/>
        </w:rPr>
      </w:pPr>
      <w:r>
        <w:rPr>
          <w:rFonts w:ascii="Arial" w:cs="Arial" w:eastAsia="Arial" w:hAnsi="Arial"/>
          <w:sz w:val="12"/>
          <w:szCs w:val="12"/>
          <w:color w:val="auto"/>
        </w:rPr>
        <w:t xml:space="preserve">Pursuant to Instruction E of Form S-8, the contents of the Registration Statements on Form S-8 filed with the Commission on </w:t>
      </w:r>
      <w:hyperlink r:id="rId10">
        <w:r>
          <w:rPr>
            <w:rFonts w:ascii="Arial" w:cs="Arial" w:eastAsia="Arial" w:hAnsi="Arial"/>
            <w:sz w:val="12"/>
            <w:szCs w:val="12"/>
            <w:u w:val="single" w:color="auto"/>
            <w:color w:val="0000FF"/>
          </w:rPr>
          <w:t>July 15, 2020</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(File No. 333-239879), </w:t>
      </w:r>
      <w:hyperlink r:id="rId11">
        <w:r>
          <w:rPr>
            <w:rFonts w:ascii="Arial" w:cs="Arial" w:eastAsia="Arial" w:hAnsi="Arial"/>
            <w:sz w:val="12"/>
            <w:szCs w:val="12"/>
            <w:u w:val="single" w:color="auto"/>
            <w:color w:val="0000FF"/>
          </w:rPr>
          <w:t>February 10, 2021</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(File No. 333-252962), </w:t>
      </w:r>
      <w:hyperlink r:id="rId12">
        <w:r>
          <w:rPr>
            <w:rFonts w:ascii="Arial" w:cs="Arial" w:eastAsia="Arial" w:hAnsi="Arial"/>
            <w:sz w:val="12"/>
            <w:szCs w:val="12"/>
            <w:u w:val="single" w:color="auto"/>
            <w:color w:val="0000FF"/>
          </w:rPr>
          <w:t>March 23, 2022</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 xml:space="preserve">(File No. 333-263787) and </w:t>
      </w:r>
      <w:hyperlink r:id="rId13">
        <w:r>
          <w:rPr>
            <w:rFonts w:ascii="Arial" w:cs="Arial" w:eastAsia="Arial" w:hAnsi="Arial"/>
            <w:sz w:val="12"/>
            <w:szCs w:val="12"/>
            <w:u w:val="single" w:color="auto"/>
            <w:color w:val="0000FF"/>
          </w:rPr>
          <w:t>June 6, 2022</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highlight w:val="white"/>
        </w:rPr>
        <w:t>(File</w:t>
      </w:r>
      <w:r>
        <w:rPr>
          <w:rFonts w:ascii="Arial" w:cs="Arial" w:eastAsia="Arial" w:hAnsi="Arial"/>
          <w:sz w:val="12"/>
          <w:szCs w:val="12"/>
          <w:color w:val="auto"/>
        </w:rPr>
        <w:t xml:space="preserve"> </w:t>
      </w:r>
      <w:r>
        <w:rPr>
          <w:rFonts w:ascii="Arial" w:cs="Arial" w:eastAsia="Arial" w:hAnsi="Arial"/>
          <w:sz w:val="12"/>
          <w:szCs w:val="12"/>
          <w:color w:val="auto"/>
          <w:highlight w:val="white"/>
        </w:rPr>
        <w:t>No. 333-265442)</w:t>
      </w:r>
      <w:r>
        <w:rPr>
          <w:rFonts w:ascii="Arial" w:cs="Arial" w:eastAsia="Arial" w:hAnsi="Arial"/>
          <w:sz w:val="12"/>
          <w:szCs w:val="12"/>
          <w:color w:val="auto"/>
        </w:rPr>
        <w:t xml:space="preserve"> are incorporated by reference herein; except for Items 3 and 8 which are being updated by this Registration</w:t>
      </w:r>
    </w:p>
    <w:p>
      <w:pPr>
        <w:spacing w:after="0" w:line="1"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color w:val="auto"/>
        </w:rPr>
        <w:t>Statement.</w:t>
      </w:r>
    </w:p>
    <w:p>
      <w:pPr>
        <w:spacing w:after="0" w:line="145" w:lineRule="exact"/>
        <w:rPr>
          <w:rFonts w:ascii="Arial" w:cs="Arial" w:eastAsia="Arial" w:hAnsi="Arial"/>
          <w:sz w:val="12"/>
          <w:szCs w:val="12"/>
          <w:color w:val="auto"/>
        </w:rPr>
      </w:pPr>
    </w:p>
    <w:p>
      <w:pPr>
        <w:jc w:val="center"/>
        <w:spacing w:after="0"/>
        <w:rPr>
          <w:sz w:val="20"/>
          <w:szCs w:val="20"/>
          <w:color w:val="auto"/>
        </w:rPr>
      </w:pPr>
      <w:r>
        <w:rPr>
          <w:rFonts w:ascii="Arial" w:cs="Arial" w:eastAsia="Arial" w:hAnsi="Arial"/>
          <w:sz w:val="14"/>
          <w:szCs w:val="14"/>
          <w:b w:val="1"/>
          <w:bCs w:val="1"/>
          <w:color w:val="auto"/>
        </w:rPr>
        <w:t>PART II</w:t>
      </w:r>
    </w:p>
    <w:p>
      <w:pPr>
        <w:jc w:val="center"/>
        <w:spacing w:after="0"/>
        <w:rPr>
          <w:sz w:val="20"/>
          <w:szCs w:val="20"/>
          <w:color w:val="auto"/>
        </w:rPr>
      </w:pPr>
      <w:r>
        <w:rPr>
          <w:rFonts w:ascii="Arial" w:cs="Arial" w:eastAsia="Arial" w:hAnsi="Arial"/>
          <w:sz w:val="14"/>
          <w:szCs w:val="14"/>
          <w:b w:val="1"/>
          <w:bCs w:val="1"/>
          <w:color w:val="auto"/>
        </w:rPr>
        <w:t>INFORMATION REQUIRED IN THE REGISTRATION STATEMENT</w:t>
      </w:r>
    </w:p>
    <w:p>
      <w:pPr>
        <w:spacing w:after="0" w:line="163" w:lineRule="exact"/>
        <w:rPr>
          <w:rFonts w:ascii="Arial" w:cs="Arial" w:eastAsia="Arial" w:hAnsi="Arial"/>
          <w:sz w:val="12"/>
          <w:szCs w:val="12"/>
          <w:color w:val="auto"/>
        </w:rPr>
      </w:pPr>
    </w:p>
    <w:p>
      <w:pPr>
        <w:spacing w:after="0"/>
        <w:rPr>
          <w:sz w:val="20"/>
          <w:szCs w:val="20"/>
          <w:color w:val="auto"/>
        </w:rPr>
      </w:pPr>
      <w:r>
        <w:rPr>
          <w:rFonts w:ascii="Arial" w:cs="Arial" w:eastAsia="Arial" w:hAnsi="Arial"/>
          <w:sz w:val="14"/>
          <w:szCs w:val="14"/>
          <w:b w:val="1"/>
          <w:bCs w:val="1"/>
          <w:color w:val="auto"/>
        </w:rPr>
        <w:t>Item 3. Incorporation of Documents by Reference.</w:t>
      </w:r>
    </w:p>
    <w:p>
      <w:pPr>
        <w:spacing w:after="0" w:line="151" w:lineRule="exact"/>
        <w:rPr>
          <w:rFonts w:ascii="Arial" w:cs="Arial" w:eastAsia="Arial" w:hAnsi="Arial"/>
          <w:sz w:val="12"/>
          <w:szCs w:val="12"/>
          <w:color w:val="auto"/>
        </w:rPr>
      </w:pPr>
    </w:p>
    <w:p>
      <w:pPr>
        <w:ind w:right="160"/>
        <w:spacing w:after="0" w:line="236" w:lineRule="auto"/>
        <w:rPr>
          <w:sz w:val="20"/>
          <w:szCs w:val="20"/>
          <w:color w:val="auto"/>
        </w:rPr>
      </w:pPr>
      <w:r>
        <w:rPr>
          <w:rFonts w:ascii="Arial" w:cs="Arial" w:eastAsia="Arial" w:hAnsi="Arial"/>
          <w:sz w:val="14"/>
          <w:szCs w:val="14"/>
          <w:color w:val="auto"/>
        </w:rPr>
        <w:t>The following documents, which have been filed with the Commission by the Company are incorporated in this Registration Statement by reference (excluding any portions of such documents that have been “furnished” but not “filed” for purposes of the Securities Exchange Act of 1934, as amended (the “Exchange Act”)):</w:t>
      </w:r>
    </w:p>
    <w:p>
      <w:pPr>
        <w:spacing w:after="0" w:line="140" w:lineRule="exact"/>
        <w:rPr>
          <w:rFonts w:ascii="Arial" w:cs="Arial" w:eastAsia="Arial" w:hAnsi="Arial"/>
          <w:sz w:val="12"/>
          <w:szCs w:val="12"/>
          <w:color w:val="auto"/>
        </w:rPr>
      </w:pPr>
    </w:p>
    <w:p>
      <w:pPr>
        <w:ind w:left="760" w:hanging="246"/>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The Registrant’s Annual Report on Form 10-K for the fiscal year ended December 31, 2021, filed with the Commission on </w:t>
      </w:r>
      <w:hyperlink r:id="rId14">
        <w:r>
          <w:rPr>
            <w:rFonts w:ascii="Arial" w:cs="Arial" w:eastAsia="Arial" w:hAnsi="Arial"/>
            <w:sz w:val="14"/>
            <w:szCs w:val="14"/>
            <w:u w:val="single" w:color="auto"/>
            <w:color w:val="0000FF"/>
          </w:rPr>
          <w:t>March 16, 2022</w:t>
        </w:r>
      </w:hyperlink>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The Registrant’s Quarterly Reports on Form 10-Q, filed with the Commission on </w:t>
      </w:r>
      <w:hyperlink r:id="rId15">
        <w:r>
          <w:rPr>
            <w:rFonts w:ascii="Arial" w:cs="Arial" w:eastAsia="Arial" w:hAnsi="Arial"/>
            <w:sz w:val="14"/>
            <w:szCs w:val="14"/>
            <w:u w:val="single" w:color="auto"/>
            <w:color w:val="0000FF"/>
          </w:rPr>
          <w:t>May 10, 2022</w:t>
        </w:r>
      </w:hyperlink>
      <w:r>
        <w:rPr>
          <w:rFonts w:ascii="Arial" w:cs="Arial" w:eastAsia="Arial" w:hAnsi="Arial"/>
          <w:sz w:val="14"/>
          <w:szCs w:val="14"/>
          <w:color w:val="auto"/>
        </w:rPr>
        <w:t xml:space="preserve">, </w:t>
      </w:r>
      <w:hyperlink r:id="rId16">
        <w:r>
          <w:rPr>
            <w:rFonts w:ascii="Arial" w:cs="Arial" w:eastAsia="Arial" w:hAnsi="Arial"/>
            <w:sz w:val="14"/>
            <w:szCs w:val="14"/>
            <w:u w:val="single" w:color="auto"/>
            <w:color w:val="0000FF"/>
          </w:rPr>
          <w:t>August 16, 2022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r:id="rId17">
        <w:r>
          <w:rPr>
            <w:rFonts w:ascii="Arial" w:cs="Arial" w:eastAsia="Arial" w:hAnsi="Arial"/>
            <w:sz w:val="14"/>
            <w:szCs w:val="14"/>
            <w:u w:val="single" w:color="auto"/>
            <w:color w:val="0000FF"/>
          </w:rPr>
          <w:t>November 14, 2022</w:t>
        </w:r>
      </w:hyperlink>
      <w:r>
        <w:rPr>
          <w:rFonts w:ascii="Arial" w:cs="Arial" w:eastAsia="Arial" w:hAnsi="Arial"/>
          <w:sz w:val="14"/>
          <w:szCs w:val="14"/>
          <w:color w:val="auto"/>
        </w:rPr>
        <w:t>;</w:t>
      </w:r>
    </w:p>
    <w:p>
      <w:pPr>
        <w:spacing w:after="0" w:line="146" w:lineRule="exact"/>
        <w:rPr>
          <w:rFonts w:ascii="Arial" w:cs="Arial" w:eastAsia="Arial" w:hAnsi="Arial"/>
          <w:sz w:val="14"/>
          <w:szCs w:val="14"/>
          <w:color w:val="auto"/>
        </w:rPr>
      </w:pPr>
    </w:p>
    <w:p>
      <w:pPr>
        <w:ind w:left="760" w:right="80" w:hanging="246"/>
        <w:spacing w:after="0" w:line="231" w:lineRule="auto"/>
        <w:tabs>
          <w:tab w:leader="none" w:pos="755" w:val="left"/>
        </w:tabs>
        <w:numPr>
          <w:ilvl w:val="0"/>
          <w:numId w:val="1"/>
        </w:numPr>
        <w:rPr>
          <w:rFonts w:ascii="Arial" w:cs="Arial" w:eastAsia="Arial" w:hAnsi="Arial"/>
          <w:sz w:val="14"/>
          <w:szCs w:val="14"/>
          <w:color w:val="0000FF"/>
        </w:rPr>
      </w:pPr>
      <w:hyperlink r:id="rId18">
        <w:r>
          <w:rPr>
            <w:rFonts w:ascii="Arial" w:cs="Arial" w:eastAsia="Arial" w:hAnsi="Arial"/>
            <w:sz w:val="14"/>
            <w:szCs w:val="14"/>
            <w:color w:val="auto"/>
          </w:rPr>
          <w:t xml:space="preserve">The Registrant’s Current Reports on Form 8-K, filed with the Commission on </w:t>
        </w:r>
        <w:r>
          <w:rPr>
            <w:rFonts w:ascii="Arial" w:cs="Arial" w:eastAsia="Arial" w:hAnsi="Arial"/>
            <w:sz w:val="14"/>
            <w:szCs w:val="14"/>
            <w:u w:val="single" w:color="auto"/>
            <w:color w:val="0000FF"/>
          </w:rPr>
          <w:t>January 28, 2022</w:t>
        </w:r>
        <w:r>
          <w:rPr>
            <w:rFonts w:ascii="Arial" w:cs="Arial" w:eastAsia="Arial" w:hAnsi="Arial"/>
            <w:sz w:val="14"/>
            <w:szCs w:val="14"/>
            <w:color w:val="auto"/>
          </w:rPr>
          <w:t xml:space="preserve">, </w:t>
        </w:r>
        <w:r>
          <w:rPr>
            <w:rFonts w:ascii="Arial" w:cs="Arial" w:eastAsia="Arial" w:hAnsi="Arial"/>
            <w:sz w:val="14"/>
            <w:szCs w:val="14"/>
            <w:u w:val="single" w:color="auto"/>
            <w:color w:val="0000FF"/>
          </w:rPr>
          <w:t>March 2, 2022</w:t>
        </w:r>
        <w:r>
          <w:rPr>
            <w:rFonts w:ascii="Arial" w:cs="Arial" w:eastAsia="Arial" w:hAnsi="Arial"/>
            <w:sz w:val="14"/>
            <w:szCs w:val="14"/>
            <w:color w:val="auto"/>
          </w:rPr>
          <w:t xml:space="preserve">, </w:t>
        </w:r>
        <w:r>
          <w:rPr>
            <w:rFonts w:ascii="Arial" w:cs="Arial" w:eastAsia="Arial" w:hAnsi="Arial"/>
            <w:sz w:val="14"/>
            <w:szCs w:val="14"/>
            <w:u w:val="single" w:color="auto"/>
            <w:color w:val="0000FF"/>
          </w:rPr>
          <w:t>March 16, 2022</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April 8, 2022</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April 29, 2022</w:t>
        </w:r>
        <w:r>
          <w:rPr>
            <w:rFonts w:ascii="Arial" w:cs="Arial" w:eastAsia="Arial" w:hAnsi="Arial"/>
            <w:sz w:val="14"/>
            <w:szCs w:val="14"/>
            <w:color w:val="auto"/>
          </w:rPr>
          <w:t xml:space="preserve">, </w:t>
        </w:r>
        <w:r>
          <w:rPr>
            <w:rFonts w:ascii="Arial" w:cs="Arial" w:eastAsia="Arial" w:hAnsi="Arial"/>
            <w:sz w:val="14"/>
            <w:szCs w:val="14"/>
            <w:u w:val="single" w:color="auto"/>
            <w:color w:val="0000FF"/>
          </w:rPr>
          <w:t>May 5, 2022</w:t>
        </w:r>
        <w:r>
          <w:rPr>
            <w:rFonts w:ascii="Arial" w:cs="Arial" w:eastAsia="Arial" w:hAnsi="Arial"/>
            <w:sz w:val="14"/>
            <w:szCs w:val="14"/>
            <w:color w:val="auto"/>
          </w:rPr>
          <w:t xml:space="preserve">, </w:t>
        </w:r>
        <w:r>
          <w:rPr>
            <w:rFonts w:ascii="Arial" w:cs="Arial" w:eastAsia="Arial" w:hAnsi="Arial"/>
            <w:sz w:val="14"/>
            <w:szCs w:val="14"/>
            <w:u w:val="single" w:color="auto"/>
            <w:color w:val="0000FF"/>
          </w:rPr>
          <w:t>May 10,</w:t>
        </w:r>
      </w:hyperlink>
      <w:r>
        <w:rPr>
          <w:rFonts w:ascii="Arial" w:cs="Arial" w:eastAsia="Arial" w:hAnsi="Arial"/>
          <w:sz w:val="14"/>
          <w:szCs w:val="14"/>
          <w:color w:val="auto"/>
        </w:rPr>
        <w:t xml:space="preserve"> </w:t>
      </w:r>
      <w:hyperlink r:id="rId19">
        <w:r>
          <w:rPr>
            <w:rFonts w:ascii="Arial" w:cs="Arial" w:eastAsia="Arial" w:hAnsi="Arial"/>
            <w:sz w:val="14"/>
            <w:szCs w:val="14"/>
            <w:u w:val="single" w:color="auto"/>
            <w:color w:val="0000FF"/>
          </w:rPr>
          <w:t>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May 27, 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June 8, 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July 14, 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August 15, 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September 15, 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September 26, 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October 25, 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November 18, 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November 22, 2022</w:t>
        </w:r>
        <w:r>
          <w:rPr>
            <w:rFonts w:ascii="Arial" w:cs="Arial" w:eastAsia="Arial" w:hAnsi="Arial"/>
            <w:sz w:val="14"/>
            <w:szCs w:val="14"/>
            <w:color w:val="000000"/>
          </w:rPr>
          <w:t>,</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December 7,</w:t>
        </w:r>
      </w:hyperlink>
      <w:r>
        <w:rPr>
          <w:rFonts w:ascii="Arial" w:cs="Arial" w:eastAsia="Arial" w:hAnsi="Arial"/>
          <w:sz w:val="14"/>
          <w:szCs w:val="14"/>
          <w:color w:val="0000FF"/>
        </w:rPr>
        <w:t xml:space="preserve"> </w:t>
      </w:r>
      <w:hyperlink r:id="rId19">
        <w:r>
          <w:rPr>
            <w:rFonts w:ascii="Arial" w:cs="Arial" w:eastAsia="Arial" w:hAnsi="Arial"/>
            <w:sz w:val="14"/>
            <w:szCs w:val="14"/>
            <w:u w:val="single" w:color="auto"/>
            <w:color w:val="0000FF"/>
          </w:rPr>
          <w:t>2022</w:t>
        </w:r>
        <w:r>
          <w:rPr>
            <w:rFonts w:ascii="Arial" w:cs="Arial" w:eastAsia="Arial" w:hAnsi="Arial"/>
            <w:sz w:val="14"/>
            <w:szCs w:val="14"/>
            <w:color w:val="000000"/>
          </w:rPr>
          <w:t>, and</w:t>
        </w:r>
        <w:r>
          <w:rPr>
            <w:rFonts w:ascii="Arial" w:cs="Arial" w:eastAsia="Arial" w:hAnsi="Arial"/>
            <w:sz w:val="14"/>
            <w:szCs w:val="14"/>
            <w:color w:val="0000FF"/>
          </w:rPr>
          <w:t xml:space="preserve"> </w:t>
        </w:r>
      </w:hyperlink>
      <w:hyperlink r:id="rId20">
        <w:r>
          <w:rPr>
            <w:rFonts w:ascii="Arial" w:cs="Arial" w:eastAsia="Arial" w:hAnsi="Arial"/>
            <w:sz w:val="14"/>
            <w:szCs w:val="14"/>
            <w:u w:val="single" w:color="auto"/>
            <w:color w:val="0000FF"/>
          </w:rPr>
          <w:t>January 9, 2023</w:t>
        </w:r>
      </w:hyperlink>
      <w:hyperlink r:id="rId19">
        <w:r>
          <w:rPr>
            <w:rFonts w:ascii="Arial" w:cs="Arial" w:eastAsia="Arial" w:hAnsi="Arial"/>
            <w:sz w:val="14"/>
            <w:szCs w:val="14"/>
            <w:color w:val="000000"/>
          </w:rPr>
          <w:t>; and</w:t>
        </w:r>
      </w:hyperlink>
    </w:p>
    <w:p>
      <w:pPr>
        <w:spacing w:after="0" w:line="129" w:lineRule="exact"/>
        <w:rPr>
          <w:rFonts w:ascii="Arial" w:cs="Arial" w:eastAsia="Arial" w:hAnsi="Arial"/>
          <w:sz w:val="14"/>
          <w:szCs w:val="14"/>
          <w:color w:val="0000FF"/>
        </w:rPr>
      </w:pPr>
    </w:p>
    <w:p>
      <w:pPr>
        <w:ind w:left="760" w:right="120" w:hanging="246"/>
        <w:spacing w:after="0" w:line="249" w:lineRule="auto"/>
        <w:tabs>
          <w:tab w:leader="none" w:pos="755"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The description of the Company’s Common Stock contained in the Company’s Registration Statement on Form 8-A dated </w:t>
      </w:r>
      <w:hyperlink r:id="rId21">
        <w:r>
          <w:rPr>
            <w:rFonts w:ascii="Arial" w:cs="Arial" w:eastAsia="Arial" w:hAnsi="Arial"/>
            <w:sz w:val="14"/>
            <w:szCs w:val="14"/>
            <w:u w:val="single" w:color="auto"/>
            <w:color w:val="0000FF"/>
          </w:rPr>
          <w:t>July 15, 2020</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(File No. 001-39390) filed under the Exchange Act, including any amendment or report filed for the purpose of updating such description.</w:t>
      </w:r>
    </w:p>
    <w:p>
      <w:pPr>
        <w:spacing w:after="0" w:line="122" w:lineRule="exact"/>
        <w:rPr>
          <w:rFonts w:ascii="Arial" w:cs="Arial" w:eastAsia="Arial" w:hAnsi="Arial"/>
          <w:sz w:val="14"/>
          <w:szCs w:val="14"/>
          <w:color w:val="0000FF"/>
        </w:rPr>
      </w:pPr>
    </w:p>
    <w:p>
      <w:pPr>
        <w:ind w:right="80"/>
        <w:spacing w:after="0" w:line="259" w:lineRule="auto"/>
        <w:rPr>
          <w:sz w:val="20"/>
          <w:szCs w:val="20"/>
          <w:color w:val="auto"/>
        </w:rPr>
      </w:pPr>
      <w:r>
        <w:rPr>
          <w:rFonts w:ascii="Arial" w:cs="Arial" w:eastAsia="Arial" w:hAnsi="Arial"/>
          <w:sz w:val="12"/>
          <w:szCs w:val="12"/>
          <w:color w:val="auto"/>
        </w:rPr>
        <w:t>All documents subsequently filed by the Company with the Commission pursuant to Sections 13(a), 13(c), 14 or 15(d) of the Exchange Act after the date of this Registration Statement and prior to the filing of a post-effective amendment to this Registration Statement which indicates that all securities offered hereby have been sold or which deregisters all securities then remaining unsold, shall</w:t>
      </w:r>
    </w:p>
    <w:p>
      <w:pPr>
        <w:spacing w:after="0" w:line="1" w:lineRule="exact"/>
        <w:rPr>
          <w:rFonts w:ascii="Arial" w:cs="Arial" w:eastAsia="Arial" w:hAnsi="Arial"/>
          <w:sz w:val="14"/>
          <w:szCs w:val="14"/>
          <w:color w:val="0000FF"/>
        </w:rPr>
      </w:pPr>
    </w:p>
    <w:p>
      <w:pPr>
        <w:ind w:right="560"/>
        <w:spacing w:after="0" w:line="228" w:lineRule="auto"/>
        <w:rPr>
          <w:sz w:val="20"/>
          <w:szCs w:val="20"/>
          <w:color w:val="auto"/>
        </w:rPr>
      </w:pPr>
      <w:r>
        <w:rPr>
          <w:rFonts w:ascii="Arial" w:cs="Arial" w:eastAsia="Arial" w:hAnsi="Arial"/>
          <w:sz w:val="14"/>
          <w:szCs w:val="14"/>
          <w:color w:val="auto"/>
        </w:rPr>
        <w:t>be deemed to be incorporated by reference herein and to be a part hereof from the respective dates of filing of such documents (such documents, and the documents enumerated above, being hereinafter referred to as “Incorporated Documents”).</w:t>
      </w:r>
    </w:p>
    <w:p>
      <w:pPr>
        <w:spacing w:after="0" w:line="128" w:lineRule="exact"/>
        <w:rPr>
          <w:rFonts w:ascii="Arial" w:cs="Arial" w:eastAsia="Arial" w:hAnsi="Arial"/>
          <w:sz w:val="14"/>
          <w:szCs w:val="14"/>
          <w:color w:val="0000FF"/>
        </w:rPr>
      </w:pPr>
    </w:p>
    <w:p>
      <w:pPr>
        <w:ind w:right="160"/>
        <w:spacing w:after="0" w:line="249" w:lineRule="auto"/>
        <w:rPr>
          <w:sz w:val="20"/>
          <w:szCs w:val="20"/>
          <w:color w:val="auto"/>
        </w:rPr>
      </w:pPr>
      <w:r>
        <w:rPr>
          <w:rFonts w:ascii="Arial" w:cs="Arial" w:eastAsia="Arial" w:hAnsi="Arial"/>
          <w:sz w:val="14"/>
          <w:szCs w:val="14"/>
          <w:color w:val="auto"/>
        </w:rPr>
        <w:t>Any statement contained in an Incorporated Document shall be deemed to be modified or superseded for purposes of this Registration Statement to the extent that a statement contained herein or in any other subsequently filed</w:t>
      </w:r>
    </w:p>
    <w:p>
      <w:pPr>
        <w:sectPr>
          <w:pgSz w:w="11900" w:h="16838" w:orient="portrait"/>
          <w:cols w:equalWidth="0" w:num="1">
            <w:col w:w="11280"/>
          </w:cols>
          <w:pgMar w:left="300" w:top="1133" w:right="319" w:bottom="1440" w:gutter="0" w:footer="0" w:header="0"/>
        </w:sectPr>
      </w:pPr>
    </w:p>
    <w:bookmarkStart w:id="2" w:name="page3"/>
    <w:bookmarkEnd w:id="2"/>
    <w:p>
      <w:pPr>
        <w:ind w:right="220"/>
        <w:spacing w:after="0" w:line="236" w:lineRule="auto"/>
        <w:rPr>
          <w:sz w:val="20"/>
          <w:szCs w:val="20"/>
          <w:color w:val="auto"/>
        </w:rPr>
      </w:pPr>
      <w:r>
        <w:rPr>
          <w:rFonts w:ascii="Arial" w:cs="Arial" w:eastAsia="Arial" w:hAnsi="Arial"/>
          <w:sz w:val="14"/>
          <w:szCs w:val="14"/>
          <w:color w:val="auto"/>
        </w:rPr>
        <w:t>Incorporated Document modifies or supersedes such statement. Any such statement so modified or superseded shall not be deemed, except as so modified or superseded, to constitute a part of this Registration Statement.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Exhibits.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color w:val="auto"/>
        </w:rPr>
        <w:t>The Exhibits listed on the accompanying Index to Exhibits are filed as part hereof, or incorporated by reference into, this Registration Statement. See Exhibit Index below.</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320" w:type="dxa"/>
            <w:vAlign w:val="bottom"/>
            <w:gridSpan w:val="11"/>
          </w:tcPr>
          <w:p>
            <w:pPr>
              <w:ind w:left="160"/>
              <w:spacing w:after="0"/>
              <w:rPr>
                <w:sz w:val="20"/>
                <w:szCs w:val="20"/>
                <w:color w:val="auto"/>
              </w:rPr>
            </w:pPr>
            <w:r>
              <w:rPr>
                <w:rFonts w:ascii="Arial" w:cs="Arial" w:eastAsia="Arial" w:hAnsi="Arial"/>
                <w:sz w:val="14"/>
                <w:szCs w:val="14"/>
                <w:b w:val="1"/>
                <w:bCs w:val="1"/>
                <w:color w:val="auto"/>
              </w:rPr>
              <w:t>EXHIBIT INDEX</w:t>
            </w:r>
          </w:p>
        </w:tc>
      </w:tr>
      <w:tr>
        <w:trPr>
          <w:trHeight w:val="474"/>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40" w:type="dxa"/>
            <w:vAlign w:val="bottom"/>
            <w:gridSpan w:val="8"/>
          </w:tcPr>
          <w:p>
            <w:pPr>
              <w:ind w:left="740"/>
              <w:spacing w:after="0"/>
              <w:rPr>
                <w:sz w:val="20"/>
                <w:szCs w:val="20"/>
                <w:color w:val="auto"/>
              </w:rPr>
            </w:pPr>
            <w:r>
              <w:rPr>
                <w:rFonts w:ascii="Arial" w:cs="Arial" w:eastAsia="Arial" w:hAnsi="Arial"/>
                <w:sz w:val="14"/>
                <w:szCs w:val="14"/>
                <w:b w:val="1"/>
                <w:bCs w:val="1"/>
                <w:color w:val="auto"/>
              </w:rPr>
              <w:t>Exhibit Index</w:t>
            </w:r>
          </w:p>
        </w:tc>
      </w:tr>
      <w:tr>
        <w:trPr>
          <w:trHeight w:val="329"/>
        </w:trPr>
        <w:tc>
          <w:tcPr>
            <w:tcW w:w="22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4.1</w:t>
            </w:r>
          </w:p>
        </w:tc>
        <w:tc>
          <w:tcPr>
            <w:tcW w:w="1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8940" w:type="dxa"/>
            <w:vAlign w:val="bottom"/>
            <w:tcBorders>
              <w:top w:val="single" w:sz="8" w:color="auto"/>
            </w:tcBorders>
            <w:gridSpan w:val="16"/>
          </w:tcPr>
          <w:p>
            <w:pPr>
              <w:spacing w:after="0"/>
              <w:rPr>
                <w:rFonts w:ascii="Arial" w:cs="Arial" w:eastAsia="Arial" w:hAnsi="Arial"/>
                <w:sz w:val="14"/>
                <w:szCs w:val="14"/>
                <w:color w:val="0000FF"/>
                <w:w w:val="93"/>
              </w:rPr>
            </w:pPr>
            <w:hyperlink r:id="rId22">
              <w:r>
                <w:rPr>
                  <w:rFonts w:ascii="Arial" w:cs="Arial" w:eastAsia="Arial" w:hAnsi="Arial"/>
                  <w:sz w:val="14"/>
                  <w:szCs w:val="14"/>
                  <w:color w:val="0000FF"/>
                  <w:w w:val="93"/>
                </w:rPr>
                <w:t>Amended and Restated Certificate of Incorporation of GoHealth, Inc. (incorporated by reference to Exhibit 3.1 to the Company’s Quarterly Report on Form</w:t>
              </w:r>
            </w:hyperlink>
          </w:p>
        </w:tc>
      </w:tr>
      <w:tr>
        <w:trPr>
          <w:trHeight w:val="129"/>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300" w:type="dxa"/>
            <w:vAlign w:val="bottom"/>
            <w:tcBorders>
              <w:top w:val="single" w:sz="8" w:color="0000FF"/>
              <w:bottom w:val="single" w:sz="8" w:color="0000FF"/>
            </w:tcBorders>
            <w:gridSpan w:val="9"/>
          </w:tcPr>
          <w:p>
            <w:pPr>
              <w:spacing w:after="0" w:line="129" w:lineRule="exact"/>
              <w:rPr>
                <w:rFonts w:ascii="Arial" w:cs="Arial" w:eastAsia="Arial" w:hAnsi="Arial"/>
                <w:sz w:val="14"/>
                <w:szCs w:val="14"/>
                <w:color w:val="0000FF"/>
                <w:w w:val="93"/>
              </w:rPr>
            </w:pPr>
            <w:hyperlink r:id="rId22">
              <w:r>
                <w:rPr>
                  <w:rFonts w:ascii="Arial" w:cs="Arial" w:eastAsia="Arial" w:hAnsi="Arial"/>
                  <w:sz w:val="14"/>
                  <w:szCs w:val="14"/>
                  <w:color w:val="0000FF"/>
                  <w:w w:val="93"/>
                </w:rPr>
                <w:t>10-Q (File No. 001-39390), filed on August 20, 2020 with the Commission)</w:t>
              </w:r>
            </w:hyperlink>
          </w:p>
        </w:tc>
        <w:tc>
          <w:tcPr>
            <w:tcW w:w="4540" w:type="dxa"/>
            <w:vAlign w:val="bottom"/>
            <w:tcBorders>
              <w:top w:val="single" w:sz="8" w:color="0000FF"/>
            </w:tcBorders>
            <w:gridSpan w:val="5"/>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0"/>
        </w:trPr>
        <w:tc>
          <w:tcPr>
            <w:tcW w:w="2220" w:type="dxa"/>
            <w:vAlign w:val="bottom"/>
          </w:tcPr>
          <w:p>
            <w:pPr>
              <w:jc w:val="center"/>
              <w:spacing w:after="0"/>
              <w:rPr>
                <w:sz w:val="20"/>
                <w:szCs w:val="20"/>
                <w:color w:val="auto"/>
              </w:rPr>
            </w:pPr>
            <w:r>
              <w:rPr>
                <w:rFonts w:ascii="Arial" w:cs="Arial" w:eastAsia="Arial" w:hAnsi="Arial"/>
                <w:sz w:val="14"/>
                <w:szCs w:val="14"/>
                <w:color w:val="auto"/>
                <w:w w:val="92"/>
              </w:rPr>
              <w:t>4.2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gridSpan w:val="16"/>
          </w:tcPr>
          <w:p>
            <w:pPr>
              <w:spacing w:after="0"/>
              <w:rPr>
                <w:rFonts w:ascii="Arial" w:cs="Arial" w:eastAsia="Arial" w:hAnsi="Arial"/>
                <w:sz w:val="14"/>
                <w:szCs w:val="14"/>
                <w:color w:val="0000FF"/>
                <w:w w:val="99"/>
              </w:rPr>
            </w:pPr>
            <w:hyperlink r:id="rId23">
              <w:r>
                <w:rPr>
                  <w:rFonts w:ascii="Arial" w:cs="Arial" w:eastAsia="Arial" w:hAnsi="Arial"/>
                  <w:sz w:val="14"/>
                  <w:szCs w:val="14"/>
                  <w:color w:val="0000FF"/>
                  <w:w w:val="99"/>
                </w:rPr>
                <w:t>Certificate of Amendment to Amended and Restated Certificate of Incorporation of GoHealth, Inc. (incorporated by reference to Exhibit 3.1 to the</w:t>
              </w:r>
            </w:hyperlink>
          </w:p>
        </w:tc>
      </w:tr>
      <w:tr>
        <w:trPr>
          <w:trHeight w:val="129"/>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500" w:type="dxa"/>
            <w:vAlign w:val="bottom"/>
            <w:tcBorders>
              <w:top w:val="single" w:sz="8" w:color="0000FF"/>
              <w:bottom w:val="single" w:sz="8" w:color="0000FF"/>
            </w:tcBorders>
            <w:gridSpan w:val="10"/>
          </w:tcPr>
          <w:p>
            <w:pPr>
              <w:spacing w:after="0" w:line="129" w:lineRule="exact"/>
              <w:rPr>
                <w:rFonts w:ascii="Arial" w:cs="Arial" w:eastAsia="Arial" w:hAnsi="Arial"/>
                <w:sz w:val="14"/>
                <w:szCs w:val="14"/>
                <w:color w:val="0000FF"/>
                <w:w w:val="92"/>
              </w:rPr>
            </w:pPr>
            <w:hyperlink r:id="rId23">
              <w:r>
                <w:rPr>
                  <w:rFonts w:ascii="Arial" w:cs="Arial" w:eastAsia="Arial" w:hAnsi="Arial"/>
                  <w:sz w:val="14"/>
                  <w:szCs w:val="14"/>
                  <w:color w:val="0000FF"/>
                  <w:w w:val="92"/>
                </w:rPr>
                <w:t>Company’s Current Report on Form 8-K (File No. 001-39390), filed on November 18, 2022 with the Commission)</w:t>
              </w:r>
            </w:hyperlink>
          </w:p>
        </w:tc>
        <w:tc>
          <w:tcPr>
            <w:tcW w:w="178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gridSpan w:val="2"/>
          </w:tcPr>
          <w:p>
            <w:pPr>
              <w:spacing w:after="0"/>
              <w:rPr>
                <w:sz w:val="11"/>
                <w:szCs w:val="11"/>
                <w:color w:val="auto"/>
              </w:rPr>
            </w:pPr>
          </w:p>
        </w:tc>
        <w:tc>
          <w:tcPr>
            <w:tcW w:w="40" w:type="dxa"/>
            <w:vAlign w:val="bottom"/>
          </w:tcPr>
          <w:p>
            <w:pPr>
              <w:spacing w:after="0"/>
              <w:rPr>
                <w:sz w:val="11"/>
                <w:szCs w:val="11"/>
                <w:color w:val="auto"/>
              </w:rPr>
            </w:pPr>
          </w:p>
        </w:tc>
      </w:tr>
      <w:tr>
        <w:trPr>
          <w:trHeight w:val="160"/>
        </w:trPr>
        <w:tc>
          <w:tcPr>
            <w:tcW w:w="2220" w:type="dxa"/>
            <w:vAlign w:val="bottom"/>
          </w:tcPr>
          <w:p>
            <w:pPr>
              <w:jc w:val="center"/>
              <w:spacing w:after="0"/>
              <w:rPr>
                <w:sz w:val="20"/>
                <w:szCs w:val="20"/>
                <w:color w:val="auto"/>
              </w:rPr>
            </w:pPr>
            <w:r>
              <w:rPr>
                <w:rFonts w:ascii="Arial" w:cs="Arial" w:eastAsia="Arial" w:hAnsi="Arial"/>
                <w:sz w:val="14"/>
                <w:szCs w:val="14"/>
                <w:color w:val="auto"/>
                <w:w w:val="92"/>
              </w:rPr>
              <w:t>4.3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gridSpan w:val="16"/>
          </w:tcPr>
          <w:p>
            <w:pPr>
              <w:spacing w:after="0"/>
              <w:rPr>
                <w:rFonts w:ascii="Arial" w:cs="Arial" w:eastAsia="Arial" w:hAnsi="Arial"/>
                <w:sz w:val="14"/>
                <w:szCs w:val="14"/>
                <w:color w:val="0000FF"/>
                <w:w w:val="92"/>
              </w:rPr>
            </w:pPr>
            <w:hyperlink r:id="rId24">
              <w:r>
                <w:rPr>
                  <w:rFonts w:ascii="Arial" w:cs="Arial" w:eastAsia="Arial" w:hAnsi="Arial"/>
                  <w:sz w:val="14"/>
                  <w:szCs w:val="14"/>
                  <w:color w:val="0000FF"/>
                  <w:w w:val="92"/>
                </w:rPr>
                <w:t>Amended and Restated Bylaws of GoHealth, Inc. (incorporated by reference to Exhibit 3.2 to the Quarterly Report on Form 10-Q (File No. 001-39390), filed</w:t>
              </w:r>
            </w:hyperlink>
          </w:p>
        </w:tc>
      </w:tr>
      <w:tr>
        <w:trPr>
          <w:trHeight w:val="129"/>
        </w:trPr>
        <w:tc>
          <w:tcPr>
            <w:tcW w:w="2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tcBorders>
              <w:top w:val="single" w:sz="8" w:color="0000FF"/>
              <w:bottom w:val="single" w:sz="8" w:color="0000FF"/>
            </w:tcBorders>
            <w:gridSpan w:val="4"/>
          </w:tcPr>
          <w:p>
            <w:pPr>
              <w:spacing w:after="0" w:line="129" w:lineRule="exact"/>
              <w:rPr>
                <w:rFonts w:ascii="Arial" w:cs="Arial" w:eastAsia="Arial" w:hAnsi="Arial"/>
                <w:sz w:val="14"/>
                <w:szCs w:val="14"/>
                <w:color w:val="0000FF"/>
                <w:w w:val="91"/>
              </w:rPr>
            </w:pPr>
            <w:hyperlink r:id="rId24">
              <w:r>
                <w:rPr>
                  <w:rFonts w:ascii="Arial" w:cs="Arial" w:eastAsia="Arial" w:hAnsi="Arial"/>
                  <w:sz w:val="14"/>
                  <w:szCs w:val="14"/>
                  <w:color w:val="0000FF"/>
                  <w:w w:val="91"/>
                </w:rPr>
                <w:t>on August 20, 2020 with the Commission)</w:t>
              </w:r>
            </w:hyperlink>
          </w:p>
        </w:tc>
        <w:tc>
          <w:tcPr>
            <w:tcW w:w="6500" w:type="dxa"/>
            <w:vAlign w:val="bottom"/>
            <w:tcBorders>
              <w:top w:val="single" w:sz="8" w:color="0000FF"/>
            </w:tcBorders>
            <w:gridSpan w:val="11"/>
          </w:tcPr>
          <w:p>
            <w:pPr>
              <w:spacing w:after="0"/>
              <w:rPr>
                <w:sz w:val="11"/>
                <w:szCs w:val="11"/>
                <w:color w:val="auto"/>
              </w:rPr>
            </w:pPr>
          </w:p>
        </w:tc>
        <w:tc>
          <w:tcPr>
            <w:tcW w:w="40" w:type="dxa"/>
            <w:vAlign w:val="bottom"/>
          </w:tcPr>
          <w:p>
            <w:pPr>
              <w:spacing w:after="0"/>
              <w:rPr>
                <w:sz w:val="11"/>
                <w:szCs w:val="11"/>
                <w:color w:val="auto"/>
              </w:rPr>
            </w:pPr>
          </w:p>
        </w:tc>
      </w:tr>
      <w:tr>
        <w:trPr>
          <w:trHeight w:val="160"/>
        </w:trPr>
        <w:tc>
          <w:tcPr>
            <w:tcW w:w="2220" w:type="dxa"/>
            <w:vAlign w:val="bottom"/>
          </w:tcPr>
          <w:p>
            <w:pPr>
              <w:jc w:val="center"/>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gridSpan w:val="16"/>
          </w:tcPr>
          <w:p>
            <w:pPr>
              <w:spacing w:after="0"/>
              <w:rPr>
                <w:sz w:val="20"/>
                <w:szCs w:val="20"/>
                <w:color w:val="auto"/>
              </w:rPr>
            </w:pPr>
            <w:r>
              <w:rPr>
                <w:rFonts w:ascii="Arial" w:cs="Arial" w:eastAsia="Arial" w:hAnsi="Arial"/>
                <w:sz w:val="14"/>
                <w:szCs w:val="14"/>
                <w:color w:val="0000FF"/>
              </w:rPr>
              <w:t>Opinion of Sidley Austin LLP</w:t>
            </w: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60"/>
        </w:trPr>
        <w:tc>
          <w:tcPr>
            <w:tcW w:w="2220" w:type="dxa"/>
            <w:vAlign w:val="bottom"/>
          </w:tcPr>
          <w:p>
            <w:pPr>
              <w:jc w:val="center"/>
              <w:spacing w:after="0"/>
              <w:rPr>
                <w:sz w:val="20"/>
                <w:szCs w:val="20"/>
                <w:color w:val="auto"/>
              </w:rPr>
            </w:pPr>
            <w:r>
              <w:rPr>
                <w:rFonts w:ascii="Arial" w:cs="Arial" w:eastAsia="Arial" w:hAnsi="Arial"/>
                <w:sz w:val="14"/>
                <w:szCs w:val="14"/>
                <w:color w:val="auto"/>
                <w:w w:val="97"/>
              </w:rPr>
              <w:t>23.1*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940" w:type="dxa"/>
            <w:vAlign w:val="bottom"/>
            <w:gridSpan w:val="16"/>
          </w:tcPr>
          <w:p>
            <w:pPr>
              <w:spacing w:after="0"/>
              <w:rPr>
                <w:sz w:val="20"/>
                <w:szCs w:val="20"/>
                <w:color w:val="auto"/>
              </w:rPr>
            </w:pPr>
            <w:r>
              <w:rPr>
                <w:rFonts w:ascii="Arial" w:cs="Arial" w:eastAsia="Arial" w:hAnsi="Arial"/>
                <w:sz w:val="14"/>
                <w:szCs w:val="14"/>
                <w:color w:val="0000FF"/>
              </w:rPr>
              <w:t>Consent of Ernst &amp; Young LLP</w:t>
            </w: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60"/>
        </w:trPr>
        <w:tc>
          <w:tcPr>
            <w:tcW w:w="2220" w:type="dxa"/>
            <w:vAlign w:val="bottom"/>
          </w:tcPr>
          <w:p>
            <w:pPr>
              <w:jc w:val="center"/>
              <w:spacing w:after="0"/>
              <w:rPr>
                <w:sz w:val="20"/>
                <w:szCs w:val="20"/>
                <w:color w:val="auto"/>
              </w:rPr>
            </w:pPr>
            <w:r>
              <w:rPr>
                <w:rFonts w:ascii="Arial" w:cs="Arial" w:eastAsia="Arial" w:hAnsi="Arial"/>
                <w:sz w:val="14"/>
                <w:szCs w:val="14"/>
                <w:color w:val="auto"/>
                <w:w w:val="97"/>
              </w:rPr>
              <w:t>23.2*</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40" w:type="dxa"/>
            <w:vAlign w:val="bottom"/>
            <w:tcBorders>
              <w:bottom w:val="single" w:sz="8" w:color="0000FF"/>
            </w:tcBorders>
            <w:gridSpan w:val="7"/>
          </w:tcPr>
          <w:p>
            <w:pPr>
              <w:spacing w:after="0"/>
              <w:rPr>
                <w:sz w:val="20"/>
                <w:szCs w:val="20"/>
                <w:color w:val="auto"/>
              </w:rPr>
            </w:pPr>
            <w:r>
              <w:rPr>
                <w:rFonts w:ascii="Arial" w:cs="Arial" w:eastAsia="Arial" w:hAnsi="Arial"/>
                <w:sz w:val="14"/>
                <w:szCs w:val="14"/>
                <w:color w:val="0000FF"/>
                <w:w w:val="94"/>
              </w:rPr>
              <w:t>Consent of Sidley Austin LLP (included in Exhibit 5.1)</w:t>
            </w:r>
          </w:p>
        </w:tc>
        <w:tc>
          <w:tcPr>
            <w:tcW w:w="5800" w:type="dxa"/>
            <w:vAlign w:val="bottom"/>
            <w:gridSpan w:val="9"/>
          </w:tcPr>
          <w:p>
            <w:pPr>
              <w:spacing w:after="0"/>
              <w:rPr>
                <w:sz w:val="13"/>
                <w:szCs w:val="13"/>
                <w:color w:val="auto"/>
              </w:rPr>
            </w:pPr>
          </w:p>
        </w:tc>
      </w:tr>
      <w:tr>
        <w:trPr>
          <w:trHeight w:val="160"/>
        </w:trPr>
        <w:tc>
          <w:tcPr>
            <w:tcW w:w="2220" w:type="dxa"/>
            <w:vAlign w:val="bottom"/>
          </w:tcPr>
          <w:p>
            <w:pPr>
              <w:jc w:val="center"/>
              <w:spacing w:after="0"/>
              <w:rPr>
                <w:sz w:val="20"/>
                <w:szCs w:val="20"/>
                <w:color w:val="auto"/>
              </w:rPr>
            </w:pPr>
            <w:r>
              <w:rPr>
                <w:rFonts w:ascii="Arial" w:cs="Arial" w:eastAsia="Arial" w:hAnsi="Arial"/>
                <w:sz w:val="14"/>
                <w:szCs w:val="14"/>
                <w:color w:val="auto"/>
                <w:w w:val="97"/>
              </w:rPr>
              <w:t>24.1*</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w w:val="91"/>
              </w:rPr>
              <w:t>Power of Attorney (included on the signature page hereto)</w:t>
            </w:r>
          </w:p>
        </w:tc>
        <w:tc>
          <w:tcPr>
            <w:tcW w:w="5640" w:type="dxa"/>
            <w:vAlign w:val="bottom"/>
            <w:gridSpan w:val="8"/>
          </w:tcPr>
          <w:p>
            <w:pPr>
              <w:spacing w:after="0"/>
              <w:rPr>
                <w:sz w:val="13"/>
                <w:szCs w:val="13"/>
                <w:color w:val="auto"/>
              </w:rPr>
            </w:pPr>
          </w:p>
        </w:tc>
      </w:tr>
      <w:tr>
        <w:trPr>
          <w:trHeight w:val="171"/>
        </w:trPr>
        <w:tc>
          <w:tcPr>
            <w:tcW w:w="2220" w:type="dxa"/>
            <w:vAlign w:val="bottom"/>
          </w:tcPr>
          <w:p>
            <w:pPr>
              <w:jc w:val="center"/>
              <w:spacing w:after="0"/>
              <w:rPr>
                <w:sz w:val="20"/>
                <w:szCs w:val="20"/>
                <w:color w:val="auto"/>
              </w:rPr>
            </w:pPr>
            <w:r>
              <w:rPr>
                <w:rFonts w:ascii="Arial" w:cs="Arial" w:eastAsia="Arial" w:hAnsi="Arial"/>
                <w:sz w:val="14"/>
                <w:szCs w:val="14"/>
                <w:color w:val="auto"/>
                <w:w w:val="95"/>
              </w:rPr>
              <w:t>99.1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20" w:type="dxa"/>
            <w:vAlign w:val="bottom"/>
            <w:tcBorders>
              <w:bottom w:val="single" w:sz="8" w:color="0000FF"/>
            </w:tcBorders>
            <w:gridSpan w:val="13"/>
          </w:tcPr>
          <w:p>
            <w:pPr>
              <w:spacing w:after="0"/>
              <w:rPr>
                <w:rFonts w:ascii="Arial" w:cs="Arial" w:eastAsia="Arial" w:hAnsi="Arial"/>
                <w:sz w:val="14"/>
                <w:szCs w:val="14"/>
                <w:color w:val="0000FF"/>
                <w:w w:val="92"/>
              </w:rPr>
            </w:pPr>
            <w:hyperlink r:id="rId25">
              <w:r>
                <w:rPr>
                  <w:rFonts w:ascii="Arial" w:cs="Arial" w:eastAsia="Arial" w:hAnsi="Arial"/>
                  <w:sz w:val="14"/>
                  <w:szCs w:val="14"/>
                  <w:color w:val="0000FF"/>
                  <w:w w:val="92"/>
                </w:rPr>
                <w:t>GoHealth, Inc. Amended and Restated 2020 Incentive Award Plan (incorporated by reference to Appendix A to the Company’s Definitive Proxy Statement,</w:t>
              </w:r>
            </w:hyperlink>
          </w:p>
        </w:tc>
        <w:tc>
          <w:tcPr>
            <w:tcW w:w="120" w:type="dxa"/>
            <w:vAlign w:val="bottom"/>
            <w:gridSpan w:val="3"/>
          </w:tcPr>
          <w:p>
            <w:pPr>
              <w:spacing w:after="0"/>
              <w:rPr>
                <w:sz w:val="14"/>
                <w:szCs w:val="14"/>
                <w:color w:val="auto"/>
              </w:rPr>
            </w:pPr>
          </w:p>
        </w:tc>
      </w:tr>
      <w:tr>
        <w:trPr>
          <w:trHeight w:val="150"/>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bottom w:val="single" w:sz="8" w:color="0000FF"/>
            </w:tcBorders>
            <w:gridSpan w:val="5"/>
          </w:tcPr>
          <w:p>
            <w:pPr>
              <w:spacing w:after="0" w:line="150" w:lineRule="exact"/>
              <w:rPr>
                <w:rFonts w:ascii="Arial" w:cs="Arial" w:eastAsia="Arial" w:hAnsi="Arial"/>
                <w:sz w:val="14"/>
                <w:szCs w:val="14"/>
                <w:color w:val="0000FF"/>
                <w:w w:val="93"/>
              </w:rPr>
            </w:pPr>
            <w:hyperlink r:id="rId25">
              <w:r>
                <w:rPr>
                  <w:rFonts w:ascii="Arial" w:cs="Arial" w:eastAsia="Arial" w:hAnsi="Arial"/>
                  <w:sz w:val="14"/>
                  <w:szCs w:val="14"/>
                  <w:color w:val="0000FF"/>
                  <w:w w:val="93"/>
                </w:rPr>
                <w:t>filed on April 13, 2022 with the Commission).</w:t>
              </w:r>
            </w:hyperlink>
          </w:p>
        </w:tc>
        <w:tc>
          <w:tcPr>
            <w:tcW w:w="6320" w:type="dxa"/>
            <w:vAlign w:val="bottom"/>
            <w:gridSpan w:val="11"/>
          </w:tcPr>
          <w:p>
            <w:pPr>
              <w:spacing w:after="0"/>
              <w:rPr>
                <w:sz w:val="13"/>
                <w:szCs w:val="13"/>
                <w:color w:val="auto"/>
              </w:rPr>
            </w:pPr>
          </w:p>
        </w:tc>
      </w:tr>
      <w:tr>
        <w:trPr>
          <w:trHeight w:val="192"/>
        </w:trPr>
        <w:tc>
          <w:tcPr>
            <w:tcW w:w="2220" w:type="dxa"/>
            <w:vAlign w:val="bottom"/>
          </w:tcPr>
          <w:p>
            <w:pPr>
              <w:jc w:val="center"/>
              <w:spacing w:after="0"/>
              <w:rPr>
                <w:sz w:val="20"/>
                <w:szCs w:val="20"/>
                <w:color w:val="auto"/>
              </w:rPr>
            </w:pPr>
            <w:r>
              <w:rPr>
                <w:rFonts w:ascii="Arial" w:cs="Arial" w:eastAsia="Arial" w:hAnsi="Arial"/>
                <w:sz w:val="14"/>
                <w:szCs w:val="14"/>
                <w:color w:val="auto"/>
                <w:w w:val="95"/>
              </w:rPr>
              <w:t>99.2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940" w:type="dxa"/>
            <w:vAlign w:val="bottom"/>
            <w:gridSpan w:val="16"/>
          </w:tcPr>
          <w:p>
            <w:pPr>
              <w:spacing w:after="0"/>
              <w:rPr>
                <w:rFonts w:ascii="Arial" w:cs="Arial" w:eastAsia="Arial" w:hAnsi="Arial"/>
                <w:sz w:val="14"/>
                <w:szCs w:val="14"/>
                <w:color w:val="0000FF"/>
                <w:w w:val="95"/>
              </w:rPr>
            </w:pPr>
            <w:hyperlink r:id="rId26">
              <w:r>
                <w:rPr>
                  <w:rFonts w:ascii="Arial" w:cs="Arial" w:eastAsia="Arial" w:hAnsi="Arial"/>
                  <w:sz w:val="14"/>
                  <w:szCs w:val="14"/>
                  <w:color w:val="0000FF"/>
                  <w:w w:val="95"/>
                </w:rPr>
                <w:t>GoHealth, Inc. 2020 Employee Stock Purchase Plan (incorporated by reference to Exhibit 10.7 to the Company’s Registration Statement (File No. 333-</w:t>
              </w:r>
            </w:hyperlink>
          </w:p>
        </w:tc>
      </w:tr>
      <w:tr>
        <w:trPr>
          <w:trHeight w:val="150"/>
        </w:trPr>
        <w:tc>
          <w:tcPr>
            <w:tcW w:w="2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560" w:type="dxa"/>
            <w:vAlign w:val="bottom"/>
            <w:tcBorders>
              <w:top w:val="single" w:sz="8" w:color="0000FF"/>
            </w:tcBorders>
            <w:gridSpan w:val="12"/>
          </w:tcPr>
          <w:p>
            <w:pPr>
              <w:spacing w:after="0" w:line="150" w:lineRule="exact"/>
              <w:rPr>
                <w:rFonts w:ascii="Arial" w:cs="Arial" w:eastAsia="Arial" w:hAnsi="Arial"/>
                <w:sz w:val="14"/>
                <w:szCs w:val="14"/>
                <w:color w:val="0000FF"/>
              </w:rPr>
            </w:pPr>
            <w:hyperlink r:id="rId26">
              <w:r>
                <w:rPr>
                  <w:rFonts w:ascii="Arial" w:cs="Arial" w:eastAsia="Arial" w:hAnsi="Arial"/>
                  <w:sz w:val="14"/>
                  <w:szCs w:val="14"/>
                  <w:color w:val="0000FF"/>
                </w:rPr>
                <w:t>239287)</w:t>
              </w:r>
              <w:r>
                <w:rPr>
                  <w:rFonts w:ascii="Arial" w:cs="Arial" w:eastAsia="Arial" w:hAnsi="Arial"/>
                  <w:sz w:val="14"/>
                  <w:szCs w:val="14"/>
                  <w:u w:val="single" w:color="auto"/>
                  <w:color w:val="0000FF"/>
                </w:rPr>
                <w:t>,</w:t>
              </w:r>
              <w:r>
                <w:rPr>
                  <w:rFonts w:ascii="Arial" w:cs="Arial" w:eastAsia="Arial" w:hAnsi="Arial"/>
                  <w:sz w:val="14"/>
                  <w:szCs w:val="14"/>
                  <w:color w:val="0000FF"/>
                </w:rPr>
                <w:t xml:space="preserve"> filed on July 8, 2020 with the Commission).</w:t>
              </w:r>
            </w:hyperlink>
          </w:p>
        </w:tc>
        <w:tc>
          <w:tcPr>
            <w:tcW w:w="380" w:type="dxa"/>
            <w:vAlign w:val="bottom"/>
            <w:gridSpan w:val="4"/>
          </w:tcPr>
          <w:p>
            <w:pPr>
              <w:spacing w:after="0"/>
              <w:rPr>
                <w:sz w:val="13"/>
                <w:szCs w:val="13"/>
                <w:color w:val="auto"/>
              </w:rPr>
            </w:pPr>
          </w:p>
        </w:tc>
      </w:tr>
      <w:tr>
        <w:trPr>
          <w:trHeight w:val="182"/>
        </w:trPr>
        <w:tc>
          <w:tcPr>
            <w:tcW w:w="2220" w:type="dxa"/>
            <w:vAlign w:val="bottom"/>
          </w:tcPr>
          <w:p>
            <w:pPr>
              <w:jc w:val="center"/>
              <w:spacing w:after="0"/>
              <w:rPr>
                <w:sz w:val="20"/>
                <w:szCs w:val="20"/>
                <w:color w:val="auto"/>
              </w:rPr>
            </w:pPr>
            <w:r>
              <w:rPr>
                <w:rFonts w:ascii="Arial" w:cs="Arial" w:eastAsia="Arial" w:hAnsi="Arial"/>
                <w:sz w:val="14"/>
                <w:szCs w:val="14"/>
                <w:color w:val="auto"/>
                <w:w w:val="97"/>
              </w:rPr>
              <w:t>107*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4"/>
                <w:szCs w:val="14"/>
                <w:color w:val="0000FF"/>
                <w:w w:val="89"/>
              </w:rPr>
              <w:t>Filing Fee Table</w:t>
            </w:r>
          </w:p>
        </w:tc>
        <w:tc>
          <w:tcPr>
            <w:tcW w:w="2100" w:type="dxa"/>
            <w:vAlign w:val="bottom"/>
            <w:tcBorders>
              <w:top w:val="single" w:sz="8" w:color="0000FF"/>
            </w:tcBorders>
            <w:gridSpan w:val="5"/>
          </w:tcPr>
          <w:p>
            <w:pPr>
              <w:spacing w:after="0"/>
              <w:rPr>
                <w:sz w:val="15"/>
                <w:szCs w:val="15"/>
                <w:color w:val="auto"/>
              </w:rPr>
            </w:pPr>
          </w:p>
        </w:tc>
        <w:tc>
          <w:tcPr>
            <w:tcW w:w="5920" w:type="dxa"/>
            <w:vAlign w:val="bottom"/>
            <w:gridSpan w:val="10"/>
          </w:tcPr>
          <w:p>
            <w:pPr>
              <w:spacing w:after="0"/>
              <w:rPr>
                <w:sz w:val="15"/>
                <w:szCs w:val="15"/>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7"/>
          <w:szCs w:val="17"/>
          <w:color w:val="auto"/>
        </w:rPr>
        <w:t>__________________</w:t>
      </w:r>
    </w:p>
    <w:p>
      <w:pPr>
        <w:spacing w:after="0"/>
        <w:rPr>
          <w:sz w:val="20"/>
          <w:szCs w:val="20"/>
          <w:color w:val="auto"/>
        </w:rPr>
      </w:pPr>
      <w:r>
        <w:rPr>
          <w:rFonts w:ascii="Arial" w:cs="Arial" w:eastAsia="Arial" w:hAnsi="Arial"/>
          <w:sz w:val="14"/>
          <w:szCs w:val="14"/>
          <w:color w:val="auto"/>
        </w:rPr>
        <w:t>* Filed herewith.</w:t>
      </w:r>
    </w:p>
    <w:p>
      <w:pPr>
        <w:sectPr>
          <w:pgSz w:w="11900" w:h="16838" w:orient="portrait"/>
          <w:cols w:equalWidth="0" w:num="1">
            <w:col w:w="11280"/>
          </w:cols>
          <w:pgMar w:left="300" w:top="1137" w:right="31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4"/>
          <w:szCs w:val="14"/>
          <w:b w:val="1"/>
          <w:bCs w:val="1"/>
          <w:color w:val="auto"/>
        </w:rPr>
        <w:t>SIGNATURES</w:t>
      </w:r>
    </w:p>
    <w:p>
      <w:pPr>
        <w:spacing w:after="0" w:line="129" w:lineRule="exact"/>
        <w:rPr>
          <w:sz w:val="20"/>
          <w:szCs w:val="20"/>
          <w:color w:val="auto"/>
        </w:rPr>
      </w:pPr>
    </w:p>
    <w:p>
      <w:pPr>
        <w:ind w:firstLine="509"/>
        <w:spacing w:after="0" w:line="270" w:lineRule="auto"/>
        <w:rPr>
          <w:sz w:val="20"/>
          <w:szCs w:val="20"/>
          <w:color w:val="auto"/>
        </w:rPr>
      </w:pPr>
      <w:r>
        <w:rPr>
          <w:rFonts w:ascii="Arial" w:cs="Arial" w:eastAsia="Arial" w:hAnsi="Arial"/>
          <w:sz w:val="13"/>
          <w:szCs w:val="13"/>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Chicago, State of Illinois, on January 13, 2023.</w:t>
      </w:r>
    </w:p>
    <w:p>
      <w:pPr>
        <w:spacing w:after="0" w:line="169" w:lineRule="exact"/>
        <w:rPr>
          <w:sz w:val="20"/>
          <w:szCs w:val="20"/>
          <w:color w:val="auto"/>
        </w:rPr>
      </w:pPr>
    </w:p>
    <w:p>
      <w:pPr>
        <w:ind w:left="5640"/>
        <w:spacing w:after="0"/>
        <w:rPr>
          <w:sz w:val="20"/>
          <w:szCs w:val="20"/>
          <w:color w:val="auto"/>
        </w:rPr>
      </w:pPr>
      <w:r>
        <w:rPr>
          <w:rFonts w:ascii="Arial" w:cs="Arial" w:eastAsia="Arial" w:hAnsi="Arial"/>
          <w:sz w:val="14"/>
          <w:szCs w:val="14"/>
          <w:b w:val="1"/>
          <w:bCs w:val="1"/>
          <w:color w:val="auto"/>
        </w:rPr>
        <w:t>GOHEALTH, INC.</w:t>
      </w:r>
    </w:p>
    <w:p>
      <w:pPr>
        <w:spacing w:after="0" w:line="384" w:lineRule="exact"/>
        <w:rPr>
          <w:sz w:val="20"/>
          <w:szCs w:val="20"/>
          <w:color w:val="auto"/>
        </w:rPr>
      </w:pPr>
    </w:p>
    <w:p>
      <w:pPr>
        <w:ind w:left="5640"/>
        <w:spacing w:after="0"/>
        <w:tabs>
          <w:tab w:leader="none" w:pos="62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3937635</wp:posOffset>
            </wp:positionH>
            <wp:positionV relativeFrom="paragraph">
              <wp:posOffset>12065</wp:posOffset>
            </wp:positionV>
            <wp:extent cx="3227070"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extLst>
                    </a:blip>
                    <a:srcRect/>
                    <a:stretch>
                      <a:fillRect/>
                    </a:stretch>
                  </pic:blipFill>
                  <pic:spPr bwMode="auto">
                    <a:xfrm>
                      <a:off x="0" y="0"/>
                      <a:ext cx="3227070" cy="13335"/>
                    </a:xfrm>
                    <a:prstGeom prst="rect">
                      <a:avLst/>
                    </a:prstGeom>
                    <a:noFill/>
                  </pic:spPr>
                </pic:pic>
              </a:graphicData>
            </a:graphic>
          </wp:anchor>
        </w:drawing>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Vijay Kotte</w:t>
      </w:r>
    </w:p>
    <w:p>
      <w:pPr>
        <w:spacing w:after="0" w:line="19"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1133" w:right="319" w:bottom="1440" w:gutter="0" w:footer="0" w:header="0"/>
        </w:sectPr>
      </w:pPr>
    </w:p>
    <w:bookmarkStart w:id="4" w:name="page5"/>
    <w:bookmarkEnd w:id="4"/>
    <w:p>
      <w:pPr>
        <w:jc w:val="center"/>
        <w:ind w:right="-259"/>
        <w:spacing w:after="0"/>
        <w:rPr>
          <w:sz w:val="20"/>
          <w:szCs w:val="20"/>
          <w:color w:val="auto"/>
        </w:rPr>
      </w:pPr>
      <w:r>
        <w:rPr>
          <w:rFonts w:ascii="Arial" w:cs="Arial" w:eastAsia="Arial" w:hAnsi="Arial"/>
          <w:sz w:val="14"/>
          <w:szCs w:val="14"/>
          <w:b w:val="1"/>
          <w:bCs w:val="1"/>
          <w:color w:val="auto"/>
        </w:rPr>
        <w:t>POWER OF ATTORNEY</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Each of the undersigned officers and directors of GoHealth, Inc. hereby constitutes and appoints Vijay Kotte and Jason Schulz, and each of them any of whom may act without joinder of the</w:t>
      </w:r>
    </w:p>
    <w:p>
      <w:pPr>
        <w:spacing w:after="0" w:line="11" w:lineRule="exact"/>
        <w:rPr>
          <w:sz w:val="20"/>
          <w:szCs w:val="20"/>
          <w:color w:val="auto"/>
        </w:rPr>
      </w:pPr>
    </w:p>
    <w:p>
      <w:pPr>
        <w:jc w:val="both"/>
        <w:spacing w:after="0" w:line="227" w:lineRule="auto"/>
        <w:rPr>
          <w:sz w:val="20"/>
          <w:szCs w:val="20"/>
          <w:color w:val="auto"/>
        </w:rPr>
      </w:pPr>
      <w:r>
        <w:rPr>
          <w:rFonts w:ascii="Arial" w:cs="Arial" w:eastAsia="Arial" w:hAnsi="Arial"/>
          <w:sz w:val="13"/>
          <w:szCs w:val="13"/>
          <w:color w:val="auto"/>
        </w:rPr>
        <w:t>other, the individual’s true and lawful attorneys-in-fact and agents, each with full power of substitution and resubstitution, for the person and in his or her name, place and stead, in any and all capacities, to sign this Registration Statement and any and all amendments (including post-effective amendments) to this Registration Statement and all documents relating thereto, and to file the same, with all exhibits thereto, and other documents in connection therewith, with the Securities and Exchange Commission, granting unto such attorneys-in-fact and agents, each acting alone, full</w:t>
      </w:r>
    </w:p>
    <w:p>
      <w:pPr>
        <w:jc w:val="both"/>
        <w:spacing w:after="0" w:line="292" w:lineRule="auto"/>
        <w:rPr>
          <w:sz w:val="20"/>
          <w:szCs w:val="20"/>
          <w:color w:val="auto"/>
        </w:rPr>
      </w:pPr>
      <w:r>
        <w:rPr>
          <w:rFonts w:ascii="Arial" w:cs="Arial" w:eastAsia="Arial" w:hAnsi="Arial"/>
          <w:sz w:val="12"/>
          <w:szCs w:val="12"/>
          <w:color w:val="auto"/>
        </w:rPr>
        <w:t>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Pursuant to the requirements of the Securities Act of 1933, this Registration Statement has been signed by the following persons in the capacities and on the dates indicated.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60" w:type="dxa"/>
            <w:vAlign w:val="bottom"/>
          </w:tcPr>
          <w:p>
            <w:pPr>
              <w:ind w:left="1280"/>
              <w:spacing w:after="0"/>
              <w:rPr>
                <w:sz w:val="20"/>
                <w:szCs w:val="20"/>
                <w:color w:val="auto"/>
              </w:rPr>
            </w:pPr>
            <w:r>
              <w:rPr>
                <w:rFonts w:ascii="Arial" w:cs="Arial" w:eastAsia="Arial" w:hAnsi="Arial"/>
                <w:sz w:val="14"/>
                <w:szCs w:val="14"/>
                <w:b w:val="1"/>
                <w:bCs w:val="1"/>
                <w:color w:val="auto"/>
              </w:rPr>
              <w:t>Signature</w:t>
            </w:r>
          </w:p>
        </w:tc>
        <w:tc>
          <w:tcPr>
            <w:tcW w:w="5820" w:type="dxa"/>
            <w:vAlign w:val="bottom"/>
          </w:tcPr>
          <w:p>
            <w:pPr>
              <w:ind w:left="2920"/>
              <w:spacing w:after="0"/>
              <w:rPr>
                <w:sz w:val="20"/>
                <w:szCs w:val="20"/>
                <w:color w:val="auto"/>
              </w:rPr>
            </w:pPr>
            <w:r>
              <w:rPr>
                <w:rFonts w:ascii="Arial" w:cs="Arial" w:eastAsia="Arial" w:hAnsi="Arial"/>
                <w:sz w:val="14"/>
                <w:szCs w:val="14"/>
                <w:b w:val="1"/>
                <w:bCs w:val="1"/>
                <w:color w:val="auto"/>
              </w:rPr>
              <w:t>Title</w:t>
            </w:r>
          </w:p>
        </w:tc>
        <w:tc>
          <w:tcPr>
            <w:tcW w:w="1660" w:type="dxa"/>
            <w:vAlign w:val="bottom"/>
          </w:tcPr>
          <w:p>
            <w:pPr>
              <w:jc w:val="center"/>
              <w:ind w:left="629"/>
              <w:spacing w:after="0"/>
              <w:rPr>
                <w:sz w:val="20"/>
                <w:szCs w:val="20"/>
                <w:color w:val="auto"/>
              </w:rPr>
            </w:pPr>
            <w:r>
              <w:rPr>
                <w:rFonts w:ascii="Arial" w:cs="Arial" w:eastAsia="Arial" w:hAnsi="Arial"/>
                <w:sz w:val="14"/>
                <w:szCs w:val="14"/>
                <w:b w:val="1"/>
                <w:bCs w:val="1"/>
                <w:color w:val="auto"/>
                <w:w w:val="92"/>
              </w:rPr>
              <w:t>Date</w:t>
            </w:r>
          </w:p>
        </w:tc>
      </w:tr>
      <w:tr>
        <w:trPr>
          <w:trHeight w:val="36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Vijay Kotte</w:t>
            </w:r>
          </w:p>
        </w:tc>
        <w:tc>
          <w:tcPr>
            <w:tcW w:w="5820" w:type="dxa"/>
            <w:vAlign w:val="bottom"/>
          </w:tcPr>
          <w:p>
            <w:pPr>
              <w:ind w:left="260"/>
              <w:spacing w:after="0"/>
              <w:rPr>
                <w:sz w:val="20"/>
                <w:szCs w:val="20"/>
                <w:color w:val="auto"/>
              </w:rPr>
            </w:pPr>
            <w:r>
              <w:rPr>
                <w:rFonts w:ascii="Arial" w:cs="Arial" w:eastAsia="Arial" w:hAnsi="Arial"/>
                <w:sz w:val="14"/>
                <w:szCs w:val="14"/>
                <w:color w:val="auto"/>
              </w:rPr>
              <w:t>Chief Executive Officer and Director (Principal Executive Officer)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Vijay Kotte</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Jason Schulz</w:t>
            </w:r>
          </w:p>
        </w:tc>
        <w:tc>
          <w:tcPr>
            <w:tcW w:w="5820" w:type="dxa"/>
            <w:vAlign w:val="bottom"/>
          </w:tcPr>
          <w:p>
            <w:pPr>
              <w:ind w:left="260"/>
              <w:spacing w:after="0"/>
              <w:rPr>
                <w:sz w:val="20"/>
                <w:szCs w:val="20"/>
                <w:color w:val="auto"/>
              </w:rPr>
            </w:pPr>
            <w:r>
              <w:rPr>
                <w:rFonts w:ascii="Arial" w:cs="Arial" w:eastAsia="Arial" w:hAnsi="Arial"/>
                <w:sz w:val="14"/>
                <w:szCs w:val="14"/>
                <w:color w:val="auto"/>
              </w:rPr>
              <w:t>Chief Financial Officer (Principal Financial Officer and Principal Accounting Officer)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Jason Schulz</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6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Clinton P. Jones</w:t>
            </w:r>
          </w:p>
        </w:tc>
        <w:tc>
          <w:tcPr>
            <w:tcW w:w="58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Clinton P. Jones</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Brandon M. Cruz</w:t>
            </w:r>
          </w:p>
        </w:tc>
        <w:tc>
          <w:tcPr>
            <w:tcW w:w="58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Brandon M. Cruz</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6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Joseph G. Flanagan</w:t>
            </w:r>
          </w:p>
        </w:tc>
        <w:tc>
          <w:tcPr>
            <w:tcW w:w="58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60"/>
              <w:spacing w:after="0"/>
              <w:rPr>
                <w:sz w:val="20"/>
                <w:szCs w:val="20"/>
                <w:color w:val="auto"/>
              </w:rPr>
            </w:pPr>
            <w:r>
              <w:rPr>
                <w:rFonts w:ascii="Arial" w:cs="Arial" w:eastAsia="Arial" w:hAnsi="Arial"/>
                <w:sz w:val="14"/>
                <w:szCs w:val="14"/>
                <w:color w:val="auto"/>
              </w:rPr>
              <w:t>Joseph G. Flanagan</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84"/>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David Fisher</w:t>
            </w:r>
          </w:p>
        </w:tc>
        <w:tc>
          <w:tcPr>
            <w:tcW w:w="58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David Fisher</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Jeremy W. Gelber</w:t>
            </w:r>
          </w:p>
        </w:tc>
        <w:tc>
          <w:tcPr>
            <w:tcW w:w="58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Jeremy W. Gelber</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Karolina Hanna Hilu</w:t>
            </w:r>
          </w:p>
        </w:tc>
        <w:tc>
          <w:tcPr>
            <w:tcW w:w="58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Karolina Hanna Hilu</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Christopher Litchford</w:t>
            </w:r>
          </w:p>
        </w:tc>
        <w:tc>
          <w:tcPr>
            <w:tcW w:w="58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Christopher Litchford</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r>
        <w:trPr>
          <w:trHeight w:val="35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Alexander E. Timm</w:t>
            </w:r>
          </w:p>
        </w:tc>
        <w:tc>
          <w:tcPr>
            <w:tcW w:w="5820" w:type="dxa"/>
            <w:vAlign w:val="bottom"/>
          </w:tcPr>
          <w:p>
            <w:pPr>
              <w:ind w:left="260"/>
              <w:spacing w:after="0"/>
              <w:rPr>
                <w:sz w:val="20"/>
                <w:szCs w:val="20"/>
                <w:color w:val="auto"/>
              </w:rPr>
            </w:pPr>
            <w:r>
              <w:rPr>
                <w:rFonts w:ascii="Arial" w:cs="Arial" w:eastAsia="Arial" w:hAnsi="Arial"/>
                <w:sz w:val="14"/>
                <w:szCs w:val="14"/>
                <w:color w:val="auto"/>
              </w:rPr>
              <w:t>Director</w:t>
            </w:r>
          </w:p>
        </w:tc>
        <w:tc>
          <w:tcPr>
            <w:tcW w:w="1660" w:type="dxa"/>
            <w:vAlign w:val="bottom"/>
          </w:tcPr>
          <w:p>
            <w:pPr>
              <w:jc w:val="center"/>
              <w:ind w:left="629"/>
              <w:spacing w:after="0"/>
              <w:rPr>
                <w:sz w:val="20"/>
                <w:szCs w:val="20"/>
                <w:color w:val="auto"/>
              </w:rPr>
            </w:pPr>
            <w:r>
              <w:rPr>
                <w:rFonts w:ascii="Arial" w:cs="Arial" w:eastAsia="Arial" w:hAnsi="Arial"/>
                <w:sz w:val="14"/>
                <w:szCs w:val="14"/>
                <w:color w:val="auto"/>
                <w:w w:val="88"/>
              </w:rPr>
              <w:t>January 13, 2023</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Alexander E. Timm</w:t>
            </w:r>
          </w:p>
        </w:tc>
        <w:tc>
          <w:tcPr>
            <w:tcW w:w="5820" w:type="dxa"/>
            <w:vAlign w:val="bottom"/>
          </w:tcPr>
          <w:p>
            <w:pPr>
              <w:spacing w:after="0"/>
              <w:rPr>
                <w:sz w:val="15"/>
                <w:szCs w:val="15"/>
                <w:color w:val="auto"/>
              </w:rPr>
            </w:pPr>
          </w:p>
        </w:tc>
        <w:tc>
          <w:tcPr>
            <w:tcW w:w="1660" w:type="dxa"/>
            <w:vAlign w:val="bottom"/>
          </w:tcPr>
          <w:p>
            <w:pPr>
              <w:spacing w:after="0"/>
              <w:rPr>
                <w:sz w:val="15"/>
                <w:szCs w:val="15"/>
                <w:color w:val="auto"/>
              </w:rPr>
            </w:pPr>
          </w:p>
        </w:tc>
      </w:tr>
    </w:tbl>
    <w:p>
      <w:pPr>
        <w:sectPr>
          <w:pgSz w:w="11900" w:h="16838" w:orient="portrait"/>
          <w:cols w:equalWidth="0" w:num="1">
            <w:col w:w="11280"/>
          </w:cols>
          <w:pgMar w:left="300" w:top="1133" w:right="319" w:bottom="1440"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275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27" Type="http://schemas.openxmlformats.org/officeDocument/2006/relationships/image" Target="media/image2.png"/><Relationship Id="rId28" Type="http://schemas.openxmlformats.org/officeDocument/2006/relationships/image" Target="media/image3.png"/><Relationship Id="rId29" Type="http://schemas.openxmlformats.org/officeDocument/2006/relationships/image" Target="media/image4.png"/><Relationship Id="rId30" Type="http://schemas.openxmlformats.org/officeDocument/2006/relationships/image" Target="media/image5.png"/><Relationship Id="rId31" Type="http://schemas.openxmlformats.org/officeDocument/2006/relationships/image" Target="media/image6.png"/><Relationship Id="rId9" Type="http://schemas.openxmlformats.org/officeDocument/2006/relationships/hyperlink" Target="http://www.sec.gov/ix?doc=/Archives/edgar/data/1534120/000162828022004671/avtx-20211231.htm" TargetMode="External"/><Relationship Id="rId10" Type="http://schemas.openxmlformats.org/officeDocument/2006/relationships/hyperlink" Target="https://www.sec.gov/Archives/edgar/data/1808220/000119312520193438/d16231ds8.htm" TargetMode="External"/><Relationship Id="rId11" Type="http://schemas.openxmlformats.org/officeDocument/2006/relationships/hyperlink" Target="https://www.sec.gov/Archives/edgar/data/1808220/000119312521036470/d86815ds8.htm" TargetMode="External"/><Relationship Id="rId12" Type="http://schemas.openxmlformats.org/officeDocument/2006/relationships/hyperlink" Target="https://www.sec.gov/Archives/edgar/data/1808220/000119312522082736/d271011ds8.htm" TargetMode="External"/><Relationship Id="rId13" Type="http://schemas.openxmlformats.org/officeDocument/2006/relationships/hyperlink" Target="https://www.sec.gov/Archives/edgar/data/1808220/000119312522168376/d365724ds8.htm" TargetMode="External"/><Relationship Id="rId14" Type="http://schemas.openxmlformats.org/officeDocument/2006/relationships/hyperlink" Target="https://www.sec.gov/ix?doc=/Archives/edgar/data/0001808220/000180822022000029/goco-20211231.htm" TargetMode="External"/><Relationship Id="rId15" Type="http://schemas.openxmlformats.org/officeDocument/2006/relationships/hyperlink" Target="https://www.sec.gov/ix?doc=/Archives/edgar/data/0001808220/000180822022000049/goco-20220331.htm" TargetMode="External"/><Relationship Id="rId16" Type="http://schemas.openxmlformats.org/officeDocument/2006/relationships/hyperlink" Target="https://www.sec.gov/ix?doc=/Archives/edgar/data/0001808220/000180822022000090/goco-20220630.htm" TargetMode="External"/><Relationship Id="rId17" Type="http://schemas.openxmlformats.org/officeDocument/2006/relationships/hyperlink" Target="https://www.sec.gov/ix?doc=/Archives/edgar/data/0001808220/000180822022000112/goco-20220930.htm" TargetMode="External"/><Relationship Id="rId18" Type="http://schemas.openxmlformats.org/officeDocument/2006/relationships/hyperlink" Target="https://www.sec.gov/ix?doc=/Archives/edgar/data/0001808220/000180822022000048/goco-20220510.htm" TargetMode="External"/><Relationship Id="rId19" Type="http://schemas.openxmlformats.org/officeDocument/2006/relationships/hyperlink" Target="https://www.sec.gov/ix?doc=/Archives/edgar/data/0001808220/000180822022000116/goco-20221205.htm" TargetMode="External"/><Relationship Id="rId20" Type="http://schemas.openxmlformats.org/officeDocument/2006/relationships/hyperlink" Target="https://www.sec.gov/ix?doc=/Archives/edgar/data/0001808220/000180822023000002/goco-20230105.htm" TargetMode="External"/><Relationship Id="rId21" Type="http://schemas.openxmlformats.org/officeDocument/2006/relationships/hyperlink" Target="https://www.sec.gov/Archives/edgar/data/1808220/000119312520193017/d940619d8a12b.htm" TargetMode="External"/><Relationship Id="rId22" Type="http://schemas.openxmlformats.org/officeDocument/2006/relationships/hyperlink" Target="https://www.sec.gov/Archives/edgar/data/1808220/000119312520224832/d935246dex31.htm" TargetMode="External"/><Relationship Id="rId23" Type="http://schemas.openxmlformats.org/officeDocument/2006/relationships/hyperlink" Target="https://www.sec.gov/Archives/edgar/data/1808220/000119312522288595/d341111dex31.htm" TargetMode="External"/><Relationship Id="rId24" Type="http://schemas.openxmlformats.org/officeDocument/2006/relationships/hyperlink" Target="https://www.sec.gov/Archives/edgar/data/1808220/000119312520224832/d935246dex32.htm" TargetMode="External"/><Relationship Id="rId25" Type="http://schemas.openxmlformats.org/officeDocument/2006/relationships/hyperlink" Target="https://www.sec.gov/Archives/edgar/data/1808220/000114036122014395/ny20002306x1_def14a.htm#tAPPA" TargetMode="External"/><Relationship Id="rId26" Type="http://schemas.openxmlformats.org/officeDocument/2006/relationships/hyperlink" Target="https://www.sec.gov/Archives/edgar/data/1808220/000119312520189225/d797183dex10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2023-01-13T15:22:28Z</dcterms:created>
  <dcterms:modified xsi:type="dcterms:W3CDTF">2023-01-13T15:22:28Z</dcterms:modified>
</cp:coreProperties>
</file>