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4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31115</wp:posOffset>
            </wp:positionH>
            <wp:positionV relativeFrom="paragraph">
              <wp:posOffset>-230505</wp:posOffset>
            </wp:positionV>
            <wp:extent cx="126365" cy="12636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65" cy="126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2"/>
        </w:trPr>
        <w:tc>
          <w:tcPr>
            <w:tcW w:w="6200" w:type="dxa"/>
            <w:vAlign w:val="bottom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99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5207635</wp:posOffset>
            </wp:positionH>
            <wp:positionV relativeFrom="paragraph">
              <wp:posOffset>-604520</wp:posOffset>
            </wp:positionV>
            <wp:extent cx="57150" cy="6178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17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3920490</wp:posOffset>
            </wp:positionH>
            <wp:positionV relativeFrom="paragraph">
              <wp:posOffset>-604520</wp:posOffset>
            </wp:positionV>
            <wp:extent cx="57150" cy="6178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17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-1701800</wp:posOffset>
            </wp:positionH>
            <wp:positionV relativeFrom="paragraph">
              <wp:posOffset>26035</wp:posOffset>
            </wp:positionV>
            <wp:extent cx="6998335" cy="52692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8335" cy="5269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80" w:space="480"/>
            <w:col w:w="8420"/>
          </w:cols>
          <w:pgMar w:left="460" w:top="214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Farley Brian</w:t>
        </w:r>
      </w:hyperlink>
    </w:p>
    <w:p>
      <w:pPr>
        <w:spacing w:after="0" w:line="28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214 WEST HURON ST.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2.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GoHealth,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GOCO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04/25/2022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720" w:hanging="5"/>
        <w:spacing w:after="0" w:line="270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Relationship of Reporting Person(s) to Issuer (Check all applicable)</w:t>
      </w: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9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Chief Legal Officer</w:t>
      </w: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14" w:right="359" w:bottom="1440" w:gutter="0" w:footer="0" w:header="0"/>
          <w:type w:val="continuous"/>
        </w:sectPr>
      </w:pPr>
    </w:p>
    <w:p>
      <w:pPr>
        <w:spacing w:after="0" w:line="9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48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CHICAGO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9"/>
              </w:rPr>
              <w:t>IL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60654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X</w:t>
            </w:r>
          </w:p>
        </w:tc>
        <w:tc>
          <w:tcPr>
            <w:tcW w:w="21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One Reporting Person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9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9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04/25/2022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4"/>
              </w:rPr>
              <w:t>952,380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1,116,547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00" w:type="dxa"/>
            <w:vAlign w:val="bottom"/>
            <w:gridSpan w:val="1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63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70,547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00"/>
                <w:w w:val="86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w w:val="86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  <w:w w:val="86"/>
              </w:rPr>
              <w:t>(3)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64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14.81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04/25/2022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ind w:left="1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right"/>
              <w:ind w:righ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70,547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02/11/2031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left="222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9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272,109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00"/>
                <w:w w:val="86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w w:val="86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  <w:w w:val="86"/>
              </w:rPr>
              <w:t>(3)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64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9"/>
              </w:rPr>
              <w:t>21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04/25/2022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ind w:left="1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right"/>
              <w:ind w:right="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7"/>
              </w:rPr>
              <w:t>272,109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07/14/2030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left="222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9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70,547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00"/>
                <w:w w:val="86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w w:val="86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  <w:w w:val="86"/>
              </w:rPr>
              <w:t>(3)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84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1.05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04/25/2022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ind w:left="1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103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70,547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02/11/2031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70,547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272,109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00"/>
                <w:w w:val="86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w w:val="86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  <w:w w:val="86"/>
              </w:rPr>
              <w:t>(3)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84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1.05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04/25/2022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ind w:left="1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63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272,109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07/14/2030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272,109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-2641600</wp:posOffset>
            </wp:positionV>
            <wp:extent cx="28575" cy="26473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647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160" w:hanging="123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Represents a grant of restricted stock units which vest in three equal annual installments, with the first such annual installment vesting on April 25, 2023.</w:t>
      </w:r>
    </w:p>
    <w:p>
      <w:pPr>
        <w:spacing w:after="0" w:line="48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160" w:hanging="123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stock option vests in three equal annual installments, with the first such annual installment vesting on February 11, 2022.</w:t>
      </w:r>
    </w:p>
    <w:p>
      <w:pPr>
        <w:spacing w:after="0" w:line="48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40" w:right="160" w:hanging="3"/>
        <w:spacing w:after="0" w:line="281" w:lineRule="auto"/>
        <w:tabs>
          <w:tab w:leader="none" w:pos="16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In accordance with the terms of the GoHealth, Inc. 2020 Incentive Award Plan, the Board of Directors of GoHealth, Inc. approved a stock option repricing pursuant to which option awards were amended to reduce the exercise price to $1.05 per share.</w:t>
      </w:r>
    </w:p>
    <w:p>
      <w:pPr>
        <w:ind w:left="160" w:hanging="123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stock option vests in four equal annual installments, with the first such annual installment vesting on July 15, 2021.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Mark Stortz, Attorney-in-fact 04/28/2022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4185285</wp:posOffset>
            </wp:positionH>
            <wp:positionV relativeFrom="paragraph">
              <wp:posOffset>-5715</wp:posOffset>
            </wp:positionV>
            <wp:extent cx="1865630" cy="76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563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60" w:hanging="3"/>
        <w:spacing w:after="0" w:line="324" w:lineRule="auto"/>
        <w:tabs>
          <w:tab w:leader="none" w:pos="171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4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576728" TargetMode="External"/><Relationship Id="rId13" Type="http://schemas.openxmlformats.org/officeDocument/2006/relationships/hyperlink" Target="http://www.sec.gov/cgi-bin/browse-edgar?action=getcompany&amp;CIK=000180822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2022-04-27T16:49:39Z</dcterms:created>
  <dcterms:modified xsi:type="dcterms:W3CDTF">2022-04-27T16:49:39Z</dcterms:modified>
</cp:coreProperties>
</file>