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8, 2023</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32" w:right="339" w:bottom="1440" w:gutter="0" w:footer="0" w:header="0"/>
        </w:sectPr>
      </w:pPr>
    </w:p>
    <w:p>
      <w:pPr>
        <w:spacing w:after="0" w:line="14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32"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32"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32"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32"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32"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0"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2"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On May 8, 2023, GoHealth, Inc. issued a press release announcing its financial results for the quarter ended March 31, 2023.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dated May 8, 2023</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8, 2023</w:t>
      </w:r>
      <w:r>
        <w:rPr>
          <w:sz w:val="20"/>
          <w:szCs w:val="20"/>
          <w:color w:val="auto"/>
        </w:rPr>
        <w:tab/>
      </w:r>
      <w:r>
        <w:rPr>
          <w:rFonts w:ascii="Arial" w:cs="Arial" w:eastAsia="Arial" w:hAnsi="Arial"/>
          <w:sz w:val="15"/>
          <w:szCs w:val="15"/>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Jason Schulz</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First Quarter 2023 Results</w:t>
      </w:r>
    </w:p>
    <w:p>
      <w:pPr>
        <w:spacing w:after="0" w:line="200" w:lineRule="exact"/>
        <w:rPr>
          <w:sz w:val="20"/>
          <w:szCs w:val="20"/>
          <w:color w:val="auto"/>
        </w:rPr>
      </w:pPr>
    </w:p>
    <w:p>
      <w:pPr>
        <w:spacing w:after="0" w:line="36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CHICAGO, May 8, 2023 </w:t>
      </w:r>
      <w:r>
        <w:rPr>
          <w:rFonts w:ascii="Arial" w:cs="Arial" w:eastAsia="Arial" w:hAnsi="Arial"/>
          <w:sz w:val="16"/>
          <w:szCs w:val="16"/>
          <w:color w:val="auto"/>
        </w:rPr>
        <w:t>— GoHealth, Inc. (NASDAQ: GOCO), a leading health insurance marketplace and Medicare-focused digital health company, today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64770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0" w:lineRule="exact"/>
        <w:rPr>
          <w:sz w:val="20"/>
          <w:szCs w:val="20"/>
          <w:color w:val="auto"/>
        </w:rPr>
      </w:pPr>
    </w:p>
    <w:p>
      <w:pPr>
        <w:ind w:left="560" w:right="420"/>
        <w:spacing w:after="0" w:line="268" w:lineRule="auto"/>
        <w:rPr>
          <w:sz w:val="20"/>
          <w:szCs w:val="20"/>
          <w:color w:val="auto"/>
        </w:rPr>
      </w:pPr>
      <w:r>
        <w:rPr>
          <w:rFonts w:ascii="Arial" w:cs="Arial" w:eastAsia="Arial" w:hAnsi="Arial"/>
          <w:sz w:val="16"/>
          <w:szCs w:val="16"/>
          <w:color w:val="auto"/>
        </w:rPr>
        <w:t>First quarter 2023 Trailing Twelve Months (“TTM”) positive cash flow from operations of $26.9 million compared to TTM negative cash flow from operations of $275.7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2023 net loss of $22.5 million compared to net loss of $37.2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114935</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28" w:lineRule="exact"/>
        <w:rPr>
          <w:sz w:val="20"/>
          <w:szCs w:val="20"/>
          <w:color w:val="auto"/>
        </w:rPr>
      </w:pPr>
    </w:p>
    <w:p>
      <w:pPr>
        <w:ind w:left="560" w:right="400"/>
        <w:spacing w:after="0" w:line="222" w:lineRule="auto"/>
        <w:rPr>
          <w:sz w:val="20"/>
          <w:szCs w:val="20"/>
          <w:color w:val="auto"/>
        </w:rPr>
      </w:pPr>
      <w:r>
        <w:rPr>
          <w:rFonts w:ascii="Arial" w:cs="Arial" w:eastAsia="Arial" w:hAnsi="Arial"/>
          <w:sz w:val="16"/>
          <w:szCs w:val="16"/>
          <w:color w:val="auto"/>
        </w:rPr>
        <w:t>First quarter 2023 net revenue of $183.2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$28.8 million compared to net revenue of $270.6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$11.1 million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0</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19" w:lineRule="exact"/>
        <w:rPr>
          <w:sz w:val="20"/>
          <w:szCs w:val="20"/>
          <w:color w:val="auto"/>
        </w:rPr>
      </w:pPr>
    </w:p>
    <w:p>
      <w:pPr>
        <w:ind w:left="560" w:right="180"/>
        <w:spacing w:after="0" w:line="268" w:lineRule="auto"/>
        <w:rPr>
          <w:sz w:val="20"/>
          <w:szCs w:val="20"/>
          <w:color w:val="auto"/>
        </w:rPr>
      </w:pPr>
      <w:r>
        <w:rPr>
          <w:rFonts w:ascii="Arial" w:cs="Arial" w:eastAsia="Arial" w:hAnsi="Arial"/>
          <w:sz w:val="16"/>
          <w:szCs w:val="16"/>
          <w:color w:val="auto"/>
        </w:rPr>
        <w:t>First quarter 2023 Submissions of 213,645. Demand for our services remains robust, and we continue to invest in technology to enhance our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39370</wp:posOffset>
            </wp:positionV>
            <wp:extent cx="17145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82" w:lineRule="exact"/>
        <w:rPr>
          <w:sz w:val="20"/>
          <w:szCs w:val="20"/>
          <w:color w:val="auto"/>
        </w:rPr>
      </w:pPr>
    </w:p>
    <w:p>
      <w:pPr>
        <w:ind w:left="560" w:right="800"/>
        <w:spacing w:after="0" w:line="268" w:lineRule="auto"/>
        <w:rPr>
          <w:sz w:val="20"/>
          <w:szCs w:val="20"/>
          <w:color w:val="auto"/>
        </w:rPr>
      </w:pPr>
      <w:r>
        <w:rPr>
          <w:rFonts w:ascii="Arial" w:cs="Arial" w:eastAsia="Arial" w:hAnsi="Arial"/>
          <w:sz w:val="16"/>
          <w:szCs w:val="16"/>
          <w:color w:val="auto"/>
        </w:rPr>
        <w:t>By remaining consumer-centered and health plan agnostic, GoHealth was ranked a top ten most trustworthy company in America 2023 by Newsweek in healthcare and life sciences.</w:t>
      </w:r>
    </w:p>
    <w:p>
      <w:pPr>
        <w:spacing w:after="0" w:line="64" w:lineRule="exact"/>
        <w:rPr>
          <w:sz w:val="20"/>
          <w:szCs w:val="20"/>
          <w:color w:val="auto"/>
        </w:rPr>
      </w:pPr>
    </w:p>
    <w:p>
      <w:pPr>
        <w:ind w:left="5000"/>
        <w:spacing w:after="0"/>
        <w:rPr>
          <w:sz w:val="20"/>
          <w:szCs w:val="20"/>
          <w:color w:val="auto"/>
        </w:rPr>
      </w:pPr>
      <w:r>
        <w:rPr>
          <w:rFonts w:ascii="Arial" w:cs="Arial" w:eastAsia="Arial" w:hAnsi="Arial"/>
          <w:sz w:val="16"/>
          <w:szCs w:val="16"/>
          <w:i w:val="1"/>
          <w:iCs w:val="1"/>
          <w:u w:val="single" w:color="auto"/>
          <w:color w:val="auto"/>
        </w:rPr>
        <w:t>Full Year 2023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17145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51" w:lineRule="exact"/>
        <w:rPr>
          <w:sz w:val="20"/>
          <w:szCs w:val="20"/>
          <w:color w:val="auto"/>
        </w:rPr>
      </w:pPr>
    </w:p>
    <w:p>
      <w:pPr>
        <w:ind w:left="560" w:right="560"/>
        <w:spacing w:after="0" w:line="229" w:lineRule="auto"/>
        <w:rPr>
          <w:sz w:val="20"/>
          <w:szCs w:val="20"/>
          <w:color w:val="auto"/>
        </w:rPr>
      </w:pPr>
      <w:r>
        <w:rPr>
          <w:rFonts w:ascii="Arial" w:cs="Arial" w:eastAsia="Arial" w:hAnsi="Arial"/>
          <w:sz w:val="16"/>
          <w:szCs w:val="16"/>
          <w:color w:val="auto"/>
        </w:rPr>
        <w:t xml:space="preserve">The Company reiterates its full year 2023 outlook, and expects total net revenue of $750 - $850 million and Adjusted EBITDA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$100 - $140 million, both excluding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The Company also expects positive cash flow from operations of $75 - $115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40575" cy="1440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440180"/>
                    </a:xfrm>
                    <a:prstGeom prst="rect">
                      <a:avLst/>
                    </a:prstGeom>
                    <a:noFill/>
                  </pic:spPr>
                </pic:pic>
              </a:graphicData>
            </a:graphic>
          </wp:anchor>
        </w:drawing>
      </w:r>
    </w:p>
    <w:p>
      <w:pPr>
        <w:spacing w:after="0" w:line="221" w:lineRule="exact"/>
        <w:rPr>
          <w:sz w:val="20"/>
          <w:szCs w:val="20"/>
          <w:color w:val="auto"/>
        </w:rPr>
      </w:pPr>
    </w:p>
    <w:p>
      <w:pPr>
        <w:ind w:left="40" w:right="400"/>
        <w:spacing w:after="0" w:line="286" w:lineRule="auto"/>
        <w:rPr>
          <w:sz w:val="20"/>
          <w:szCs w:val="20"/>
          <w:color w:val="auto"/>
        </w:rPr>
      </w:pPr>
      <w:r>
        <w:rPr>
          <w:rFonts w:ascii="Arial" w:cs="Arial" w:eastAsia="Arial" w:hAnsi="Arial"/>
          <w:sz w:val="16"/>
          <w:szCs w:val="16"/>
          <w:color w:val="auto"/>
        </w:rPr>
        <w:t>“Our strong first quarter results are attributable to our shift to Encompass, leveraging our proprietary technology, driving operational efficiencies and our unwavering focus on the consumer experience,” said Vijay Kotte, CEO of GoHealth.</w:t>
      </w:r>
    </w:p>
    <w:p>
      <w:pPr>
        <w:spacing w:after="0" w:line="169" w:lineRule="exact"/>
        <w:rPr>
          <w:sz w:val="20"/>
          <w:szCs w:val="20"/>
          <w:color w:val="auto"/>
        </w:rPr>
      </w:pPr>
    </w:p>
    <w:p>
      <w:pPr>
        <w:ind w:left="40" w:right="60"/>
        <w:spacing w:after="0" w:line="253" w:lineRule="auto"/>
        <w:rPr>
          <w:sz w:val="20"/>
          <w:szCs w:val="20"/>
          <w:color w:val="auto"/>
        </w:rPr>
      </w:pPr>
      <w:r>
        <w:rPr>
          <w:rFonts w:ascii="Arial" w:cs="Arial" w:eastAsia="Arial" w:hAnsi="Arial"/>
          <w:sz w:val="16"/>
          <w:szCs w:val="16"/>
          <w:color w:val="auto"/>
        </w:rPr>
        <w:t>Kotte continued, “At GoHealth, we are consumer-centered and health plan agnostic, which has helped us establish a loyal consumer base. The Encompass platform utilizes our proprietary PlanFit technology, built on millions of consumer interactions, and leverages that data via machine learning to create a customized purchasing experience that results in a thorough and comprehensive understanding of our consumers’ Medicare insurance needs. Our commitment to providing high-quality options and exceptional service has made us the trusted partner of both consumers and health plans.”</w:t>
      </w:r>
    </w:p>
    <w:p>
      <w:pPr>
        <w:spacing w:after="0" w:line="196" w:lineRule="exact"/>
        <w:rPr>
          <w:sz w:val="20"/>
          <w:szCs w:val="20"/>
          <w:color w:val="auto"/>
        </w:rPr>
      </w:pPr>
    </w:p>
    <w:p>
      <w:pPr>
        <w:ind w:left="40" w:right="160"/>
        <w:spacing w:after="0" w:line="275" w:lineRule="auto"/>
        <w:rPr>
          <w:sz w:val="20"/>
          <w:szCs w:val="20"/>
          <w:color w:val="auto"/>
        </w:rPr>
      </w:pPr>
      <w:r>
        <w:rPr>
          <w:rFonts w:ascii="Arial" w:cs="Arial" w:eastAsia="Arial" w:hAnsi="Arial"/>
          <w:sz w:val="16"/>
          <w:szCs w:val="16"/>
          <w:color w:val="auto"/>
        </w:rPr>
        <w:t>“I’m pleased to say that we are reaffirming guidance based on our strong first quarter results. Our operating performance has allowed us to realize a 160% improvement in our first quarter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year over year, paired with positive cash flow from operations,” said Jason Schulz, CFO at GoHealth.</w:t>
      </w:r>
    </w:p>
    <w:p>
      <w:pPr>
        <w:spacing w:after="0" w:line="363" w:lineRule="exact"/>
        <w:rPr>
          <w:sz w:val="20"/>
          <w:szCs w:val="20"/>
          <w:color w:val="auto"/>
        </w:rPr>
      </w:pPr>
    </w:p>
    <w:p>
      <w:pPr>
        <w:ind w:right="20"/>
        <w:spacing w:after="0" w:line="211" w:lineRule="auto"/>
        <w:rPr>
          <w:sz w:val="20"/>
          <w:szCs w:val="20"/>
          <w:color w:val="auto"/>
        </w:rPr>
      </w:pPr>
      <w:r>
        <w:rPr>
          <w:rFonts w:ascii="Arial" w:cs="Arial" w:eastAsia="Arial" w:hAnsi="Arial"/>
          <w:sz w:val="16"/>
          <w:szCs w:val="16"/>
          <w:color w:val="auto"/>
        </w:rPr>
        <w:t>The Company made the strategic decision to exit its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to focus on its core business. We expect that the financial benefit of this change will begin to flow through the Company’s results in the second quarter of 2023, while the exit is expected to be complete in the third quarter of 2023. In the first quarter of 2023,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contributed $6.8 million of net revenue with a gross margin of $1.4 million. First quarter net revenue excluding non-Encompass BPO Services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revenue of $6.8 million was $176.4 million, and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excluding non-Encompass BPO Services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gross margin of $1.4 million was $27.4 million.</w:t>
      </w:r>
      <w:r>
        <w:rPr>
          <w:rFonts w:ascii="Arial" w:cs="Arial" w:eastAsia="Arial" w:hAnsi="Arial"/>
          <w:sz w:val="21"/>
          <w:szCs w:val="21"/>
          <w:color w:val="auto"/>
          <w:vertAlign w:val="superscript"/>
        </w:rPr>
        <w:t>3</w:t>
      </w:r>
    </w:p>
    <w:p>
      <w:pPr>
        <w:spacing w:after="0" w:line="4"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 xml:space="preserve">During the first quarter of 2023, the Company reorganized its operations from four operating and reportable segments to one operating and reportable segment. The change reflects how the Company’s chief operating decision maker (“CODM”) evaluates the Company’s operating and financial performance on a consolidated basis and is consistent with changes made to the Company’s internal reporting structure. Additionally, the single operating segment aligns with the Company’s shift in focus towards Medicare products. Operating segments are identified as components of an enterprise about which separate discrete financial information is available and reviewed regularly by the CODM. The Company’s CODM is its chief executive officer who reviews financial information together with certain operating metrics principally to make decisions about how to allocate resources and to measure the Company’s performance. All prior period comparative segment information was recast to reflect the current single operating segment in accordance with Accounting Standards Codification 280, </w:t>
      </w:r>
      <w:r>
        <w:rPr>
          <w:rFonts w:ascii="Arial" w:cs="Arial" w:eastAsia="Arial" w:hAnsi="Arial"/>
          <w:sz w:val="16"/>
          <w:szCs w:val="16"/>
          <w:i w:val="1"/>
          <w:iCs w:val="1"/>
          <w:color w:val="auto"/>
        </w:rPr>
        <w:t>Segment Reporting</w:t>
      </w:r>
      <w:r>
        <w:rPr>
          <w:rFonts w:ascii="Arial" w:cs="Arial" w:eastAsia="Arial" w:hAnsi="Arial"/>
          <w:sz w:val="16"/>
          <w:szCs w:val="16"/>
          <w:color w:val="auto"/>
        </w:rPr>
        <w:t>.</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Company will host a conference call today, Monday, May 8, 2023 at 8:00 a.m. (ET) to discuss its financial results. Participants can pre-register for the conference call at the following link: https://register.vevent.com/register/BIb4ba329d46994a619bd7c09b26edaff5. A live audio webcast of the conference call will be available via GoHealth's Investor Relations website. A replay of the call will be available via webcast on GoHealth’s Investor Relations website for on-demand listening shortly after the completion of the call.</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consumers,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health plan partner that is right for them. GoHealth has enrolled millions of people in Medicare plans and individual and family plans. For more information, visit https://www.gohealth.com.</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5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Non-Encompass BPO Services are those services in which we dedicate certain agents to specific health plan partners and agencies, outside of the Encompass Solution.</w:t>
      </w:r>
    </w:p>
    <w:p>
      <w:pPr>
        <w:spacing w:after="0" w:line="4" w:lineRule="exact"/>
        <w:rPr>
          <w:rFonts w:ascii="Arial" w:cs="Arial" w:eastAsia="Arial" w:hAnsi="Arial"/>
          <w:sz w:val="13"/>
          <w:szCs w:val="13"/>
          <w:i w:val="1"/>
          <w:iCs w:val="1"/>
          <w:color w:val="auto"/>
        </w:rPr>
      </w:pPr>
    </w:p>
    <w:p>
      <w:pPr>
        <w:ind w:left="340" w:right="120" w:hanging="332"/>
        <w:spacing w:after="0" w:line="258" w:lineRule="auto"/>
        <w:tabs>
          <w:tab w:leader="none" w:pos="332"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Net revenue excluding non-Encompass BPO Services revenue and Adjusted EBITDA excluding non-Encompass BPO Services gross margin are non-GAAP measures. For a reconciliation to the most comparable GAAP measure, please see table provided below.</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4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future capital expenditures and debt service obligations are forward-looking statements.</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but are not limited to, the following: the marketing and sale of Medicare plans are subject to numerous, complex and frequently changing laws, regulations and guidelines; our operating results have been, and may continue to be, adversely impacted by factors that impact our estimate of LTV; our gradual expansion of the Encompass Solution may not be as successful as we expect; our business may be harmed if we lose our relationships with health plans or if our relationships with health plans change; health plans may reduce the commissions paid to us and change their underwriting practices in ways that reduce the number of, or impact the renewal or approval rates of, insurance policies sold through our platform; our management identified a material weakness in our internal controls over financial reporting, and we may be unable to develop, implement and maintain appropriate controls in future periods, which may lead to errors or omissions in our financial statements; we currently depend on a small group of health plans for a substantial portion of our revenue; information technology system failures could interrupt our operations; factors that impact our estimate of LTV (as defined below);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spacing w:after="0" w:line="20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our 2022 Annual Report on Form 10-K, our forthcoming Quarterly Report on Form 10-Q for the first quarter ended March 31, 2023, and our other filings with the Securities and Exchange Commission.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19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 Adjustments, are also discussed in this press release. The Lookback Adjustments are revenue adjustments that represent changes in estimates relating to performance obligations satisfied in prior periods and relate to the fiscal years 2021 and prior.</w:t>
      </w:r>
    </w:p>
    <w:p>
      <w:pPr>
        <w:spacing w:after="0" w:line="396"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Adjusted EBITDA represents, as applicable for the period, EBITDA as further adjusted for certain items summarized below in this press release. Adjusted EBITDA margin represents Adjusted EBITDA divided by net revenues.</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22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 Adjustments to its most directly comparable GAAP financial measure, net revenue or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1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Company is unable to provide a full reconciliation of guidance for Adjusted EBITDA and Adjusted EBITDA excluding non-Encompass BPO Services gross margin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2023.</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2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34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48" w:lineRule="exact"/>
        <w:rPr>
          <w:rFonts w:ascii="Arial" w:cs="Arial" w:eastAsia="Arial" w:hAnsi="Arial"/>
          <w:sz w:val="16"/>
          <w:szCs w:val="16"/>
          <w:color w:val="auto"/>
        </w:rPr>
      </w:pPr>
    </w:p>
    <w:p>
      <w:pPr>
        <w:ind w:left="660" w:right="20" w:hanging="328"/>
        <w:spacing w:after="0" w:line="257"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of Submission</w:t>
      </w:r>
      <w:r>
        <w:rPr>
          <w:rFonts w:ascii="Arial" w:cs="Arial" w:eastAsia="Arial" w:hAnsi="Arial"/>
          <w:sz w:val="16"/>
          <w:szCs w:val="16"/>
          <w:color w:val="auto"/>
        </w:rPr>
        <w:t>” refers to the aggregate cost to convert prospects into Submissions during a particular period. Cost of Submission is comprised of revenue share, marketing and advertising expenses, and customer care and enrollment expenses, excluding share-based compensation expense and such expenses related to non-Encompass BPO Services.</w:t>
      </w:r>
    </w:p>
    <w:p>
      <w:pPr>
        <w:spacing w:after="0" w:line="191" w:lineRule="exact"/>
        <w:rPr>
          <w:rFonts w:ascii="Arial" w:cs="Arial" w:eastAsia="Arial" w:hAnsi="Arial"/>
          <w:sz w:val="16"/>
          <w:szCs w:val="16"/>
          <w:i w:val="1"/>
          <w:iCs w:val="1"/>
          <w:color w:val="auto"/>
        </w:rPr>
      </w:pPr>
    </w:p>
    <w:p>
      <w:pPr>
        <w:ind w:left="660" w:right="60" w:hanging="328"/>
        <w:spacing w:after="0" w:line="243" w:lineRule="auto"/>
        <w:tabs>
          <w:tab w:leader="none" w:pos="636"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Cost per Submission</w:t>
      </w:r>
      <w:r>
        <w:rPr>
          <w:rFonts w:ascii="Arial" w:cs="Arial" w:eastAsia="Arial" w:hAnsi="Arial"/>
          <w:sz w:val="16"/>
          <w:szCs w:val="16"/>
          <w:color w:val="auto"/>
        </w:rPr>
        <w:t>” 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218" w:lineRule="exact"/>
        <w:rPr>
          <w:rFonts w:ascii="Arial" w:cs="Arial" w:eastAsia="Arial" w:hAnsi="Arial"/>
          <w:sz w:val="16"/>
          <w:szCs w:val="16"/>
          <w:i w:val="1"/>
          <w:iCs w:val="1"/>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Gross margin”</w:t>
      </w:r>
      <w:r>
        <w:rPr>
          <w:rFonts w:ascii="Arial" w:cs="Arial" w:eastAsia="Arial" w:hAnsi="Arial"/>
          <w:sz w:val="16"/>
          <w:szCs w:val="16"/>
          <w:color w:val="auto"/>
        </w:rPr>
        <w:t xml:space="preserve"> refers to net revenue divided by revenue share, marketing and advertising expenses and customer care and enrollment expenses</w:t>
      </w:r>
      <w:r>
        <w:rPr>
          <w:rFonts w:ascii="Arial" w:cs="Arial" w:eastAsia="Arial" w:hAnsi="Arial"/>
          <w:sz w:val="16"/>
          <w:szCs w:val="16"/>
          <w:i w:val="1"/>
          <w:iCs w:val="1"/>
          <w:color w:val="auto"/>
        </w:rPr>
        <w:t>.</w:t>
      </w:r>
    </w:p>
    <w:p>
      <w:pPr>
        <w:spacing w:after="0" w:line="234" w:lineRule="exact"/>
        <w:rPr>
          <w:rFonts w:ascii="Arial" w:cs="Arial" w:eastAsia="Arial" w:hAnsi="Arial"/>
          <w:sz w:val="16"/>
          <w:szCs w:val="16"/>
          <w:color w:val="auto"/>
        </w:rPr>
      </w:pPr>
    </w:p>
    <w:p>
      <w:pPr>
        <w:jc w:val="both"/>
        <w:ind w:left="660" w:right="140" w:hanging="328"/>
        <w:spacing w:after="0" w:line="25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LTV</w:t>
      </w:r>
      <w:r>
        <w:rPr>
          <w:rFonts w:ascii="Arial" w:cs="Arial" w:eastAsia="Arial" w:hAnsi="Arial"/>
          <w:sz w:val="16"/>
          <w:szCs w:val="16"/>
          <w:color w:val="auto"/>
        </w:rPr>
        <w:t>” 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w:t>
      </w:r>
    </w:p>
    <w:p>
      <w:pPr>
        <w:spacing w:after="0" w:line="205" w:lineRule="exact"/>
        <w:rPr>
          <w:rFonts w:ascii="Arial" w:cs="Arial" w:eastAsia="Arial" w:hAnsi="Arial"/>
          <w:sz w:val="16"/>
          <w:szCs w:val="16"/>
          <w:color w:val="auto"/>
        </w:rPr>
      </w:pPr>
    </w:p>
    <w:p>
      <w:pPr>
        <w:ind w:left="660" w:right="380" w:hanging="328"/>
        <w:spacing w:after="0" w:line="26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Non-Encompass BPO Services”</w:t>
      </w:r>
      <w:r>
        <w:rPr>
          <w:rFonts w:ascii="Arial" w:cs="Arial" w:eastAsia="Arial" w:hAnsi="Arial"/>
          <w:sz w:val="16"/>
          <w:szCs w:val="16"/>
          <w:color w:val="auto"/>
        </w:rPr>
        <w:t xml:space="preserve"> refer to programs in which GoHealth-employed agents are dedicated to certain health plans and agencies we partner with outside of the Encompass model.</w:t>
      </w:r>
    </w:p>
    <w:p>
      <w:pPr>
        <w:spacing w:after="0" w:line="183" w:lineRule="exact"/>
        <w:rPr>
          <w:rFonts w:ascii="Arial" w:cs="Arial" w:eastAsia="Arial" w:hAnsi="Arial"/>
          <w:sz w:val="16"/>
          <w:szCs w:val="16"/>
          <w:color w:val="auto"/>
        </w:rPr>
      </w:pPr>
    </w:p>
    <w:p>
      <w:pPr>
        <w:ind w:left="660" w:right="300" w:hanging="328"/>
        <w:spacing w:after="0" w:line="247" w:lineRule="auto"/>
        <w:tabs>
          <w:tab w:leader="none" w:pos="649"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 per Submission</w:t>
      </w:r>
      <w:r>
        <w:rPr>
          <w:rFonts w:ascii="Arial" w:cs="Arial" w:eastAsia="Arial" w:hAnsi="Arial"/>
          <w:sz w:val="16"/>
          <w:szCs w:val="16"/>
          <w:color w:val="auto"/>
        </w:rPr>
        <w:t>” refers to (x) the combination sum of (i) aggregate commissions estimated to be collected over the estimated life of all commissionable Submissions for the relevant period based on multiple factors, including but not limited to, contracted commission rates, health plan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ind w:left="328" w:right="200" w:hanging="328"/>
        <w:spacing w:after="0" w:line="244" w:lineRule="auto"/>
        <w:tabs>
          <w:tab w:leader="none" w:pos="304"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Sales/Cost of Submission</w:t>
      </w:r>
      <w:r>
        <w:rPr>
          <w:rFonts w:ascii="Arial" w:cs="Arial" w:eastAsia="Arial" w:hAnsi="Arial"/>
          <w:sz w:val="16"/>
          <w:szCs w:val="16"/>
          <w:color w:val="auto"/>
        </w:rPr>
        <w:t>”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w:t>
      </w:r>
    </w:p>
    <w:p>
      <w:pPr>
        <w:spacing w:after="0" w:line="202" w:lineRule="exact"/>
        <w:rPr>
          <w:rFonts w:ascii="Arial" w:cs="Arial" w:eastAsia="Arial" w:hAnsi="Arial"/>
          <w:sz w:val="16"/>
          <w:szCs w:val="16"/>
          <w:i w:val="1"/>
          <w:iCs w:val="1"/>
          <w:color w:val="auto"/>
        </w:rPr>
      </w:pPr>
    </w:p>
    <w:p>
      <w:pPr>
        <w:ind w:left="328" w:right="60" w:hanging="328"/>
        <w:spacing w:after="0" w:line="257" w:lineRule="auto"/>
        <w:tabs>
          <w:tab w:leader="none" w:pos="317"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Submission</w:t>
      </w:r>
      <w:r>
        <w:rPr>
          <w:rFonts w:ascii="Arial" w:cs="Arial" w:eastAsia="Arial" w:hAnsi="Arial"/>
          <w:sz w:val="16"/>
          <w:szCs w:val="16"/>
          <w:color w:val="auto"/>
        </w:rPr>
        <w:t>” refers to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8"/>
          </w:cols>
          <w:pgMar w:left="652" w:top="100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Mar. 31,</w:t>
            </w:r>
          </w:p>
        </w:tc>
        <w:tc>
          <w:tcPr>
            <w:tcW w:w="120" w:type="dxa"/>
            <w:vAlign w:val="bottom"/>
          </w:tcPr>
          <w:p>
            <w:pPr>
              <w:spacing w:after="0"/>
              <w:rPr>
                <w:sz w:val="14"/>
                <w:szCs w:val="14"/>
                <w:color w:val="auto"/>
              </w:rPr>
            </w:pPr>
          </w:p>
        </w:tc>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Mar. 31,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20" w:type="dxa"/>
            <w:vAlign w:val="bottom"/>
            <w:tcBorders>
              <w:bottom w:val="single" w:sz="8" w:color="929292"/>
            </w:tcBorders>
          </w:tcPr>
          <w:p>
            <w:pPr>
              <w:spacing w:after="0"/>
              <w:rPr>
                <w:sz w:val="16"/>
                <w:szCs w:val="16"/>
                <w:color w:val="auto"/>
              </w:rPr>
            </w:pPr>
          </w:p>
        </w:tc>
        <w:tc>
          <w:tcPr>
            <w:tcW w:w="12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929292"/>
            </w:tcBorders>
          </w:tcPr>
          <w:p>
            <w:pPr>
              <w:spacing w:after="0"/>
              <w:rPr>
                <w:sz w:val="16"/>
                <w:szCs w:val="16"/>
                <w:color w:val="auto"/>
              </w:rPr>
            </w:pPr>
          </w:p>
        </w:tc>
        <w:tc>
          <w:tcPr>
            <w:tcW w:w="80" w:type="dxa"/>
            <w:vAlign w:val="bottom"/>
            <w:tcBorders>
              <w:bottom w:val="single" w:sz="8" w:color="929292"/>
            </w:tcBorders>
          </w:tcPr>
          <w:p>
            <w:pPr>
              <w:spacing w:after="0"/>
              <w:rPr>
                <w:sz w:val="16"/>
                <w:szCs w:val="16"/>
                <w:color w:val="auto"/>
              </w:rPr>
            </w:pPr>
          </w:p>
        </w:tc>
        <w:tc>
          <w:tcPr>
            <w:tcW w:w="120" w:type="dxa"/>
            <w:vAlign w:val="bottom"/>
            <w:tcBorders>
              <w:bottom w:val="single" w:sz="8" w:color="929292"/>
            </w:tcBorders>
          </w:tcPr>
          <w:p>
            <w:pPr>
              <w:spacing w:after="0"/>
              <w:rPr>
                <w:sz w:val="16"/>
                <w:szCs w:val="16"/>
                <w:color w:val="auto"/>
              </w:rPr>
            </w:pPr>
          </w:p>
        </w:tc>
        <w:tc>
          <w:tcPr>
            <w:tcW w:w="12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Dollars</w:t>
            </w:r>
          </w:p>
        </w:tc>
        <w:tc>
          <w:tcPr>
            <w:tcW w:w="9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 of Net</w:t>
            </w:r>
          </w:p>
        </w:tc>
        <w:tc>
          <w:tcPr>
            <w:tcW w:w="120" w:type="dxa"/>
            <w:vAlign w:val="bottom"/>
          </w:tcPr>
          <w:p>
            <w:pPr>
              <w:spacing w:after="0"/>
              <w:rPr>
                <w:sz w:val="12"/>
                <w:szCs w:val="12"/>
                <w:color w:val="auto"/>
              </w:rPr>
            </w:pPr>
          </w:p>
        </w:tc>
        <w:tc>
          <w:tcPr>
            <w:tcW w:w="12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Dollars</w:t>
            </w:r>
          </w:p>
        </w:tc>
        <w:tc>
          <w:tcPr>
            <w:tcW w:w="100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 of Net</w:t>
            </w:r>
          </w:p>
        </w:tc>
        <w:tc>
          <w:tcPr>
            <w:tcW w:w="14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929292"/>
            </w:tcBorders>
            <w:vMerge w:val="continue"/>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20" w:type="dxa"/>
            <w:vAlign w:val="bottom"/>
            <w:tcBorders>
              <w:bottom w:val="single" w:sz="8" w:color="929292"/>
            </w:tcBorders>
          </w:tcPr>
          <w:p>
            <w:pPr>
              <w:spacing w:after="0"/>
              <w:rPr>
                <w:sz w:val="16"/>
                <w:szCs w:val="16"/>
                <w:color w:val="auto"/>
              </w:rPr>
            </w:pPr>
          </w:p>
        </w:tc>
        <w:tc>
          <w:tcPr>
            <w:tcW w:w="1240" w:type="dxa"/>
            <w:vAlign w:val="bottom"/>
            <w:tcBorders>
              <w:bottom w:val="single" w:sz="8" w:color="929292"/>
            </w:tcBorders>
            <w:vMerge w:val="continue"/>
          </w:tcPr>
          <w:p>
            <w:pPr>
              <w:spacing w:after="0"/>
              <w:rPr>
                <w:sz w:val="16"/>
                <w:szCs w:val="16"/>
                <w:color w:val="auto"/>
              </w:rPr>
            </w:pPr>
          </w:p>
        </w:tc>
        <w:tc>
          <w:tcPr>
            <w:tcW w:w="980" w:type="dxa"/>
            <w:vAlign w:val="bottom"/>
            <w:tcBorders>
              <w:bottom w:val="single" w:sz="8" w:color="929292"/>
            </w:tcBorders>
            <w:gridSpan w:val="2"/>
          </w:tcPr>
          <w:p>
            <w:pPr>
              <w:jc w:val="center"/>
              <w:ind w:right="18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929292"/>
            </w:tcBorders>
          </w:tcPr>
          <w:p>
            <w:pPr>
              <w:spacing w:after="0"/>
              <w:rPr>
                <w:sz w:val="16"/>
                <w:szCs w:val="16"/>
                <w:color w:val="auto"/>
              </w:rPr>
            </w:pPr>
          </w:p>
        </w:tc>
        <w:tc>
          <w:tcPr>
            <w:tcW w:w="1240" w:type="dxa"/>
            <w:vAlign w:val="bottom"/>
            <w:tcBorders>
              <w:bottom w:val="single" w:sz="8" w:color="929292"/>
            </w:tcBorders>
            <w:vMerge w:val="continue"/>
          </w:tcPr>
          <w:p>
            <w:pPr>
              <w:spacing w:after="0"/>
              <w:rPr>
                <w:sz w:val="16"/>
                <w:szCs w:val="16"/>
                <w:color w:val="auto"/>
              </w:rPr>
            </w:pPr>
          </w:p>
        </w:tc>
        <w:tc>
          <w:tcPr>
            <w:tcW w:w="1000" w:type="dxa"/>
            <w:vAlign w:val="bottom"/>
            <w:tcBorders>
              <w:bottom w:val="single" w:sz="8" w:color="929292"/>
            </w:tcBorders>
            <w:gridSpan w:val="2"/>
          </w:tcPr>
          <w:p>
            <w:pPr>
              <w:jc w:val="center"/>
              <w:ind w:right="20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vMerge w:val="continue"/>
          </w:tcPr>
          <w:p>
            <w:pPr>
              <w:spacing w:after="0"/>
              <w:rPr>
                <w:sz w:val="16"/>
                <w:szCs w:val="16"/>
                <w:color w:val="auto"/>
              </w:rPr>
            </w:pPr>
          </w:p>
        </w:tc>
        <w:tc>
          <w:tcPr>
            <w:tcW w:w="960" w:type="dxa"/>
            <w:vAlign w:val="bottom"/>
            <w:tcBorders>
              <w:bottom w:val="single" w:sz="8" w:color="929292"/>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shd w:val="clear" w:color="auto" w:fill="929292"/>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183,158</w:t>
            </w:r>
          </w:p>
        </w:tc>
        <w:tc>
          <w:tcPr>
            <w:tcW w:w="900" w:type="dxa"/>
            <w:vAlign w:val="bottom"/>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270,593</w:t>
            </w:r>
          </w:p>
        </w:tc>
        <w:tc>
          <w:tcPr>
            <w:tcW w:w="90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(87,435)</w:t>
            </w:r>
          </w:p>
        </w:tc>
        <w:tc>
          <w:tcPr>
            <w:tcW w:w="96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45,462</w:t>
            </w:r>
          </w:p>
        </w:tc>
        <w:tc>
          <w:tcPr>
            <w:tcW w:w="900" w:type="dxa"/>
            <w:vAlign w:val="bottom"/>
          </w:tcPr>
          <w:p>
            <w:pPr>
              <w:jc w:val="right"/>
              <w:spacing w:after="0"/>
              <w:rPr>
                <w:sz w:val="20"/>
                <w:szCs w:val="20"/>
                <w:color w:val="auto"/>
              </w:rPr>
            </w:pPr>
            <w:r>
              <w:rPr>
                <w:rFonts w:ascii="Arial" w:cs="Arial" w:eastAsia="Arial" w:hAnsi="Arial"/>
                <w:sz w:val="14"/>
                <w:szCs w:val="14"/>
                <w:color w:val="auto"/>
              </w:rPr>
              <w:t>24.8 %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67,923</w:t>
            </w:r>
          </w:p>
        </w:tc>
        <w:tc>
          <w:tcPr>
            <w:tcW w:w="90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(22,461)</w:t>
            </w:r>
          </w:p>
        </w:tc>
        <w:tc>
          <w:tcPr>
            <w:tcW w:w="96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02"/>
        </w:trPr>
        <w:tc>
          <w:tcPr>
            <w:tcW w:w="434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45,743</w:t>
            </w:r>
          </w:p>
        </w:tc>
        <w:tc>
          <w:tcPr>
            <w:tcW w:w="900" w:type="dxa"/>
            <w:vAlign w:val="bottom"/>
          </w:tcPr>
          <w:p>
            <w:pPr>
              <w:jc w:val="right"/>
              <w:spacing w:after="0"/>
              <w:rPr>
                <w:sz w:val="20"/>
                <w:szCs w:val="20"/>
                <w:color w:val="auto"/>
              </w:rPr>
            </w:pPr>
            <w:r>
              <w:rPr>
                <w:rFonts w:ascii="Arial" w:cs="Arial" w:eastAsia="Arial" w:hAnsi="Arial"/>
                <w:sz w:val="14"/>
                <w:szCs w:val="14"/>
                <w:color w:val="auto"/>
              </w:rPr>
              <w:t>25.0 %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84,033</w:t>
            </w:r>
          </w:p>
        </w:tc>
        <w:tc>
          <w:tcPr>
            <w:tcW w:w="900" w:type="dxa"/>
            <w:vAlign w:val="bottom"/>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(38,290)</w:t>
            </w:r>
          </w:p>
        </w:tc>
        <w:tc>
          <w:tcPr>
            <w:tcW w:w="96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42,027</w:t>
            </w:r>
          </w:p>
        </w:tc>
        <w:tc>
          <w:tcPr>
            <w:tcW w:w="900" w:type="dxa"/>
            <w:vAlign w:val="bottom"/>
          </w:tcPr>
          <w:p>
            <w:pPr>
              <w:jc w:val="right"/>
              <w:spacing w:after="0"/>
              <w:rPr>
                <w:sz w:val="20"/>
                <w:szCs w:val="20"/>
                <w:color w:val="auto"/>
              </w:rPr>
            </w:pPr>
            <w:r>
              <w:rPr>
                <w:rFonts w:ascii="Arial" w:cs="Arial" w:eastAsia="Arial" w:hAnsi="Arial"/>
                <w:sz w:val="14"/>
                <w:szCs w:val="14"/>
                <w:color w:val="auto"/>
              </w:rPr>
              <w:t>22.9 %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78,455</w:t>
            </w:r>
          </w:p>
        </w:tc>
        <w:tc>
          <w:tcPr>
            <w:tcW w:w="90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(36,428)</w:t>
            </w:r>
          </w:p>
        </w:tc>
        <w:tc>
          <w:tcPr>
            <w:tcW w:w="96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9,543</w:t>
            </w:r>
          </w:p>
        </w:tc>
        <w:tc>
          <w:tcPr>
            <w:tcW w:w="900" w:type="dxa"/>
            <w:vAlign w:val="bottom"/>
          </w:tcPr>
          <w:p>
            <w:pPr>
              <w:jc w:val="right"/>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12,759</w:t>
            </w:r>
          </w:p>
        </w:tc>
        <w:tc>
          <w:tcPr>
            <w:tcW w:w="90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(3,216)</w:t>
            </w:r>
          </w:p>
        </w:tc>
        <w:tc>
          <w:tcPr>
            <w:tcW w:w="96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22,618</w:t>
            </w:r>
          </w:p>
        </w:tc>
        <w:tc>
          <w:tcPr>
            <w:tcW w:w="900" w:type="dxa"/>
            <w:vAlign w:val="bottom"/>
          </w:tcPr>
          <w:p>
            <w:pPr>
              <w:jc w:val="right"/>
              <w:spacing w:after="0"/>
              <w:rPr>
                <w:sz w:val="20"/>
                <w:szCs w:val="20"/>
                <w:color w:val="auto"/>
              </w:rPr>
            </w:pPr>
            <w:r>
              <w:rPr>
                <w:rFonts w:ascii="Arial" w:cs="Arial" w:eastAsia="Arial" w:hAnsi="Arial"/>
                <w:sz w:val="14"/>
                <w:szCs w:val="14"/>
                <w:color w:val="auto"/>
              </w:rPr>
              <w:t>12.3 %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29,217</w:t>
            </w:r>
          </w:p>
        </w:tc>
        <w:tc>
          <w:tcPr>
            <w:tcW w:w="90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(6,599)</w:t>
            </w:r>
          </w:p>
        </w:tc>
        <w:tc>
          <w:tcPr>
            <w:tcW w:w="96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4"/>
        </w:trPr>
        <w:tc>
          <w:tcPr>
            <w:tcW w:w="43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23,514</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12.8 %</w:t>
            </w:r>
          </w:p>
        </w:tc>
        <w:tc>
          <w:tcPr>
            <w:tcW w:w="80" w:type="dxa"/>
            <w:vAlign w:val="bottom"/>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288"/>
              <w:spacing w:after="0"/>
              <w:rPr>
                <w:sz w:val="20"/>
                <w:szCs w:val="20"/>
                <w:color w:val="auto"/>
              </w:rPr>
            </w:pPr>
            <w:r>
              <w:rPr>
                <w:rFonts w:ascii="Arial" w:cs="Arial" w:eastAsia="Arial" w:hAnsi="Arial"/>
                <w:sz w:val="14"/>
                <w:szCs w:val="14"/>
                <w:color w:val="auto"/>
              </w:rPr>
              <w:t>23,514</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188,907</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103.1 %</w:t>
            </w:r>
          </w:p>
        </w:tc>
        <w:tc>
          <w:tcPr>
            <w:tcW w:w="80" w:type="dxa"/>
            <w:vAlign w:val="bottom"/>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288"/>
              <w:spacing w:after="0"/>
              <w:rPr>
                <w:sz w:val="20"/>
                <w:szCs w:val="20"/>
                <w:color w:val="auto"/>
              </w:rPr>
            </w:pPr>
            <w:r>
              <w:rPr>
                <w:rFonts w:ascii="Arial" w:cs="Arial" w:eastAsia="Arial" w:hAnsi="Arial"/>
                <w:sz w:val="14"/>
                <w:szCs w:val="14"/>
                <w:color w:val="auto"/>
              </w:rPr>
              <w:t>295,901</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109.4 %</w:t>
            </w:r>
          </w:p>
        </w:tc>
        <w:tc>
          <w:tcPr>
            <w:tcW w:w="10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48"/>
              <w:spacing w:after="0"/>
              <w:rPr>
                <w:sz w:val="20"/>
                <w:szCs w:val="20"/>
                <w:color w:val="auto"/>
              </w:rPr>
            </w:pPr>
            <w:r>
              <w:rPr>
                <w:rFonts w:ascii="Arial" w:cs="Arial" w:eastAsia="Arial" w:hAnsi="Arial"/>
                <w:sz w:val="14"/>
                <w:szCs w:val="14"/>
                <w:color w:val="auto"/>
              </w:rPr>
              <w:t>(106,994)</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(5,749)</w:t>
            </w: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(25,308)</w:t>
            </w: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19,559</w:t>
            </w:r>
          </w:p>
        </w:tc>
        <w:tc>
          <w:tcPr>
            <w:tcW w:w="96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16,891</w:t>
            </w:r>
          </w:p>
        </w:tc>
        <w:tc>
          <w:tcPr>
            <w:tcW w:w="900" w:type="dxa"/>
            <w:vAlign w:val="bottom"/>
          </w:tcPr>
          <w:p>
            <w:pPr>
              <w:jc w:val="right"/>
              <w:spacing w:after="0"/>
              <w:rPr>
                <w:sz w:val="20"/>
                <w:szCs w:val="20"/>
                <w:color w:val="auto"/>
              </w:rPr>
            </w:pPr>
            <w:r>
              <w:rPr>
                <w:rFonts w:ascii="Arial" w:cs="Arial" w:eastAsia="Arial" w:hAnsi="Arial"/>
                <w:sz w:val="14"/>
                <w:szCs w:val="14"/>
                <w:color w:val="auto"/>
              </w:rPr>
              <w:t>9.2 %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11,398</w:t>
            </w:r>
          </w:p>
        </w:tc>
        <w:tc>
          <w:tcPr>
            <w:tcW w:w="90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5,493</w:t>
            </w:r>
          </w:p>
        </w:tc>
        <w:tc>
          <w:tcPr>
            <w:tcW w:w="960" w:type="dxa"/>
            <w:vAlign w:val="bottom"/>
          </w:tcPr>
          <w:p>
            <w:pPr>
              <w:jc w:val="right"/>
              <w:spacing w:after="0"/>
              <w:rPr>
                <w:sz w:val="20"/>
                <w:szCs w:val="20"/>
                <w:color w:val="auto"/>
              </w:rPr>
            </w:pPr>
            <w:r>
              <w:rPr>
                <w:rFonts w:ascii="Arial" w:cs="Arial" w:eastAsia="Arial" w:hAnsi="Arial"/>
                <w:sz w:val="14"/>
                <w:szCs w:val="14"/>
                <w:color w:val="auto"/>
              </w:rPr>
              <w:t>48.2 %</w:t>
            </w:r>
          </w:p>
        </w:tc>
        <w:tc>
          <w:tcPr>
            <w:tcW w:w="0" w:type="dxa"/>
            <w:vAlign w:val="bottom"/>
          </w:tcPr>
          <w:p>
            <w:pPr>
              <w:spacing w:after="0"/>
              <w:rPr>
                <w:sz w:val="1"/>
                <w:szCs w:val="1"/>
                <w:color w:val="auto"/>
              </w:rPr>
            </w:pPr>
          </w:p>
        </w:tc>
      </w:tr>
      <w:tr>
        <w:trPr>
          <w:trHeight w:val="204"/>
        </w:trPr>
        <w:tc>
          <w:tcPr>
            <w:tcW w:w="43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63</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960" w:type="dxa"/>
            <w:vAlign w:val="bottom"/>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1240" w:type="dxa"/>
            <w:vAlign w:val="bottom"/>
            <w:tcBorders>
              <w:top w:val="single" w:sz="8" w:color="929292"/>
              <w:bottom w:val="single" w:sz="8" w:color="929292"/>
            </w:tcBorders>
          </w:tcPr>
          <w:p>
            <w:pPr>
              <w:jc w:val="right"/>
              <w:ind w:right="268"/>
              <w:spacing w:after="0"/>
              <w:rPr>
                <w:sz w:val="20"/>
                <w:szCs w:val="20"/>
                <w:color w:val="auto"/>
              </w:rPr>
            </w:pPr>
            <w:r>
              <w:rPr>
                <w:rFonts w:ascii="Arial" w:cs="Arial" w:eastAsia="Arial" w:hAnsi="Arial"/>
                <w:sz w:val="14"/>
                <w:szCs w:val="14"/>
                <w:color w:val="auto"/>
              </w:rPr>
              <w:t>(22,587)</w:t>
            </w: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120" w:type="dxa"/>
            <w:vAlign w:val="bottom"/>
            <w:tcBorders>
              <w:top w:val="single" w:sz="8" w:color="929292"/>
              <w:bottom w:val="single" w:sz="8" w:color="929292"/>
            </w:tcBorders>
          </w:tcPr>
          <w:p>
            <w:pPr>
              <w:spacing w:after="0"/>
              <w:rPr>
                <w:sz w:val="17"/>
                <w:szCs w:val="17"/>
                <w:color w:val="auto"/>
              </w:rPr>
            </w:pPr>
          </w:p>
        </w:tc>
        <w:tc>
          <w:tcPr>
            <w:tcW w:w="1240" w:type="dxa"/>
            <w:vAlign w:val="bottom"/>
            <w:tcBorders>
              <w:top w:val="single" w:sz="8" w:color="929292"/>
              <w:bottom w:val="single" w:sz="8" w:color="929292"/>
            </w:tcBorders>
          </w:tcPr>
          <w:p>
            <w:pPr>
              <w:jc w:val="right"/>
              <w:ind w:right="248"/>
              <w:spacing w:after="0"/>
              <w:rPr>
                <w:sz w:val="20"/>
                <w:szCs w:val="20"/>
                <w:color w:val="auto"/>
              </w:rPr>
            </w:pPr>
            <w:r>
              <w:rPr>
                <w:rFonts w:ascii="Arial" w:cs="Arial" w:eastAsia="Arial" w:hAnsi="Arial"/>
                <w:sz w:val="14"/>
                <w:szCs w:val="14"/>
                <w:color w:val="auto"/>
              </w:rPr>
              <w:t>(36,769)</w:t>
            </w: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spacing w:after="0"/>
              <w:rPr>
                <w:sz w:val="17"/>
                <w:szCs w:val="17"/>
                <w:color w:val="auto"/>
              </w:rPr>
            </w:pPr>
          </w:p>
        </w:tc>
        <w:tc>
          <w:tcPr>
            <w:tcW w:w="1000" w:type="dxa"/>
            <w:vAlign w:val="bottom"/>
            <w:tcBorders>
              <w:top w:val="single" w:sz="8" w:color="929292"/>
              <w:bottom w:val="single" w:sz="8" w:color="929292"/>
            </w:tcBorders>
          </w:tcPr>
          <w:p>
            <w:pPr>
              <w:jc w:val="right"/>
              <w:ind w:right="88"/>
              <w:spacing w:after="0"/>
              <w:rPr>
                <w:sz w:val="20"/>
                <w:szCs w:val="20"/>
                <w:color w:val="auto"/>
              </w:rPr>
            </w:pPr>
            <w:r>
              <w:rPr>
                <w:rFonts w:ascii="Arial" w:cs="Arial" w:eastAsia="Arial" w:hAnsi="Arial"/>
                <w:sz w:val="14"/>
                <w:szCs w:val="14"/>
                <w:color w:val="auto"/>
              </w:rPr>
              <w:t>14,182</w:t>
            </w:r>
          </w:p>
        </w:tc>
        <w:tc>
          <w:tcPr>
            <w:tcW w:w="9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(44)</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472</w:t>
            </w:r>
          </w:p>
        </w:tc>
        <w:tc>
          <w:tcPr>
            <w:tcW w:w="90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96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929292"/>
              <w:bottom w:val="single" w:sz="8" w:color="929292"/>
            </w:tcBorders>
          </w:tcPr>
          <w:p>
            <w:pPr>
              <w:jc w:val="right"/>
              <w:ind w:right="268"/>
              <w:spacing w:after="0"/>
              <w:rPr>
                <w:sz w:val="20"/>
                <w:szCs w:val="20"/>
                <w:color w:val="auto"/>
              </w:rPr>
            </w:pPr>
            <w:r>
              <w:rPr>
                <w:rFonts w:ascii="Arial" w:cs="Arial" w:eastAsia="Arial" w:hAnsi="Arial"/>
                <w:sz w:val="14"/>
                <w:szCs w:val="14"/>
                <w:color w:val="auto"/>
              </w:rPr>
              <w:t>(22,543)</w:t>
            </w: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12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929292"/>
              <w:bottom w:val="single" w:sz="8" w:color="929292"/>
            </w:tcBorders>
          </w:tcPr>
          <w:p>
            <w:pPr>
              <w:jc w:val="right"/>
              <w:ind w:right="248"/>
              <w:spacing w:after="0"/>
              <w:rPr>
                <w:sz w:val="20"/>
                <w:szCs w:val="20"/>
                <w:color w:val="auto"/>
              </w:rPr>
            </w:pPr>
            <w:r>
              <w:rPr>
                <w:rFonts w:ascii="Arial" w:cs="Arial" w:eastAsia="Arial" w:hAnsi="Arial"/>
                <w:sz w:val="14"/>
                <w:szCs w:val="14"/>
                <w:color w:val="auto"/>
              </w:rPr>
              <w:t>(37,241)</w:t>
            </w:r>
          </w:p>
        </w:tc>
        <w:tc>
          <w:tcPr>
            <w:tcW w:w="90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4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bottom w:val="single" w:sz="8" w:color="929292"/>
            </w:tcBorders>
          </w:tcPr>
          <w:p>
            <w:pPr>
              <w:jc w:val="right"/>
              <w:ind w:right="88"/>
              <w:spacing w:after="0"/>
              <w:rPr>
                <w:sz w:val="20"/>
                <w:szCs w:val="20"/>
                <w:color w:val="auto"/>
              </w:rPr>
            </w:pPr>
            <w:r>
              <w:rPr>
                <w:rFonts w:ascii="Arial" w:cs="Arial" w:eastAsia="Arial" w:hAnsi="Arial"/>
                <w:sz w:val="14"/>
                <w:szCs w:val="14"/>
                <w:color w:val="auto"/>
              </w:rPr>
              <w:t>14,698</w:t>
            </w:r>
          </w:p>
        </w:tc>
        <w:tc>
          <w:tcPr>
            <w:tcW w:w="960" w:type="dxa"/>
            <w:vAlign w:val="bottom"/>
            <w:tcBorders>
              <w:top w:val="single" w:sz="8" w:color="929292"/>
              <w:bottom w:val="single" w:sz="8" w:color="929292"/>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268"/>
              <w:spacing w:after="0"/>
              <w:rPr>
                <w:sz w:val="20"/>
                <w:szCs w:val="20"/>
                <w:color w:val="auto"/>
              </w:rPr>
            </w:pPr>
            <w:r>
              <w:rPr>
                <w:rFonts w:ascii="Arial" w:cs="Arial" w:eastAsia="Arial" w:hAnsi="Arial"/>
                <w:sz w:val="14"/>
                <w:szCs w:val="14"/>
                <w:color w:val="auto"/>
              </w:rPr>
              <w:t>(13,364)</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120" w:type="dxa"/>
            <w:vAlign w:val="bottom"/>
            <w:tcBorders>
              <w:bottom w:val="single" w:sz="8" w:color="929292"/>
            </w:tcBorders>
          </w:tcPr>
          <w:p>
            <w:pPr>
              <w:spacing w:after="0"/>
              <w:rPr>
                <w:sz w:val="17"/>
                <w:szCs w:val="17"/>
                <w:color w:val="auto"/>
              </w:rPr>
            </w:pPr>
          </w:p>
        </w:tc>
        <w:tc>
          <w:tcPr>
            <w:tcW w:w="1240" w:type="dxa"/>
            <w:vAlign w:val="bottom"/>
            <w:tcBorders>
              <w:bottom w:val="single" w:sz="8" w:color="929292"/>
            </w:tcBorders>
          </w:tcPr>
          <w:p>
            <w:pPr>
              <w:jc w:val="right"/>
              <w:ind w:right="248"/>
              <w:spacing w:after="0"/>
              <w:rPr>
                <w:sz w:val="20"/>
                <w:szCs w:val="20"/>
                <w:color w:val="auto"/>
              </w:rPr>
            </w:pPr>
            <w:r>
              <w:rPr>
                <w:rFonts w:ascii="Arial" w:cs="Arial" w:eastAsia="Arial" w:hAnsi="Arial"/>
                <w:sz w:val="14"/>
                <w:szCs w:val="14"/>
                <w:color w:val="auto"/>
              </w:rPr>
              <w:t>(23,758)</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140" w:type="dxa"/>
            <w:vAlign w:val="bottom"/>
            <w:tcBorders>
              <w:bottom w:val="single" w:sz="8" w:color="929292"/>
            </w:tcBorders>
          </w:tcPr>
          <w:p>
            <w:pPr>
              <w:spacing w:after="0"/>
              <w:rPr>
                <w:sz w:val="17"/>
                <w:szCs w:val="17"/>
                <w:color w:val="auto"/>
              </w:rPr>
            </w:pPr>
          </w:p>
        </w:tc>
        <w:tc>
          <w:tcPr>
            <w:tcW w:w="100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10,394</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1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929292"/>
            </w:tcBorders>
          </w:tcPr>
          <w:p>
            <w:pPr>
              <w:jc w:val="right"/>
              <w:ind w:right="268"/>
              <w:spacing w:after="0"/>
              <w:rPr>
                <w:sz w:val="20"/>
                <w:szCs w:val="20"/>
                <w:color w:val="auto"/>
              </w:rPr>
            </w:pPr>
            <w:r>
              <w:rPr>
                <w:rFonts w:ascii="Arial" w:cs="Arial" w:eastAsia="Arial" w:hAnsi="Arial"/>
                <w:sz w:val="14"/>
                <w:szCs w:val="14"/>
                <w:b w:val="1"/>
                <w:bCs w:val="1"/>
                <w:color w:val="auto"/>
              </w:rPr>
              <w:t>(9,179)</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7"/>
                <w:szCs w:val="17"/>
                <w:color w:val="auto"/>
              </w:rPr>
            </w:pPr>
          </w:p>
        </w:tc>
        <w:tc>
          <w:tcPr>
            <w:tcW w:w="12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929292"/>
            </w:tcBorders>
          </w:tcPr>
          <w:p>
            <w:pPr>
              <w:jc w:val="right"/>
              <w:ind w:right="248"/>
              <w:spacing w:after="0"/>
              <w:rPr>
                <w:sz w:val="20"/>
                <w:szCs w:val="20"/>
                <w:color w:val="auto"/>
              </w:rPr>
            </w:pPr>
            <w:r>
              <w:rPr>
                <w:rFonts w:ascii="Arial" w:cs="Arial" w:eastAsia="Arial" w:hAnsi="Arial"/>
                <w:sz w:val="14"/>
                <w:szCs w:val="14"/>
                <w:b w:val="1"/>
                <w:bCs w:val="1"/>
                <w:color w:val="auto"/>
              </w:rPr>
              <w:t>(13,483)</w:t>
            </w:r>
          </w:p>
        </w:tc>
        <w:tc>
          <w:tcPr>
            <w:tcW w:w="9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b w:val="1"/>
                <w:bCs w:val="1"/>
                <w:color w:val="auto"/>
              </w:rPr>
              <w:t>4,304</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21"/>
        </w:trPr>
        <w:tc>
          <w:tcPr>
            <w:tcW w:w="43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9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929292"/>
            </w:tcBorders>
          </w:tcPr>
          <w:p>
            <w:pPr>
              <w:spacing w:after="0" w:line="20" w:lineRule="exact"/>
              <w:rPr>
                <w:sz w:val="1"/>
                <w:szCs w:val="1"/>
                <w:color w:val="auto"/>
              </w:rPr>
            </w:pPr>
          </w:p>
        </w:tc>
        <w:tc>
          <w:tcPr>
            <w:tcW w:w="1240" w:type="dxa"/>
            <w:vAlign w:val="bottom"/>
            <w:tcBorders>
              <w:bottom w:val="single" w:sz="8" w:color="929292"/>
            </w:tcBorders>
          </w:tcPr>
          <w:p>
            <w:pPr>
              <w:spacing w:after="0" w:line="20" w:lineRule="exact"/>
              <w:rPr>
                <w:sz w:val="1"/>
                <w:szCs w:val="1"/>
                <w:color w:val="auto"/>
              </w:rPr>
            </w:pPr>
          </w:p>
        </w:tc>
        <w:tc>
          <w:tcPr>
            <w:tcW w:w="90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929292"/>
            </w:tcBorders>
          </w:tcPr>
          <w:p>
            <w:pPr>
              <w:spacing w:after="0" w:line="20" w:lineRule="exact"/>
              <w:rPr>
                <w:sz w:val="1"/>
                <w:szCs w:val="1"/>
                <w:color w:val="auto"/>
              </w:rPr>
            </w:pPr>
          </w:p>
        </w:tc>
        <w:tc>
          <w:tcPr>
            <w:tcW w:w="1000" w:type="dxa"/>
            <w:vAlign w:val="bottom"/>
            <w:tcBorders>
              <w:bottom w:val="single" w:sz="8" w:color="929292"/>
            </w:tcBorders>
          </w:tcPr>
          <w:p>
            <w:pPr>
              <w:spacing w:after="0" w:line="20" w:lineRule="exact"/>
              <w:rPr>
                <w:sz w:val="1"/>
                <w:szCs w:val="1"/>
                <w:color w:val="auto"/>
              </w:rPr>
            </w:pPr>
          </w:p>
        </w:tc>
        <w:tc>
          <w:tcPr>
            <w:tcW w:w="9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4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100" w:type="dxa"/>
            <w:vAlign w:val="bottom"/>
            <w:shd w:val="clear" w:color="auto" w:fill="929292"/>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68"/>
              <w:spacing w:after="0"/>
              <w:rPr>
                <w:sz w:val="20"/>
                <w:szCs w:val="20"/>
                <w:color w:val="auto"/>
              </w:rPr>
            </w:pPr>
            <w:r>
              <w:rPr>
                <w:rFonts w:ascii="Arial" w:cs="Arial" w:eastAsia="Arial" w:hAnsi="Arial"/>
                <w:sz w:val="14"/>
                <w:szCs w:val="14"/>
                <w:color w:val="auto"/>
              </w:rPr>
              <w:t>(1.12)</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color w:val="auto"/>
              </w:rPr>
              <w:t>(1.74)</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color w:val="auto"/>
              </w:rPr>
              <w:t>8,965</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288"/>
              <w:spacing w:after="0"/>
              <w:rPr>
                <w:sz w:val="20"/>
                <w:szCs w:val="20"/>
                <w:color w:val="auto"/>
              </w:rPr>
            </w:pPr>
            <w:r>
              <w:rPr>
                <w:rFonts w:ascii="Arial" w:cs="Arial" w:eastAsia="Arial" w:hAnsi="Arial"/>
                <w:sz w:val="14"/>
                <w:szCs w:val="14"/>
                <w:color w:val="auto"/>
              </w:rPr>
              <w:t>7,747</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0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929292"/>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20,571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577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8"/>
              <w:spacing w:after="0"/>
              <w:rPr>
                <w:sz w:val="20"/>
                <w:szCs w:val="20"/>
                <w:color w:val="auto"/>
              </w:rPr>
            </w:pPr>
            <w:r>
              <w:rPr>
                <w:rFonts w:ascii="Arial" w:cs="Arial" w:eastAsia="Arial" w:hAnsi="Arial"/>
                <w:sz w:val="14"/>
                <w:szCs w:val="14"/>
                <w:color w:val="auto"/>
              </w:rPr>
              <w:t>28,778</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11,073</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15.7 %</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4.1 %</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79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929292"/>
            </w:tcBorders>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183,158</w:t>
            </w:r>
          </w:p>
        </w:tc>
        <w:tc>
          <w:tcPr>
            <w:tcW w:w="100" w:type="dxa"/>
            <w:vAlign w:val="bottom"/>
          </w:tcPr>
          <w:p>
            <w:pPr>
              <w:spacing w:after="0"/>
              <w:rPr>
                <w:sz w:val="16"/>
                <w:szCs w:val="16"/>
                <w:color w:val="auto"/>
              </w:rPr>
            </w:pPr>
          </w:p>
        </w:tc>
        <w:tc>
          <w:tcPr>
            <w:tcW w:w="36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270,593</w:t>
            </w:r>
          </w:p>
        </w:tc>
        <w:tc>
          <w:tcPr>
            <w:tcW w:w="0" w:type="dxa"/>
            <w:vAlign w:val="bottom"/>
          </w:tcPr>
          <w:p>
            <w:pPr>
              <w:spacing w:after="0"/>
              <w:rPr>
                <w:sz w:val="1"/>
                <w:szCs w:val="1"/>
                <w:color w:val="auto"/>
              </w:rPr>
            </w:pP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(22,543)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(37,241)</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16,891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11,398</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04"/>
        </w:trPr>
        <w:tc>
          <w:tcPr>
            <w:tcW w:w="798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26,267</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20,571</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94"/>
        </w:trPr>
        <w:tc>
          <w:tcPr>
            <w:tcW w:w="7980" w:type="dxa"/>
            <w:vAlign w:val="bottom"/>
          </w:tcPr>
          <w:p>
            <w:pPr>
              <w:ind w:left="240"/>
              <w:spacing w:after="0"/>
              <w:rPr>
                <w:sz w:val="20"/>
                <w:szCs w:val="20"/>
                <w:color w:val="auto"/>
              </w:rPr>
            </w:pPr>
            <w:r>
              <w:rPr>
                <w:rFonts w:ascii="Arial" w:cs="Arial" w:eastAsia="Arial" w:hAnsi="Arial"/>
                <w:sz w:val="14"/>
                <w:szCs w:val="14"/>
                <w:color w:val="auto"/>
              </w:rPr>
              <w:t>Share-based compensation expense (1)</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6,584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5,155</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rPr>
                <w:sz w:val="20"/>
                <w:szCs w:val="20"/>
                <w:color w:val="auto"/>
              </w:rPr>
            </w:pPr>
            <w:r>
              <w:rPr>
                <w:rFonts w:ascii="Arial" w:cs="Arial" w:eastAsia="Arial" w:hAnsi="Arial"/>
                <w:sz w:val="14"/>
                <w:szCs w:val="14"/>
                <w:color w:val="auto"/>
              </w:rPr>
              <w:t>Legal fees (2)</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rPr>
                <w:sz w:val="20"/>
                <w:szCs w:val="20"/>
                <w:color w:val="auto"/>
              </w:rPr>
            </w:pPr>
            <w:r>
              <w:rPr>
                <w:rFonts w:ascii="Arial" w:cs="Arial" w:eastAsia="Arial" w:hAnsi="Arial"/>
                <w:sz w:val="14"/>
                <w:szCs w:val="14"/>
                <w:color w:val="auto"/>
              </w:rPr>
              <w:t>Professional services (3)</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3,950</w:t>
            </w:r>
          </w:p>
        </w:tc>
        <w:tc>
          <w:tcPr>
            <w:tcW w:w="0" w:type="dxa"/>
            <w:vAlign w:val="bottom"/>
          </w:tcPr>
          <w:p>
            <w:pPr>
              <w:spacing w:after="0"/>
              <w:rPr>
                <w:sz w:val="1"/>
                <w:szCs w:val="1"/>
                <w:color w:val="auto"/>
              </w:rPr>
            </w:pPr>
          </w:p>
        </w:tc>
      </w:tr>
      <w:tr>
        <w:trPr>
          <w:trHeight w:val="207"/>
        </w:trPr>
        <w:tc>
          <w:tcPr>
            <w:tcW w:w="7980" w:type="dxa"/>
            <w:vAlign w:val="bottom"/>
          </w:tcPr>
          <w:p>
            <w:pPr>
              <w:ind w:left="240"/>
              <w:spacing w:after="0"/>
              <w:rPr>
                <w:sz w:val="20"/>
                <w:szCs w:val="20"/>
                <w:color w:val="auto"/>
              </w:rPr>
            </w:pPr>
            <w:r>
              <w:rPr>
                <w:rFonts w:ascii="Arial" w:cs="Arial" w:eastAsia="Arial" w:hAnsi="Arial"/>
                <w:sz w:val="14"/>
                <w:szCs w:val="14"/>
                <w:color w:val="auto"/>
              </w:rPr>
              <w:t>Severance costs (4)</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4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28,778</w:t>
            </w:r>
          </w:p>
        </w:tc>
        <w:tc>
          <w:tcPr>
            <w:tcW w:w="100" w:type="dxa"/>
            <w:vAlign w:val="bottom"/>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b w:val="1"/>
                <w:bCs w:val="1"/>
                <w:color w:val="auto"/>
              </w:rPr>
              <w:t>11,073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980" w:type="dxa"/>
            <w:vAlign w:val="bottom"/>
            <w:vMerge w:val="continue"/>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non-routine legal fees unrelated to our core operations.</w:t>
      </w: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non-recurring consulting fees and other professional services.</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the termination of employment and associated fees unrelated to restructuring activities.</w:t>
      </w:r>
    </w:p>
    <w:p>
      <w:pPr>
        <w:spacing w:after="0" w:line="3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following table summarizes net revenues and Adjusted EBITDA excluding the Lookback Adjustments and non-Encompass BPO Services for the periods indicated (unaudited):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7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4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929292"/>
            </w:tcBorders>
          </w:tcPr>
          <w:p>
            <w:pPr>
              <w:ind w:left="36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929292"/>
            </w:tcBorders>
          </w:tcPr>
          <w:p>
            <w:pPr>
              <w:spacing w:after="0"/>
              <w:rPr>
                <w:sz w:val="17"/>
                <w:szCs w:val="17"/>
                <w:color w:val="auto"/>
              </w:rPr>
            </w:pPr>
          </w:p>
        </w:tc>
        <w:tc>
          <w:tcPr>
            <w:tcW w:w="32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8000" w:type="dxa"/>
            <w:vAlign w:val="bottom"/>
          </w:tcPr>
          <w:p>
            <w:pPr>
              <w:ind w:left="360"/>
              <w:spacing w:after="0"/>
              <w:rPr>
                <w:sz w:val="20"/>
                <w:szCs w:val="20"/>
                <w:color w:val="auto"/>
              </w:rPr>
            </w:pPr>
            <w:r>
              <w:rPr>
                <w:rFonts w:ascii="Arial" w:cs="Arial" w:eastAsia="Arial" w:hAnsi="Arial"/>
                <w:sz w:val="14"/>
                <w:szCs w:val="14"/>
                <w:b w:val="1"/>
                <w:bCs w:val="1"/>
                <w:color w:val="auto"/>
              </w:rPr>
              <w:t>Net revenues</w:t>
            </w:r>
          </w:p>
        </w:tc>
        <w:tc>
          <w:tcPr>
            <w:tcW w:w="240" w:type="dxa"/>
            <w:vAlign w:val="bottom"/>
            <w:shd w:val="clear" w:color="auto" w:fill="929292"/>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183,158</w:t>
            </w:r>
          </w:p>
        </w:tc>
        <w:tc>
          <w:tcPr>
            <w:tcW w:w="2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270,593</w:t>
            </w:r>
          </w:p>
        </w:tc>
        <w:tc>
          <w:tcPr>
            <w:tcW w:w="0" w:type="dxa"/>
            <w:vAlign w:val="bottom"/>
          </w:tcPr>
          <w:p>
            <w:pPr>
              <w:spacing w:after="0"/>
              <w:rPr>
                <w:sz w:val="1"/>
                <w:szCs w:val="1"/>
                <w:color w:val="auto"/>
              </w:rPr>
            </w:pPr>
          </w:p>
        </w:tc>
      </w:tr>
      <w:tr>
        <w:trPr>
          <w:trHeight w:val="205"/>
        </w:trPr>
        <w:tc>
          <w:tcPr>
            <w:tcW w:w="8000" w:type="dxa"/>
            <w:vAlign w:val="bottom"/>
          </w:tcPr>
          <w:p>
            <w:pPr>
              <w:ind w:left="560"/>
              <w:spacing w:after="0" w:line="205" w:lineRule="exact"/>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24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2,318</w:t>
            </w:r>
          </w:p>
        </w:tc>
        <w:tc>
          <w:tcPr>
            <w:tcW w:w="0" w:type="dxa"/>
            <w:vAlign w:val="bottom"/>
          </w:tcPr>
          <w:p>
            <w:pPr>
              <w:spacing w:after="0"/>
              <w:rPr>
                <w:sz w:val="1"/>
                <w:szCs w:val="1"/>
                <w:color w:val="auto"/>
              </w:rPr>
            </w:pPr>
          </w:p>
        </w:tc>
      </w:tr>
      <w:tr>
        <w:trPr>
          <w:trHeight w:val="189"/>
        </w:trPr>
        <w:tc>
          <w:tcPr>
            <w:tcW w:w="8000" w:type="dxa"/>
            <w:vAlign w:val="bottom"/>
          </w:tcPr>
          <w:p>
            <w:pPr>
              <w:ind w:left="360"/>
              <w:spacing w:after="0"/>
              <w:rPr>
                <w:sz w:val="20"/>
                <w:szCs w:val="20"/>
                <w:color w:val="auto"/>
              </w:rPr>
            </w:pPr>
            <w:r>
              <w:rPr>
                <w:rFonts w:ascii="Arial" w:cs="Arial" w:eastAsia="Arial" w:hAnsi="Arial"/>
                <w:sz w:val="14"/>
                <w:szCs w:val="14"/>
                <w:color w:val="auto"/>
              </w:rPr>
              <w:t>Net revenue excluding Lookback Adjustments</w:t>
            </w:r>
          </w:p>
        </w:tc>
        <w:tc>
          <w:tcPr>
            <w:tcW w:w="240" w:type="dxa"/>
            <w:vAlign w:val="bottom"/>
            <w:tcBorders>
              <w:top w:val="single" w:sz="8" w:color="929292"/>
              <w:bottom w:val="single" w:sz="8" w:color="929292"/>
            </w:tcBorders>
            <w:shd w:val="clear" w:color="auto" w:fill="929292"/>
          </w:tcPr>
          <w:p>
            <w:pPr>
              <w:spacing w:after="0"/>
              <w:rPr>
                <w:sz w:val="16"/>
                <w:szCs w:val="16"/>
                <w:color w:val="auto"/>
              </w:rPr>
            </w:pPr>
          </w:p>
        </w:tc>
        <w:tc>
          <w:tcPr>
            <w:tcW w:w="300" w:type="dxa"/>
            <w:vAlign w:val="bottom"/>
            <w:tcBorders>
              <w:top w:val="single" w:sz="8" w:color="929292"/>
              <w:bottom w:val="single" w:sz="8" w:color="929292"/>
            </w:tcBorders>
          </w:tcPr>
          <w:p>
            <w:pPr>
              <w:spacing w:after="0"/>
              <w:rPr>
                <w:sz w:val="16"/>
                <w:szCs w:val="16"/>
                <w:color w:val="auto"/>
              </w:rPr>
            </w:pPr>
          </w:p>
        </w:tc>
        <w:tc>
          <w:tcPr>
            <w:tcW w:w="108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183,158</w:t>
            </w:r>
          </w:p>
        </w:tc>
        <w:tc>
          <w:tcPr>
            <w:tcW w:w="240" w:type="dxa"/>
            <w:vAlign w:val="bottom"/>
          </w:tcPr>
          <w:p>
            <w:pPr>
              <w:spacing w:after="0"/>
              <w:rPr>
                <w:sz w:val="16"/>
                <w:szCs w:val="16"/>
                <w:color w:val="auto"/>
              </w:rPr>
            </w:pPr>
          </w:p>
        </w:tc>
        <w:tc>
          <w:tcPr>
            <w:tcW w:w="320" w:type="dxa"/>
            <w:vAlign w:val="bottom"/>
            <w:tcBorders>
              <w:top w:val="single" w:sz="8" w:color="929292"/>
              <w:bottom w:val="single" w:sz="8" w:color="929292"/>
            </w:tcBorders>
          </w:tcPr>
          <w:p>
            <w:pPr>
              <w:spacing w:after="0"/>
              <w:rPr>
                <w:sz w:val="16"/>
                <w:szCs w:val="16"/>
                <w:color w:val="auto"/>
              </w:rPr>
            </w:pPr>
          </w:p>
        </w:tc>
        <w:tc>
          <w:tcPr>
            <w:tcW w:w="106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272,911</w:t>
            </w:r>
          </w:p>
        </w:tc>
        <w:tc>
          <w:tcPr>
            <w:tcW w:w="0" w:type="dxa"/>
            <w:vAlign w:val="bottom"/>
          </w:tcPr>
          <w:p>
            <w:pPr>
              <w:spacing w:after="0"/>
              <w:rPr>
                <w:sz w:val="1"/>
                <w:szCs w:val="1"/>
                <w:color w:val="auto"/>
              </w:rPr>
            </w:pPr>
          </w:p>
        </w:tc>
      </w:tr>
      <w:tr>
        <w:trPr>
          <w:trHeight w:val="198"/>
        </w:trPr>
        <w:tc>
          <w:tcPr>
            <w:tcW w:w="8000" w:type="dxa"/>
            <w:vAlign w:val="bottom"/>
          </w:tcPr>
          <w:p>
            <w:pPr>
              <w:ind w:left="56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color w:val="auto"/>
              </w:rPr>
              <w:t>(6,794)</w:t>
            </w:r>
          </w:p>
        </w:tc>
        <w:tc>
          <w:tcPr>
            <w:tcW w:w="240" w:type="dxa"/>
            <w:vAlign w:val="bottom"/>
          </w:tcPr>
          <w:p>
            <w:pPr>
              <w:spacing w:after="0"/>
              <w:rPr>
                <w:sz w:val="17"/>
                <w:szCs w:val="17"/>
                <w:color w:val="auto"/>
              </w:rPr>
            </w:pPr>
          </w:p>
        </w:tc>
        <w:tc>
          <w:tcPr>
            <w:tcW w:w="32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color w:val="auto"/>
              </w:rPr>
              <w:t>(34,937)</w:t>
            </w:r>
          </w:p>
        </w:tc>
        <w:tc>
          <w:tcPr>
            <w:tcW w:w="0" w:type="dxa"/>
            <w:vAlign w:val="bottom"/>
          </w:tcPr>
          <w:p>
            <w:pPr>
              <w:spacing w:after="0"/>
              <w:rPr>
                <w:sz w:val="1"/>
                <w:szCs w:val="1"/>
                <w:color w:val="auto"/>
              </w:rPr>
            </w:pPr>
          </w:p>
        </w:tc>
      </w:tr>
      <w:tr>
        <w:trPr>
          <w:trHeight w:val="200"/>
        </w:trPr>
        <w:tc>
          <w:tcPr>
            <w:tcW w:w="8000" w:type="dxa"/>
            <w:vAlign w:val="bottom"/>
          </w:tcPr>
          <w:p>
            <w:pPr>
              <w:ind w:left="360"/>
              <w:spacing w:after="0"/>
              <w:rPr>
                <w:sz w:val="20"/>
                <w:szCs w:val="20"/>
                <w:color w:val="auto"/>
              </w:rPr>
            </w:pPr>
            <w:r>
              <w:rPr>
                <w:rFonts w:ascii="Arial" w:cs="Arial" w:eastAsia="Arial" w:hAnsi="Arial"/>
                <w:sz w:val="14"/>
                <w:szCs w:val="14"/>
                <w:b w:val="1"/>
                <w:bCs w:val="1"/>
                <w:color w:val="auto"/>
              </w:rPr>
              <w:t>Net revenues excluding Lookback Adjustments and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176,364</w:t>
            </w:r>
          </w:p>
        </w:tc>
        <w:tc>
          <w:tcPr>
            <w:tcW w:w="240" w:type="dxa"/>
            <w:vAlign w:val="bottom"/>
          </w:tcPr>
          <w:p>
            <w:pPr>
              <w:spacing w:after="0"/>
              <w:rPr>
                <w:sz w:val="17"/>
                <w:szCs w:val="17"/>
                <w:color w:val="auto"/>
              </w:rPr>
            </w:pPr>
          </w:p>
        </w:tc>
        <w:tc>
          <w:tcPr>
            <w:tcW w:w="32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237,974</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4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929292"/>
            </w:tcBorders>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8000" w:type="dxa"/>
            <w:vAlign w:val="bottom"/>
          </w:tcPr>
          <w:p>
            <w:pPr>
              <w:ind w:left="36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shd w:val="clear" w:color="auto" w:fill="929292"/>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28,778</w:t>
            </w:r>
          </w:p>
        </w:tc>
        <w:tc>
          <w:tcPr>
            <w:tcW w:w="24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11,073</w:t>
            </w:r>
          </w:p>
        </w:tc>
        <w:tc>
          <w:tcPr>
            <w:tcW w:w="0" w:type="dxa"/>
            <w:vAlign w:val="bottom"/>
          </w:tcPr>
          <w:p>
            <w:pPr>
              <w:spacing w:after="0"/>
              <w:rPr>
                <w:sz w:val="1"/>
                <w:szCs w:val="1"/>
                <w:color w:val="auto"/>
              </w:rPr>
            </w:pPr>
          </w:p>
        </w:tc>
      </w:tr>
      <w:tr>
        <w:trPr>
          <w:trHeight w:val="205"/>
        </w:trPr>
        <w:tc>
          <w:tcPr>
            <w:tcW w:w="8000" w:type="dxa"/>
            <w:vAlign w:val="bottom"/>
          </w:tcPr>
          <w:p>
            <w:pPr>
              <w:ind w:left="560"/>
              <w:spacing w:after="0" w:line="205" w:lineRule="exact"/>
              <w:rPr>
                <w:sz w:val="20"/>
                <w:szCs w:val="20"/>
                <w:color w:val="auto"/>
              </w:rPr>
            </w:pPr>
            <w:r>
              <w:rPr>
                <w:rFonts w:ascii="Arial" w:cs="Arial" w:eastAsia="Arial" w:hAnsi="Arial"/>
                <w:sz w:val="14"/>
                <w:szCs w:val="14"/>
                <w:color w:val="auto"/>
              </w:rPr>
              <w:t>Lookback Adjustments reported during the indicated periods</w:t>
            </w:r>
            <w:r>
              <w:rPr>
                <w:rFonts w:ascii="Arial" w:cs="Arial" w:eastAsia="Arial" w:hAnsi="Arial"/>
                <w:sz w:val="18"/>
                <w:szCs w:val="18"/>
                <w:color w:val="auto"/>
                <w:vertAlign w:val="superscript"/>
              </w:rPr>
              <w:t>1</w:t>
            </w:r>
          </w:p>
        </w:tc>
        <w:tc>
          <w:tcPr>
            <w:tcW w:w="24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89"/>
        </w:trPr>
        <w:tc>
          <w:tcPr>
            <w:tcW w:w="8000" w:type="dxa"/>
            <w:vAlign w:val="bottom"/>
          </w:tcPr>
          <w:p>
            <w:pPr>
              <w:ind w:left="360"/>
              <w:spacing w:after="0"/>
              <w:rPr>
                <w:sz w:val="20"/>
                <w:szCs w:val="20"/>
                <w:color w:val="auto"/>
              </w:rPr>
            </w:pPr>
            <w:r>
              <w:rPr>
                <w:rFonts w:ascii="Arial" w:cs="Arial" w:eastAsia="Arial" w:hAnsi="Arial"/>
                <w:sz w:val="14"/>
                <w:szCs w:val="14"/>
                <w:color w:val="auto"/>
              </w:rPr>
              <w:t>Adjusted EBITDA excluding Lookback Adjustments</w:t>
            </w:r>
          </w:p>
        </w:tc>
        <w:tc>
          <w:tcPr>
            <w:tcW w:w="240" w:type="dxa"/>
            <w:vAlign w:val="bottom"/>
            <w:tcBorders>
              <w:top w:val="single" w:sz="8" w:color="929292"/>
              <w:bottom w:val="single" w:sz="8" w:color="929292"/>
            </w:tcBorders>
            <w:shd w:val="clear" w:color="auto" w:fill="929292"/>
          </w:tcPr>
          <w:p>
            <w:pPr>
              <w:spacing w:after="0"/>
              <w:rPr>
                <w:sz w:val="16"/>
                <w:szCs w:val="16"/>
                <w:color w:val="auto"/>
              </w:rPr>
            </w:pPr>
          </w:p>
        </w:tc>
        <w:tc>
          <w:tcPr>
            <w:tcW w:w="300" w:type="dxa"/>
            <w:vAlign w:val="bottom"/>
            <w:tcBorders>
              <w:top w:val="single" w:sz="8" w:color="929292"/>
              <w:bottom w:val="single" w:sz="8" w:color="929292"/>
            </w:tcBorders>
          </w:tcPr>
          <w:p>
            <w:pPr>
              <w:spacing w:after="0"/>
              <w:rPr>
                <w:sz w:val="16"/>
                <w:szCs w:val="16"/>
                <w:color w:val="auto"/>
              </w:rPr>
            </w:pPr>
          </w:p>
        </w:tc>
        <w:tc>
          <w:tcPr>
            <w:tcW w:w="108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28,778</w:t>
            </w:r>
          </w:p>
        </w:tc>
        <w:tc>
          <w:tcPr>
            <w:tcW w:w="240" w:type="dxa"/>
            <w:vAlign w:val="bottom"/>
          </w:tcPr>
          <w:p>
            <w:pPr>
              <w:spacing w:after="0"/>
              <w:rPr>
                <w:sz w:val="16"/>
                <w:szCs w:val="16"/>
                <w:color w:val="auto"/>
              </w:rPr>
            </w:pPr>
          </w:p>
        </w:tc>
        <w:tc>
          <w:tcPr>
            <w:tcW w:w="320" w:type="dxa"/>
            <w:vAlign w:val="bottom"/>
            <w:tcBorders>
              <w:top w:val="single" w:sz="8" w:color="929292"/>
              <w:bottom w:val="single" w:sz="8" w:color="929292"/>
            </w:tcBorders>
          </w:tcPr>
          <w:p>
            <w:pPr>
              <w:spacing w:after="0"/>
              <w:rPr>
                <w:sz w:val="16"/>
                <w:szCs w:val="16"/>
                <w:color w:val="auto"/>
              </w:rPr>
            </w:pPr>
          </w:p>
        </w:tc>
        <w:tc>
          <w:tcPr>
            <w:tcW w:w="1060" w:type="dxa"/>
            <w:vAlign w:val="bottom"/>
            <w:tcBorders>
              <w:top w:val="single" w:sz="8" w:color="929292"/>
              <w:bottom w:val="single" w:sz="8" w:color="929292"/>
            </w:tcBorders>
          </w:tcPr>
          <w:p>
            <w:pPr>
              <w:jc w:val="right"/>
              <w:ind w:right="168"/>
              <w:spacing w:after="0"/>
              <w:rPr>
                <w:sz w:val="20"/>
                <w:szCs w:val="20"/>
                <w:color w:val="auto"/>
              </w:rPr>
            </w:pPr>
            <w:r>
              <w:rPr>
                <w:rFonts w:ascii="Arial" w:cs="Arial" w:eastAsia="Arial" w:hAnsi="Arial"/>
                <w:sz w:val="14"/>
                <w:szCs w:val="14"/>
                <w:color w:val="auto"/>
              </w:rPr>
              <w:t>12,734</w:t>
            </w:r>
          </w:p>
        </w:tc>
        <w:tc>
          <w:tcPr>
            <w:tcW w:w="0" w:type="dxa"/>
            <w:vAlign w:val="bottom"/>
          </w:tcPr>
          <w:p>
            <w:pPr>
              <w:spacing w:after="0"/>
              <w:rPr>
                <w:sz w:val="1"/>
                <w:szCs w:val="1"/>
                <w:color w:val="auto"/>
              </w:rPr>
            </w:pPr>
          </w:p>
        </w:tc>
      </w:tr>
      <w:tr>
        <w:trPr>
          <w:trHeight w:val="198"/>
        </w:trPr>
        <w:tc>
          <w:tcPr>
            <w:tcW w:w="8000" w:type="dxa"/>
            <w:vAlign w:val="bottom"/>
          </w:tcPr>
          <w:p>
            <w:pPr>
              <w:ind w:left="560"/>
              <w:spacing w:after="0"/>
              <w:rPr>
                <w:sz w:val="20"/>
                <w:szCs w:val="20"/>
                <w:color w:val="auto"/>
              </w:rPr>
            </w:pPr>
            <w:r>
              <w:rPr>
                <w:rFonts w:ascii="Arial" w:cs="Arial" w:eastAsia="Arial" w:hAnsi="Arial"/>
                <w:sz w:val="14"/>
                <w:szCs w:val="14"/>
                <w:color w:val="auto"/>
              </w:rPr>
              <w:t>Exit of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08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color w:val="auto"/>
              </w:rPr>
              <w:t>(1,402)</w:t>
            </w:r>
          </w:p>
        </w:tc>
        <w:tc>
          <w:tcPr>
            <w:tcW w:w="240" w:type="dxa"/>
            <w:vAlign w:val="bottom"/>
          </w:tcPr>
          <w:p>
            <w:pPr>
              <w:spacing w:after="0"/>
              <w:rPr>
                <w:sz w:val="17"/>
                <w:szCs w:val="17"/>
                <w:color w:val="auto"/>
              </w:rPr>
            </w:pPr>
          </w:p>
        </w:tc>
        <w:tc>
          <w:tcPr>
            <w:tcW w:w="32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color w:val="auto"/>
              </w:rPr>
              <w:t>(7,190)</w:t>
            </w:r>
          </w:p>
        </w:tc>
        <w:tc>
          <w:tcPr>
            <w:tcW w:w="0" w:type="dxa"/>
            <w:vAlign w:val="bottom"/>
          </w:tcPr>
          <w:p>
            <w:pPr>
              <w:spacing w:after="0"/>
              <w:rPr>
                <w:sz w:val="1"/>
                <w:szCs w:val="1"/>
                <w:color w:val="auto"/>
              </w:rPr>
            </w:pPr>
          </w:p>
        </w:tc>
      </w:tr>
      <w:tr>
        <w:trPr>
          <w:trHeight w:val="200"/>
        </w:trPr>
        <w:tc>
          <w:tcPr>
            <w:tcW w:w="8000" w:type="dxa"/>
            <w:vAlign w:val="bottom"/>
          </w:tcPr>
          <w:p>
            <w:pPr>
              <w:ind w:left="360"/>
              <w:spacing w:after="0"/>
              <w:rPr>
                <w:sz w:val="20"/>
                <w:szCs w:val="20"/>
                <w:color w:val="auto"/>
              </w:rPr>
            </w:pPr>
            <w:r>
              <w:rPr>
                <w:rFonts w:ascii="Arial" w:cs="Arial" w:eastAsia="Arial" w:hAnsi="Arial"/>
                <w:sz w:val="14"/>
                <w:szCs w:val="14"/>
                <w:b w:val="1"/>
                <w:bCs w:val="1"/>
                <w:color w:val="auto"/>
              </w:rPr>
              <w:t>Adjusted EBITDA excluding Lookback Adjustments and non-Encompass BPO Services</w:t>
            </w:r>
          </w:p>
        </w:tc>
        <w:tc>
          <w:tcPr>
            <w:tcW w:w="24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27,376</w:t>
            </w:r>
          </w:p>
        </w:tc>
        <w:tc>
          <w:tcPr>
            <w:tcW w:w="240" w:type="dxa"/>
            <w:vAlign w:val="bottom"/>
          </w:tcPr>
          <w:p>
            <w:pPr>
              <w:spacing w:after="0"/>
              <w:rPr>
                <w:sz w:val="17"/>
                <w:szCs w:val="17"/>
                <w:color w:val="auto"/>
              </w:rPr>
            </w:pPr>
          </w:p>
        </w:tc>
        <w:tc>
          <w:tcPr>
            <w:tcW w:w="320" w:type="dxa"/>
            <w:vAlign w:val="bottom"/>
            <w:tcBorders>
              <w:bottom w:val="single" w:sz="8" w:color="929292"/>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5,544</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380"/>
              <w:spacing w:after="0"/>
              <w:rPr>
                <w:sz w:val="20"/>
                <w:szCs w:val="20"/>
                <w:color w:val="auto"/>
              </w:rPr>
            </w:pPr>
            <w:r>
              <w:rPr>
                <w:rFonts w:ascii="Arial" w:cs="Arial" w:eastAsia="Arial" w:hAnsi="Arial"/>
                <w:sz w:val="14"/>
                <w:szCs w:val="14"/>
                <w:color w:val="auto"/>
              </w:rPr>
              <w:t>Adjusted EBITDA margin excluding Lookback Adjustments and non-Encompass BPO Services</w:t>
            </w:r>
          </w:p>
        </w:tc>
        <w:tc>
          <w:tcPr>
            <w:tcW w:w="24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080" w:type="dxa"/>
            <w:vAlign w:val="bottom"/>
            <w:tcBorders>
              <w:bottom w:val="single" w:sz="8" w:color="929292"/>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929292"/>
            </w:tcBorders>
          </w:tcPr>
          <w:p>
            <w:pPr>
              <w:spacing w:after="0" w:line="20" w:lineRule="exact"/>
              <w:rPr>
                <w:sz w:val="1"/>
                <w:szCs w:val="1"/>
                <w:color w:val="auto"/>
              </w:rPr>
            </w:pPr>
          </w:p>
        </w:tc>
        <w:tc>
          <w:tcPr>
            <w:tcW w:w="106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24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impact of Lookback Adjustments on non-Encompass BPO Services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929292"/>
            </w:tcBorders>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9"/>
        </w:trPr>
        <w:tc>
          <w:tcPr>
            <w:tcW w:w="818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180" w:type="dxa"/>
            <w:vAlign w:val="bottom"/>
          </w:tcPr>
          <w:p>
            <w:pPr>
              <w:ind w:left="460"/>
              <w:spacing w:after="0"/>
              <w:rPr>
                <w:sz w:val="20"/>
                <w:szCs w:val="20"/>
                <w:color w:val="auto"/>
              </w:rPr>
            </w:pPr>
            <w:r>
              <w:rPr>
                <w:rFonts w:ascii="Arial" w:cs="Arial" w:eastAsia="Arial" w:hAnsi="Arial"/>
                <w:sz w:val="14"/>
                <w:szCs w:val="14"/>
                <w:color w:val="auto"/>
              </w:rPr>
              <w:t>Commission Revenue</w:t>
            </w:r>
          </w:p>
        </w:tc>
        <w:tc>
          <w:tcPr>
            <w:tcW w:w="100" w:type="dxa"/>
            <w:vAlign w:val="bottom"/>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97,531</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191,693</w:t>
            </w:r>
          </w:p>
        </w:tc>
      </w:tr>
      <w:tr>
        <w:trPr>
          <w:trHeight w:val="204"/>
        </w:trPr>
        <w:tc>
          <w:tcPr>
            <w:tcW w:w="8180" w:type="dxa"/>
            <w:vAlign w:val="bottom"/>
          </w:tcPr>
          <w:p>
            <w:pPr>
              <w:ind w:left="460"/>
              <w:spacing w:after="0"/>
              <w:rPr>
                <w:sz w:val="20"/>
                <w:szCs w:val="20"/>
                <w:color w:val="auto"/>
              </w:rPr>
            </w:pPr>
            <w:r>
              <w:rPr>
                <w:rFonts w:ascii="Arial" w:cs="Arial" w:eastAsia="Arial" w:hAnsi="Arial"/>
                <w:sz w:val="14"/>
                <w:szCs w:val="14"/>
                <w:color w:val="auto"/>
              </w:rPr>
              <w:t>Partner Marketing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27,124</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34,026</w:t>
            </w:r>
          </w:p>
        </w:tc>
      </w:tr>
      <w:tr>
        <w:trPr>
          <w:trHeight w:val="196"/>
        </w:trPr>
        <w:tc>
          <w:tcPr>
            <w:tcW w:w="8180" w:type="dxa"/>
            <w:vAlign w:val="bottom"/>
          </w:tcPr>
          <w:p>
            <w:pPr>
              <w:ind w:left="1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124,655</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225,719</w:t>
            </w:r>
          </w:p>
        </w:tc>
      </w:tr>
      <w:tr>
        <w:trPr>
          <w:trHeight w:val="196"/>
        </w:trPr>
        <w:tc>
          <w:tcPr>
            <w:tcW w:w="818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44,972</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5,752</w:t>
            </w:r>
          </w:p>
        </w:tc>
      </w:tr>
      <w:tr>
        <w:trPr>
          <w:trHeight w:val="196"/>
        </w:trPr>
        <w:tc>
          <w:tcPr>
            <w:tcW w:w="8180" w:type="dxa"/>
            <w:vAlign w:val="bottom"/>
          </w:tcPr>
          <w:p>
            <w:pPr>
              <w:ind w:left="20"/>
              <w:spacing w:after="0"/>
              <w:rPr>
                <w:sz w:val="20"/>
                <w:szCs w:val="20"/>
                <w:color w:val="auto"/>
              </w:rPr>
            </w:pPr>
            <w:r>
              <w:rPr>
                <w:rFonts w:ascii="Arial" w:cs="Arial" w:eastAsia="Arial" w:hAnsi="Arial"/>
                <w:sz w:val="14"/>
                <w:szCs w:val="14"/>
                <w:color w:val="auto"/>
              </w:rPr>
              <w:t>Total Medicare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169,627</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231,471</w:t>
            </w:r>
          </w:p>
        </w:tc>
      </w:tr>
      <w:tr>
        <w:trPr>
          <w:trHeight w:val="181"/>
        </w:trPr>
        <w:tc>
          <w:tcPr>
            <w:tcW w:w="81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Non-Encompass BPO Revenue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6,794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34,937</w:t>
            </w:r>
          </w:p>
        </w:tc>
      </w:tr>
      <w:tr>
        <w:trPr>
          <w:trHeight w:val="204"/>
        </w:trPr>
        <w:tc>
          <w:tcPr>
            <w:tcW w:w="8180" w:type="dxa"/>
            <w:vAlign w:val="bottom"/>
          </w:tcPr>
          <w:p>
            <w:pPr>
              <w:ind w:left="2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6,737</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4,185</w:t>
            </w:r>
          </w:p>
        </w:tc>
      </w:tr>
      <w:tr>
        <w:trPr>
          <w:trHeight w:val="199"/>
        </w:trPr>
        <w:tc>
          <w:tcPr>
            <w:tcW w:w="8180" w:type="dxa"/>
            <w:vAlign w:val="bottom"/>
          </w:tcPr>
          <w:p>
            <w:pPr>
              <w:ind w:left="20"/>
              <w:spacing w:after="0"/>
              <w:rPr>
                <w:sz w:val="20"/>
                <w:szCs w:val="20"/>
                <w:color w:val="auto"/>
              </w:rPr>
            </w:pPr>
            <w:r>
              <w:rPr>
                <w:rFonts w:ascii="Arial" w:cs="Arial" w:eastAsia="Arial" w:hAnsi="Arial"/>
                <w:sz w:val="14"/>
                <w:szCs w:val="14"/>
                <w:color w:val="auto"/>
              </w:rPr>
              <w:t>Total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13,531</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39,122</w:t>
            </w:r>
          </w:p>
        </w:tc>
      </w:tr>
      <w:tr>
        <w:trPr>
          <w:trHeight w:val="220"/>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Total Net Revenue</w:t>
            </w:r>
          </w:p>
        </w:tc>
        <w:tc>
          <w:tcPr>
            <w:tcW w:w="100" w:type="dxa"/>
            <w:vAlign w:val="bottom"/>
            <w:tcBorders>
              <w:bottom w:val="single" w:sz="8" w:color="929292"/>
            </w:tcBorders>
            <w:shd w:val="clear" w:color="auto" w:fill="929292"/>
          </w:tcPr>
          <w:p>
            <w:pPr>
              <w:spacing w:after="0"/>
              <w:rPr>
                <w:sz w:val="19"/>
                <w:szCs w:val="19"/>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183,158</w:t>
            </w:r>
          </w:p>
        </w:tc>
        <w:tc>
          <w:tcPr>
            <w:tcW w:w="80" w:type="dxa"/>
            <w:vAlign w:val="bottom"/>
          </w:tcPr>
          <w:p>
            <w:pPr>
              <w:spacing w:after="0"/>
              <w:rPr>
                <w:sz w:val="19"/>
                <w:szCs w:val="19"/>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270,593</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00" w:type="dxa"/>
            <w:vAlign w:val="bottom"/>
            <w:tcBorders>
              <w:bottom w:val="single" w:sz="8" w:color="929292"/>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8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929292"/>
            </w:tcBorders>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9"/>
        </w:trPr>
        <w:tc>
          <w:tcPr>
            <w:tcW w:w="818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441</w:t>
            </w: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631</w:t>
            </w: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207"/>
        </w:trPr>
        <w:tc>
          <w:tcPr>
            <w:tcW w:w="8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5,147</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3,101</w:t>
            </w:r>
          </w:p>
        </w:tc>
      </w:tr>
      <w:tr>
        <w:trPr>
          <w:trHeight w:val="22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100" w:type="dxa"/>
            <w:vAlign w:val="bottom"/>
            <w:tcBorders>
              <w:bottom w:val="single" w:sz="8" w:color="929292"/>
            </w:tcBorders>
            <w:shd w:val="clear" w:color="auto" w:fill="929292"/>
          </w:tcPr>
          <w:p>
            <w:pPr>
              <w:spacing w:after="0"/>
              <w:rPr>
                <w:sz w:val="19"/>
                <w:szCs w:val="19"/>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6,584</w:t>
            </w:r>
          </w:p>
        </w:tc>
        <w:tc>
          <w:tcPr>
            <w:tcW w:w="80" w:type="dxa"/>
            <w:vAlign w:val="bottom"/>
          </w:tcPr>
          <w:p>
            <w:pPr>
              <w:spacing w:after="0"/>
              <w:rPr>
                <w:sz w:val="19"/>
                <w:szCs w:val="19"/>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5,155</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00" w:type="dxa"/>
            <w:vAlign w:val="bottom"/>
            <w:tcBorders>
              <w:bottom w:val="single" w:sz="8" w:color="92929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14"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Borders>
              <w:bottom w:val="single" w:sz="8" w:color="929292"/>
            </w:tcBorders>
          </w:tcPr>
          <w:p>
            <w:pPr>
              <w:ind w:left="20"/>
              <w:spacing w:after="0"/>
              <w:rPr>
                <w:sz w:val="20"/>
                <w:szCs w:val="20"/>
                <w:color w:val="auto"/>
              </w:rPr>
            </w:pPr>
            <w:r>
              <w:rPr>
                <w:rFonts w:ascii="Arial" w:cs="Arial" w:eastAsia="Arial" w:hAnsi="Arial"/>
                <w:sz w:val="13"/>
                <w:szCs w:val="13"/>
                <w:color w:val="auto"/>
              </w:rPr>
              <w:t>(in thousands, except per share amounts)</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240" w:type="dxa"/>
            <w:vAlign w:val="bottom"/>
            <w:tcBorders>
              <w:bottom w:val="single" w:sz="8" w:color="929292"/>
            </w:tcBorders>
            <w:gridSpan w:val="2"/>
          </w:tcPr>
          <w:p>
            <w:pPr>
              <w:ind w:left="100"/>
              <w:spacing w:after="0"/>
              <w:rPr>
                <w:sz w:val="20"/>
                <w:szCs w:val="20"/>
                <w:color w:val="auto"/>
              </w:rPr>
            </w:pPr>
            <w:r>
              <w:rPr>
                <w:rFonts w:ascii="Arial" w:cs="Arial" w:eastAsia="Arial" w:hAnsi="Arial"/>
                <w:sz w:val="13"/>
                <w:szCs w:val="13"/>
                <w:b w:val="1"/>
                <w:bCs w:val="1"/>
                <w:color w:val="auto"/>
              </w:rPr>
              <w:t>Mar. 31, 2023</w:t>
            </w: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ind w:right="197"/>
              <w:spacing w:after="0"/>
              <w:rPr>
                <w:sz w:val="20"/>
                <w:szCs w:val="20"/>
                <w:color w:val="auto"/>
              </w:rPr>
            </w:pPr>
            <w:r>
              <w:rPr>
                <w:rFonts w:ascii="Arial" w:cs="Arial" w:eastAsia="Arial" w:hAnsi="Arial"/>
                <w:sz w:val="13"/>
                <w:szCs w:val="13"/>
                <w:b w:val="1"/>
                <w:bCs w:val="1"/>
                <w:color w:val="auto"/>
              </w:rPr>
              <w:t>Dec. 31, 2022</w:t>
            </w:r>
          </w:p>
        </w:tc>
        <w:tc>
          <w:tcPr>
            <w:tcW w:w="0" w:type="dxa"/>
            <w:vAlign w:val="bottom"/>
          </w:tcPr>
          <w:p>
            <w:pPr>
              <w:spacing w:after="0"/>
              <w:rPr>
                <w:sz w:val="1"/>
                <w:szCs w:val="1"/>
                <w:color w:val="auto"/>
              </w:rPr>
            </w:pPr>
          </w:p>
        </w:tc>
      </w:tr>
      <w:tr>
        <w:trPr>
          <w:trHeight w:val="165"/>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929292"/>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32,325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16,464</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$534 in 2023 and $89 in 2022</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26,181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4,703</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292,943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335,796</w:t>
            </w:r>
          </w:p>
        </w:tc>
        <w:tc>
          <w:tcPr>
            <w:tcW w:w="0" w:type="dxa"/>
            <w:vAlign w:val="bottom"/>
          </w:tcPr>
          <w:p>
            <w:pPr>
              <w:spacing w:after="0"/>
              <w:rPr>
                <w:sz w:val="1"/>
                <w:szCs w:val="1"/>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24,012</w:t>
            </w:r>
          </w:p>
        </w:tc>
        <w:tc>
          <w:tcPr>
            <w:tcW w:w="100" w:type="dxa"/>
            <w:vAlign w:val="bottom"/>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57,593</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current assets</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375,461</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414,556</w:t>
            </w:r>
          </w:p>
        </w:tc>
        <w:tc>
          <w:tcPr>
            <w:tcW w:w="0" w:type="dxa"/>
            <w:vAlign w:val="bottom"/>
          </w:tcPr>
          <w:p>
            <w:pPr>
              <w:spacing w:after="0"/>
              <w:rPr>
                <w:sz w:val="1"/>
                <w:szCs w:val="1"/>
                <w:color w:val="auto"/>
              </w:rPr>
            </w:pPr>
          </w:p>
        </w:tc>
      </w:tr>
      <w:tr>
        <w:trPr>
          <w:trHeight w:val="166"/>
        </w:trPr>
        <w:tc>
          <w:tcPr>
            <w:tcW w:w="8400" w:type="dxa"/>
            <w:vAlign w:val="bottom"/>
          </w:tcPr>
          <w:p>
            <w:pPr>
              <w:ind w:left="20"/>
              <w:spacing w:after="0"/>
              <w:rPr>
                <w:sz w:val="20"/>
                <w:szCs w:val="20"/>
                <w:color w:val="auto"/>
              </w:rPr>
            </w:pPr>
            <w:r>
              <w:rPr>
                <w:rFonts w:ascii="Arial" w:cs="Arial" w:eastAsia="Arial" w:hAnsi="Arial"/>
                <w:sz w:val="13"/>
                <w:szCs w:val="13"/>
                <w:color w:val="auto"/>
              </w:rPr>
              <w:t>Commissions receivable - non-current</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643,861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695,637</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3"/>
                <w:szCs w:val="13"/>
                <w:color w:val="auto"/>
              </w:rPr>
              <w:t>Operating lease ROU asset</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20,375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21,483</w:t>
            </w:r>
          </w:p>
        </w:tc>
        <w:tc>
          <w:tcPr>
            <w:tcW w:w="0" w:type="dxa"/>
            <w:vAlign w:val="bottom"/>
          </w:tcPr>
          <w:p>
            <w:pPr>
              <w:spacing w:after="0"/>
              <w:rPr>
                <w:sz w:val="1"/>
                <w:szCs w:val="1"/>
                <w:color w:val="auto"/>
              </w:rPr>
            </w:pPr>
          </w:p>
        </w:tc>
      </w:tr>
      <w:tr>
        <w:trPr>
          <w:trHeight w:val="175"/>
        </w:trPr>
        <w:tc>
          <w:tcPr>
            <w:tcW w:w="84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1,721</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24,879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25,282</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477,097</w:t>
            </w:r>
          </w:p>
        </w:tc>
        <w:tc>
          <w:tcPr>
            <w:tcW w:w="100" w:type="dxa"/>
            <w:vAlign w:val="bottom"/>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500,611</w:t>
            </w:r>
          </w:p>
        </w:tc>
        <w:tc>
          <w:tcPr>
            <w:tcW w:w="0" w:type="dxa"/>
            <w:vAlign w:val="bottom"/>
          </w:tcPr>
          <w:p>
            <w:pPr>
              <w:spacing w:after="0"/>
              <w:rPr>
                <w:sz w:val="1"/>
                <w:szCs w:val="1"/>
                <w:color w:val="auto"/>
              </w:rPr>
            </w:pPr>
          </w:p>
        </w:tc>
      </w:tr>
      <w:tr>
        <w:trPr>
          <w:trHeight w:val="175"/>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1,543,454</w:t>
            </w:r>
          </w:p>
        </w:tc>
        <w:tc>
          <w:tcPr>
            <w:tcW w:w="100" w:type="dxa"/>
            <w:vAlign w:val="bottom"/>
          </w:tcPr>
          <w:p>
            <w:pPr>
              <w:spacing w:after="0"/>
              <w:rPr>
                <w:sz w:val="15"/>
                <w:szCs w:val="15"/>
                <w:color w:val="auto"/>
              </w:rPr>
            </w:pPr>
          </w:p>
        </w:tc>
        <w:tc>
          <w:tcPr>
            <w:tcW w:w="180" w:type="dxa"/>
            <w:vAlign w:val="bottom"/>
            <w:tcBorders>
              <w:bottom w:val="single" w:sz="8" w:color="929292"/>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1"/>
        </w:trPr>
        <w:tc>
          <w:tcPr>
            <w:tcW w:w="8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400" w:type="dxa"/>
            <w:vAlign w:val="bottom"/>
            <w:vMerge w:val="continue"/>
          </w:tcPr>
          <w:p>
            <w:pPr>
              <w:spacing w:after="0"/>
              <w:rPr>
                <w:sz w:val="11"/>
                <w:szCs w:val="11"/>
                <w:color w:val="auto"/>
              </w:rPr>
            </w:pPr>
          </w:p>
        </w:tc>
        <w:tc>
          <w:tcPr>
            <w:tcW w:w="100" w:type="dxa"/>
            <w:vAlign w:val="bottom"/>
            <w:shd w:val="clear" w:color="auto" w:fill="929292"/>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4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929292"/>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11,409</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15,148</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30,979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53,334</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103,016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122,023</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Short-term operating lease liability</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8,974</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25,677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50,594</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3"/>
                <w:szCs w:val="13"/>
                <w:color w:val="auto"/>
              </w:rPr>
              <w:t>Other current liabilities</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12,122</w:t>
            </w:r>
          </w:p>
        </w:tc>
        <w:tc>
          <w:tcPr>
            <w:tcW w:w="100" w:type="dxa"/>
            <w:vAlign w:val="bottom"/>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10,112</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current liabilities</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209,810</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265,455</w:t>
            </w:r>
          </w:p>
        </w:tc>
        <w:tc>
          <w:tcPr>
            <w:tcW w:w="0" w:type="dxa"/>
            <w:vAlign w:val="bottom"/>
          </w:tcPr>
          <w:p>
            <w:pPr>
              <w:spacing w:after="0"/>
              <w:rPr>
                <w:sz w:val="1"/>
                <w:szCs w:val="1"/>
                <w:color w:val="auto"/>
              </w:rPr>
            </w:pPr>
          </w:p>
        </w:tc>
      </w:tr>
      <w:tr>
        <w:trPr>
          <w:trHeight w:val="148"/>
        </w:trPr>
        <w:tc>
          <w:tcPr>
            <w:tcW w:w="8400" w:type="dxa"/>
            <w:vAlign w:val="bottom"/>
          </w:tcPr>
          <w:p>
            <w:pPr>
              <w:ind w:left="20"/>
              <w:spacing w:after="0" w:line="148" w:lineRule="exact"/>
              <w:rPr>
                <w:sz w:val="20"/>
                <w:szCs w:val="20"/>
                <w:color w:val="auto"/>
              </w:rPr>
            </w:pPr>
            <w:r>
              <w:rPr>
                <w:rFonts w:ascii="Arial" w:cs="Arial" w:eastAsia="Arial" w:hAnsi="Arial"/>
                <w:sz w:val="13"/>
                <w:szCs w:val="13"/>
                <w:i w:val="1"/>
                <w:iCs w:val="1"/>
                <w:color w:val="auto"/>
              </w:rPr>
              <w:t>Non-current liabilities:</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Commissions payable - non-current</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226,419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253,118</w:t>
            </w:r>
          </w:p>
        </w:tc>
        <w:tc>
          <w:tcPr>
            <w:tcW w:w="0" w:type="dxa"/>
            <w:vAlign w:val="bottom"/>
          </w:tcPr>
          <w:p>
            <w:pPr>
              <w:spacing w:after="0"/>
              <w:rPr>
                <w:sz w:val="1"/>
                <w:szCs w:val="1"/>
                <w:color w:val="auto"/>
              </w:rPr>
            </w:pPr>
          </w:p>
        </w:tc>
      </w:tr>
      <w:tr>
        <w:trPr>
          <w:trHeight w:val="176"/>
        </w:trPr>
        <w:tc>
          <w:tcPr>
            <w:tcW w:w="840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36,738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38,367</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490,214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504,810</w:t>
            </w:r>
          </w:p>
        </w:tc>
        <w:tc>
          <w:tcPr>
            <w:tcW w:w="0" w:type="dxa"/>
            <w:vAlign w:val="bottom"/>
          </w:tcPr>
          <w:p>
            <w:pPr>
              <w:spacing w:after="0"/>
              <w:rPr>
                <w:sz w:val="1"/>
                <w:szCs w:val="1"/>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3"/>
                <w:szCs w:val="13"/>
                <w:color w:val="auto"/>
              </w:rPr>
              <w:t>Other non-current liabilities</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7,672</w:t>
            </w:r>
          </w:p>
        </w:tc>
        <w:tc>
          <w:tcPr>
            <w:tcW w:w="100" w:type="dxa"/>
            <w:vAlign w:val="bottom"/>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5,839</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non-current liabilities</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761,043</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802,134</w:t>
            </w:r>
          </w:p>
        </w:tc>
        <w:tc>
          <w:tcPr>
            <w:tcW w:w="0" w:type="dxa"/>
            <w:vAlign w:val="bottom"/>
          </w:tcPr>
          <w:p>
            <w:pPr>
              <w:spacing w:after="0"/>
              <w:rPr>
                <w:sz w:val="1"/>
                <w:szCs w:val="1"/>
                <w:color w:val="auto"/>
              </w:rPr>
            </w:pPr>
          </w:p>
        </w:tc>
      </w:tr>
      <w:tr>
        <w:trPr>
          <w:trHeight w:val="148"/>
        </w:trPr>
        <w:tc>
          <w:tcPr>
            <w:tcW w:w="8400" w:type="dxa"/>
            <w:vAlign w:val="bottom"/>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400" w:type="dxa"/>
            <w:vAlign w:val="bottom"/>
          </w:tcPr>
          <w:p>
            <w:pPr>
              <w:ind w:left="20"/>
              <w:spacing w:after="0" w:line="144"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at March 31, 2023</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20"/>
              <w:spacing w:after="0"/>
              <w:rPr>
                <w:sz w:val="20"/>
                <w:szCs w:val="20"/>
                <w:color w:val="auto"/>
              </w:rPr>
            </w:pPr>
            <w:r>
              <w:rPr>
                <w:rFonts w:ascii="Arial" w:cs="Arial" w:eastAsia="Arial" w:hAnsi="Arial"/>
                <w:sz w:val="13"/>
                <w:szCs w:val="13"/>
                <w:color w:val="auto"/>
              </w:rPr>
              <w:t>and December 31, 2022. Liquidation preference of $50.9 million at March 31, 2023 and December 31, 2022.</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49,302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49,302</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8400" w:type="dxa"/>
            <w:vAlign w:val="bottom"/>
          </w:tcPr>
          <w:p>
            <w:pPr>
              <w:ind w:left="240"/>
              <w:spacing w:after="0" w:line="144" w:lineRule="exact"/>
              <w:rPr>
                <w:sz w:val="20"/>
                <w:szCs w:val="20"/>
                <w:color w:val="auto"/>
              </w:rPr>
            </w:pPr>
            <w:r>
              <w:rPr>
                <w:rFonts w:ascii="Arial" w:cs="Arial" w:eastAsia="Arial" w:hAnsi="Arial"/>
                <w:sz w:val="13"/>
                <w:szCs w:val="13"/>
                <w:color w:val="auto"/>
                <w:w w:val="97"/>
              </w:rPr>
              <w:t>Class A common stock – $0.0001 par value; 1,100,000 shares authorized; 9,002 and 8,963 shares issued; 8,982 and 8,950 shares outstanding at</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240"/>
              <w:spacing w:after="0"/>
              <w:rPr>
                <w:sz w:val="20"/>
                <w:szCs w:val="20"/>
                <w:color w:val="auto"/>
              </w:rPr>
            </w:pPr>
            <w:r>
              <w:rPr>
                <w:rFonts w:ascii="Arial" w:cs="Arial" w:eastAsia="Arial" w:hAnsi="Arial"/>
                <w:sz w:val="13"/>
                <w:szCs w:val="13"/>
                <w:color w:val="auto"/>
              </w:rPr>
              <w:t>March 31, 2023 and December 31, 2022, respectively.</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5"/>
        </w:trPr>
        <w:tc>
          <w:tcPr>
            <w:tcW w:w="8400" w:type="dxa"/>
            <w:vAlign w:val="bottom"/>
          </w:tcPr>
          <w:p>
            <w:pPr>
              <w:ind w:left="240"/>
              <w:spacing w:after="0" w:line="144" w:lineRule="exact"/>
              <w:rPr>
                <w:sz w:val="20"/>
                <w:szCs w:val="20"/>
                <w:color w:val="auto"/>
              </w:rPr>
            </w:pPr>
            <w:r>
              <w:rPr>
                <w:rFonts w:ascii="Arial" w:cs="Arial" w:eastAsia="Arial" w:hAnsi="Arial"/>
                <w:sz w:val="13"/>
                <w:szCs w:val="13"/>
                <w:color w:val="auto"/>
                <w:w w:val="97"/>
              </w:rPr>
              <w:t>Class B common stock – $0.0001 par value; 616,257 and 616,259 shares authorized; 13,053 and 13,054 shares issued and outstanding at March</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240"/>
              <w:spacing w:after="0"/>
              <w:rPr>
                <w:sz w:val="20"/>
                <w:szCs w:val="20"/>
                <w:color w:val="auto"/>
              </w:rPr>
            </w:pPr>
            <w:r>
              <w:rPr>
                <w:rFonts w:ascii="Arial" w:cs="Arial" w:eastAsia="Arial" w:hAnsi="Arial"/>
                <w:sz w:val="13"/>
                <w:szCs w:val="13"/>
                <w:color w:val="auto"/>
              </w:rPr>
              <w:t>31, 2023 and December 31, 2022, respectively.</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5"/>
        </w:trPr>
        <w:tc>
          <w:tcPr>
            <w:tcW w:w="8400" w:type="dxa"/>
            <w:vAlign w:val="bottom"/>
          </w:tcPr>
          <w:p>
            <w:pPr>
              <w:ind w:left="240"/>
              <w:spacing w:after="0" w:line="144" w:lineRule="exact"/>
              <w:rPr>
                <w:sz w:val="20"/>
                <w:szCs w:val="20"/>
                <w:color w:val="auto"/>
              </w:rPr>
            </w:pPr>
            <w:r>
              <w:rPr>
                <w:rFonts w:ascii="Arial" w:cs="Arial" w:eastAsia="Arial" w:hAnsi="Arial"/>
                <w:sz w:val="13"/>
                <w:szCs w:val="13"/>
                <w:color w:val="auto"/>
              </w:rPr>
              <w:t>Preferred stock – $0.0001 par value; 20,000 shares authorized (including 50 shares of Series A redeemable convertible preferred stock</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0" w:type="dxa"/>
            <w:vAlign w:val="bottom"/>
          </w:tcPr>
          <w:p>
            <w:pPr>
              <w:ind w:left="240"/>
              <w:spacing w:after="0" w:line="126" w:lineRule="exact"/>
              <w:rPr>
                <w:sz w:val="20"/>
                <w:szCs w:val="20"/>
                <w:color w:val="auto"/>
              </w:rPr>
            </w:pPr>
            <w:r>
              <w:rPr>
                <w:rFonts w:ascii="Arial" w:cs="Arial" w:eastAsia="Arial" w:hAnsi="Arial"/>
                <w:sz w:val="13"/>
                <w:szCs w:val="13"/>
                <w:color w:val="auto"/>
              </w:rPr>
              <w:t>authorized and 200 shares of Series A-1 convertible preferred stock authorized); 50 shares issued and outstanding at March 31, 2023 and</w:t>
            </w:r>
          </w:p>
        </w:tc>
        <w:tc>
          <w:tcPr>
            <w:tcW w:w="100" w:type="dxa"/>
            <w:vAlign w:val="bottom"/>
            <w:shd w:val="clear" w:color="auto" w:fill="929292"/>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400" w:type="dxa"/>
            <w:vAlign w:val="bottom"/>
          </w:tcPr>
          <w:p>
            <w:pPr>
              <w:ind w:left="240"/>
              <w:spacing w:after="0"/>
              <w:rPr>
                <w:sz w:val="20"/>
                <w:szCs w:val="20"/>
                <w:color w:val="auto"/>
              </w:rPr>
            </w:pPr>
            <w:r>
              <w:rPr>
                <w:rFonts w:ascii="Arial" w:cs="Arial" w:eastAsia="Arial" w:hAnsi="Arial"/>
                <w:sz w:val="13"/>
                <w:szCs w:val="13"/>
                <w:color w:val="auto"/>
              </w:rPr>
              <w:t>December 31, 2022.</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400" w:type="dxa"/>
            <w:vAlign w:val="bottom"/>
          </w:tcPr>
          <w:p>
            <w:pPr>
              <w:ind w:left="240"/>
              <w:spacing w:after="0" w:line="140" w:lineRule="exact"/>
              <w:rPr>
                <w:sz w:val="20"/>
                <w:szCs w:val="20"/>
                <w:color w:val="auto"/>
              </w:rPr>
            </w:pPr>
            <w:r>
              <w:rPr>
                <w:rFonts w:ascii="Arial" w:cs="Arial" w:eastAsia="Arial" w:hAnsi="Arial"/>
                <w:sz w:val="13"/>
                <w:szCs w:val="13"/>
                <w:color w:val="auto"/>
                <w:w w:val="97"/>
              </w:rPr>
              <w:t>Series A-1 convertible preferred stock— $0.0001 par value; 200 shares authorized; no shares issued and outstanding at September 30, 2022 and</w:t>
            </w:r>
          </w:p>
        </w:tc>
        <w:tc>
          <w:tcPr>
            <w:tcW w:w="100" w:type="dxa"/>
            <w:vAlign w:val="bottom"/>
            <w:shd w:val="clear" w:color="auto" w:fill="929292"/>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240"/>
              <w:spacing w:after="0"/>
              <w:rPr>
                <w:sz w:val="20"/>
                <w:szCs w:val="20"/>
                <w:color w:val="auto"/>
              </w:rPr>
            </w:pPr>
            <w:r>
              <w:rPr>
                <w:rFonts w:ascii="Arial" w:cs="Arial" w:eastAsia="Arial" w:hAnsi="Arial"/>
                <w:sz w:val="13"/>
                <w:szCs w:val="13"/>
                <w:color w:val="auto"/>
              </w:rPr>
              <w:t>December 31, 2021.</w:t>
            </w:r>
          </w:p>
        </w:tc>
        <w:tc>
          <w:tcPr>
            <w:tcW w:w="100" w:type="dxa"/>
            <w:vAlign w:val="bottom"/>
            <w:shd w:val="clear" w:color="auto" w:fill="929292"/>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Treasury stock – at cost; 19 and 13 shares of Class A common stock at March 31, 2023 and December 31, 2022, respectively.</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630,316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626,269</w:t>
            </w:r>
          </w:p>
        </w:tc>
        <w:tc>
          <w:tcPr>
            <w:tcW w:w="0" w:type="dxa"/>
            <w:vAlign w:val="bottom"/>
          </w:tcPr>
          <w:p>
            <w:pPr>
              <w:spacing w:after="0"/>
              <w:rPr>
                <w:sz w:val="1"/>
                <w:szCs w:val="1"/>
                <w:color w:val="auto"/>
              </w:rPr>
            </w:pPr>
          </w:p>
        </w:tc>
      </w:tr>
      <w:tr>
        <w:trPr>
          <w:trHeight w:val="175"/>
        </w:trPr>
        <w:tc>
          <w:tcPr>
            <w:tcW w:w="84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00" w:type="dxa"/>
            <w:vAlign w:val="bottom"/>
            <w:shd w:val="clear" w:color="auto" w:fill="929292"/>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83"/>
        </w:trPr>
        <w:tc>
          <w:tcPr>
            <w:tcW w:w="8400" w:type="dxa"/>
            <w:vAlign w:val="bottom"/>
          </w:tcPr>
          <w:p>
            <w:pPr>
              <w:ind w:left="240"/>
              <w:spacing w:after="0"/>
              <w:rPr>
                <w:sz w:val="20"/>
                <w:szCs w:val="20"/>
                <w:color w:val="auto"/>
              </w:rPr>
            </w:pPr>
            <w:r>
              <w:rPr>
                <w:rFonts w:ascii="Arial" w:cs="Arial" w:eastAsia="Arial" w:hAnsi="Arial"/>
                <w:sz w:val="13"/>
                <w:szCs w:val="13"/>
                <w:color w:val="auto"/>
              </w:rPr>
              <w:t>Accumulated deficit</w:t>
            </w:r>
          </w:p>
        </w:tc>
        <w:tc>
          <w:tcPr>
            <w:tcW w:w="100" w:type="dxa"/>
            <w:vAlign w:val="bottom"/>
            <w:tcBorders>
              <w:bottom w:val="single" w:sz="8" w:color="929292"/>
            </w:tcBorders>
            <w:shd w:val="clear" w:color="auto" w:fill="929292"/>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(366,202)</w:t>
            </w:r>
          </w:p>
        </w:tc>
        <w:tc>
          <w:tcPr>
            <w:tcW w:w="100" w:type="dxa"/>
            <w:vAlign w:val="bottom"/>
          </w:tcPr>
          <w:p>
            <w:pPr>
              <w:spacing w:after="0"/>
              <w:rPr>
                <w:sz w:val="15"/>
                <w:szCs w:val="15"/>
                <w:color w:val="auto"/>
              </w:rPr>
            </w:pPr>
          </w:p>
        </w:tc>
        <w:tc>
          <w:tcPr>
            <w:tcW w:w="180" w:type="dxa"/>
            <w:vAlign w:val="bottom"/>
            <w:tcBorders>
              <w:bottom w:val="single" w:sz="8" w:color="929292"/>
            </w:tcBorders>
          </w:tcPr>
          <w:p>
            <w:pPr>
              <w:spacing w:after="0"/>
              <w:rPr>
                <w:sz w:val="15"/>
                <w:szCs w:val="15"/>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(357,023)</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263,515</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268,759</w:t>
            </w:r>
          </w:p>
        </w:tc>
        <w:tc>
          <w:tcPr>
            <w:tcW w:w="0" w:type="dxa"/>
            <w:vAlign w:val="bottom"/>
          </w:tcPr>
          <w:p>
            <w:pPr>
              <w:spacing w:after="0"/>
              <w:rPr>
                <w:sz w:val="1"/>
                <w:szCs w:val="1"/>
                <w:color w:val="auto"/>
              </w:rPr>
            </w:pPr>
          </w:p>
        </w:tc>
      </w:tr>
      <w:tr>
        <w:trPr>
          <w:trHeight w:val="169"/>
        </w:trPr>
        <w:tc>
          <w:tcPr>
            <w:tcW w:w="8400" w:type="dxa"/>
            <w:vAlign w:val="bottom"/>
          </w:tcPr>
          <w:p>
            <w:pPr>
              <w:ind w:left="2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259,784</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273,640</w:t>
            </w:r>
          </w:p>
        </w:tc>
        <w:tc>
          <w:tcPr>
            <w:tcW w:w="0" w:type="dxa"/>
            <w:vAlign w:val="bottom"/>
          </w:tcPr>
          <w:p>
            <w:pPr>
              <w:spacing w:after="0"/>
              <w:rPr>
                <w:sz w:val="1"/>
                <w:szCs w:val="1"/>
                <w:color w:val="auto"/>
              </w:rPr>
            </w:pPr>
          </w:p>
        </w:tc>
      </w:tr>
      <w:tr>
        <w:trPr>
          <w:trHeight w:val="171"/>
        </w:trPr>
        <w:tc>
          <w:tcPr>
            <w:tcW w:w="8400" w:type="dxa"/>
            <w:vAlign w:val="bottom"/>
          </w:tcPr>
          <w:p>
            <w:pPr>
              <w:ind w:left="20"/>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929292"/>
            </w:tcBorders>
            <w:shd w:val="clear" w:color="auto" w:fill="929292"/>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523,299</w:t>
            </w:r>
          </w:p>
        </w:tc>
        <w:tc>
          <w:tcPr>
            <w:tcW w:w="100" w:type="dxa"/>
            <w:vAlign w:val="bottom"/>
          </w:tcPr>
          <w:p>
            <w:pPr>
              <w:spacing w:after="0"/>
              <w:rPr>
                <w:sz w:val="14"/>
                <w:szCs w:val="14"/>
                <w:color w:val="auto"/>
              </w:rPr>
            </w:pPr>
          </w:p>
        </w:tc>
        <w:tc>
          <w:tcPr>
            <w:tcW w:w="180" w:type="dxa"/>
            <w:vAlign w:val="bottom"/>
            <w:tcBorders>
              <w:bottom w:val="single" w:sz="8" w:color="929292"/>
            </w:tcBorders>
          </w:tcPr>
          <w:p>
            <w:pPr>
              <w:spacing w:after="0"/>
              <w:rPr>
                <w:sz w:val="14"/>
                <w:szCs w:val="14"/>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auto"/>
              </w:rPr>
              <w:t>542,399</w:t>
            </w:r>
          </w:p>
        </w:tc>
        <w:tc>
          <w:tcPr>
            <w:tcW w:w="0" w:type="dxa"/>
            <w:vAlign w:val="bottom"/>
          </w:tcPr>
          <w:p>
            <w:pPr>
              <w:spacing w:after="0"/>
              <w:rPr>
                <w:sz w:val="1"/>
                <w:szCs w:val="1"/>
                <w:color w:val="auto"/>
              </w:rPr>
            </w:pPr>
          </w:p>
        </w:tc>
      </w:tr>
      <w:tr>
        <w:trPr>
          <w:trHeight w:val="194"/>
        </w:trPr>
        <w:tc>
          <w:tcPr>
            <w:tcW w:w="8400" w:type="dxa"/>
            <w:vAlign w:val="bottom"/>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100" w:type="dxa"/>
            <w:vAlign w:val="bottom"/>
            <w:tcBorders>
              <w:bottom w:val="single" w:sz="8" w:color="929292"/>
            </w:tcBorders>
            <w:shd w:val="clear" w:color="auto" w:fill="929292"/>
          </w:tcPr>
          <w:p>
            <w:pPr>
              <w:spacing w:after="0"/>
              <w:rPr>
                <w:sz w:val="16"/>
                <w:szCs w:val="16"/>
                <w:color w:val="auto"/>
              </w:rPr>
            </w:pPr>
          </w:p>
        </w:tc>
        <w:tc>
          <w:tcPr>
            <w:tcW w:w="180" w:type="dxa"/>
            <w:vAlign w:val="bottom"/>
            <w:tcBorders>
              <w:bottom w:val="single" w:sz="8" w:color="929292"/>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1,543,454</w:t>
            </w:r>
          </w:p>
        </w:tc>
        <w:tc>
          <w:tcPr>
            <w:tcW w:w="100" w:type="dxa"/>
            <w:vAlign w:val="bottom"/>
          </w:tcPr>
          <w:p>
            <w:pPr>
              <w:spacing w:after="0"/>
              <w:rPr>
                <w:sz w:val="16"/>
                <w:szCs w:val="16"/>
                <w:color w:val="auto"/>
              </w:rPr>
            </w:pPr>
          </w:p>
        </w:tc>
        <w:tc>
          <w:tcPr>
            <w:tcW w:w="180" w:type="dxa"/>
            <w:vAlign w:val="bottom"/>
            <w:tcBorders>
              <w:bottom w:val="single" w:sz="8" w:color="929292"/>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3"/>
                <w:szCs w:val="13"/>
                <w:b w:val="1"/>
                <w:bCs w:val="1"/>
                <w:color w:val="auto"/>
              </w:rPr>
              <w:t>1,659,290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32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3"/>
          </w:tcPr>
          <w:p>
            <w:pPr>
              <w:jc w:val="right"/>
              <w:ind w:right="828"/>
              <w:spacing w:after="0"/>
              <w:rPr>
                <w:sz w:val="20"/>
                <w:szCs w:val="20"/>
                <w:color w:val="auto"/>
              </w:rPr>
            </w:pPr>
            <w:r>
              <w:rPr>
                <w:rFonts w:ascii="Arial" w:cs="Arial" w:eastAsia="Arial" w:hAnsi="Arial"/>
                <w:sz w:val="14"/>
                <w:szCs w:val="14"/>
                <w:color w:val="auto"/>
              </w:rPr>
              <w:t>Quarter ended March 31,</w:t>
            </w:r>
          </w:p>
        </w:tc>
        <w:tc>
          <w:tcPr>
            <w:tcW w:w="320" w:type="dxa"/>
            <w:vAlign w:val="bottom"/>
          </w:tcPr>
          <w:p>
            <w:pPr>
              <w:spacing w:after="0"/>
              <w:rPr>
                <w:sz w:val="18"/>
                <w:szCs w:val="18"/>
                <w:color w:val="auto"/>
              </w:rPr>
            </w:pPr>
          </w:p>
        </w:tc>
        <w:tc>
          <w:tcPr>
            <w:tcW w:w="3120" w:type="dxa"/>
            <w:vAlign w:val="bottom"/>
            <w:gridSpan w:val="3"/>
          </w:tcPr>
          <w:p>
            <w:pPr>
              <w:jc w:val="right"/>
              <w:ind w:right="308"/>
              <w:spacing w:after="0"/>
              <w:rPr>
                <w:sz w:val="20"/>
                <w:szCs w:val="20"/>
                <w:color w:val="auto"/>
              </w:rPr>
            </w:pPr>
            <w:r>
              <w:rPr>
                <w:rFonts w:ascii="Arial" w:cs="Arial" w:eastAsia="Arial" w:hAnsi="Arial"/>
                <w:sz w:val="14"/>
                <w:szCs w:val="14"/>
                <w:color w:val="auto"/>
              </w:rPr>
              <w:t>Trailing Twelve Months ended March 31,</w:t>
            </w:r>
          </w:p>
        </w:tc>
      </w:tr>
      <w:tr>
        <w:trPr>
          <w:trHeight w:val="221"/>
        </w:trPr>
        <w:tc>
          <w:tcPr>
            <w:tcW w:w="4320" w:type="dxa"/>
            <w:vAlign w:val="bottom"/>
            <w:tcBorders>
              <w:left w:val="single" w:sz="8" w:color="929292"/>
            </w:tcBorders>
          </w:tcPr>
          <w:p>
            <w:pPr>
              <w:ind w:left="460"/>
              <w:spacing w:after="0"/>
              <w:rPr>
                <w:sz w:val="20"/>
                <w:szCs w:val="20"/>
                <w:color w:val="auto"/>
              </w:rPr>
            </w:pPr>
            <w:r>
              <w:rPr>
                <w:rFonts w:ascii="Arial" w:cs="Arial" w:eastAsia="Arial" w:hAnsi="Arial"/>
                <w:sz w:val="14"/>
                <w:szCs w:val="14"/>
                <w:b w:val="1"/>
                <w:bCs w:val="1"/>
                <w:color w:val="00497F"/>
              </w:rPr>
              <w:t>Net cash provided by (used in) operating activities</w:t>
            </w:r>
          </w:p>
        </w:tc>
        <w:tc>
          <w:tcPr>
            <w:tcW w:w="100" w:type="dxa"/>
            <w:vAlign w:val="bottom"/>
            <w:tcBorders>
              <w:bottom w:val="single" w:sz="8" w:color="929292"/>
            </w:tcBorders>
            <w:shd w:val="clear" w:color="auto" w:fill="929292"/>
          </w:tcPr>
          <w:p>
            <w:pPr>
              <w:spacing w:after="0"/>
              <w:rPr>
                <w:sz w:val="19"/>
                <w:szCs w:val="19"/>
                <w:color w:val="auto"/>
              </w:rPr>
            </w:pPr>
          </w:p>
        </w:tc>
        <w:tc>
          <w:tcPr>
            <w:tcW w:w="380" w:type="dxa"/>
            <w:vAlign w:val="bottom"/>
            <w:tcBorders>
              <w:bottom w:val="single" w:sz="8" w:color="929292"/>
            </w:tcBorders>
          </w:tcPr>
          <w:p>
            <w:pPr>
              <w:spacing w:after="0"/>
              <w:rPr>
                <w:sz w:val="19"/>
                <w:szCs w:val="19"/>
                <w:color w:val="auto"/>
              </w:rPr>
            </w:pPr>
          </w:p>
        </w:tc>
        <w:tc>
          <w:tcPr>
            <w:tcW w:w="1280" w:type="dxa"/>
            <w:vAlign w:val="bottom"/>
            <w:tcBorders>
              <w:bottom w:val="single" w:sz="8" w:color="929292"/>
            </w:tcBorders>
          </w:tcPr>
          <w:p>
            <w:pPr>
              <w:jc w:val="right"/>
              <w:ind w:right="608"/>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929292"/>
            </w:tcBorders>
          </w:tcPr>
          <w:p>
            <w:pPr>
              <w:spacing w:after="0"/>
              <w:rPr>
                <w:sz w:val="19"/>
                <w:szCs w:val="19"/>
                <w:color w:val="auto"/>
              </w:rPr>
            </w:pPr>
          </w:p>
        </w:tc>
        <w:tc>
          <w:tcPr>
            <w:tcW w:w="1280" w:type="dxa"/>
            <w:vAlign w:val="bottom"/>
            <w:tcBorders>
              <w:bottom w:val="single" w:sz="8" w:color="929292"/>
            </w:tcBorders>
          </w:tcPr>
          <w:p>
            <w:pPr>
              <w:jc w:val="right"/>
              <w:ind w:right="608"/>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929292"/>
            </w:tcBorders>
          </w:tcPr>
          <w:p>
            <w:pPr>
              <w:spacing w:after="0"/>
              <w:rPr>
                <w:sz w:val="19"/>
                <w:szCs w:val="19"/>
                <w:color w:val="auto"/>
              </w:rPr>
            </w:pPr>
          </w:p>
        </w:tc>
        <w:tc>
          <w:tcPr>
            <w:tcW w:w="1420" w:type="dxa"/>
            <w:vAlign w:val="bottom"/>
            <w:tcBorders>
              <w:bottom w:val="single" w:sz="8" w:color="929292"/>
            </w:tcBorders>
          </w:tcPr>
          <w:p>
            <w:pPr>
              <w:jc w:val="right"/>
              <w:ind w:right="608"/>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929292"/>
            </w:tcBorders>
          </w:tcPr>
          <w:p>
            <w:pPr>
              <w:spacing w:after="0"/>
              <w:rPr>
                <w:sz w:val="19"/>
                <w:szCs w:val="19"/>
                <w:color w:val="auto"/>
              </w:rPr>
            </w:pPr>
          </w:p>
        </w:tc>
        <w:tc>
          <w:tcPr>
            <w:tcW w:w="1260" w:type="dxa"/>
            <w:vAlign w:val="bottom"/>
            <w:tcBorders>
              <w:bottom w:val="single" w:sz="8" w:color="929292"/>
            </w:tcBorders>
          </w:tcPr>
          <w:p>
            <w:pPr>
              <w:jc w:val="right"/>
              <w:ind w:right="588"/>
              <w:spacing w:after="0"/>
              <w:rPr>
                <w:sz w:val="20"/>
                <w:szCs w:val="20"/>
                <w:color w:val="auto"/>
              </w:rPr>
            </w:pPr>
            <w:r>
              <w:rPr>
                <w:rFonts w:ascii="Arial" w:cs="Arial" w:eastAsia="Arial" w:hAnsi="Arial"/>
                <w:sz w:val="14"/>
                <w:szCs w:val="14"/>
                <w:color w:val="auto"/>
              </w:rPr>
              <w:t>2022</w:t>
            </w:r>
          </w:p>
        </w:tc>
      </w:tr>
      <w:tr>
        <w:trPr>
          <w:trHeight w:val="193"/>
        </w:trPr>
        <w:tc>
          <w:tcPr>
            <w:tcW w:w="432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20,479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54,486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26,897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(275,722)</w:t>
            </w:r>
          </w:p>
        </w:tc>
      </w:tr>
    </w:tbl>
    <w:p>
      <w:pPr>
        <w:spacing w:after="0" w:line="200" w:lineRule="exact"/>
        <w:rPr>
          <w:sz w:val="20"/>
          <w:szCs w:val="20"/>
          <w:color w:val="auto"/>
        </w:rPr>
      </w:pPr>
    </w:p>
    <w:p>
      <w:pPr>
        <w:spacing w:after="0" w:line="218"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2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900" w:type="dxa"/>
            <w:vAlign w:val="bottom"/>
            <w:gridSpan w:val="2"/>
          </w:tcPr>
          <w:p>
            <w:pPr>
              <w:jc w:val="right"/>
              <w:ind w:right="528"/>
              <w:spacing w:after="0"/>
              <w:rPr>
                <w:sz w:val="20"/>
                <w:szCs w:val="20"/>
                <w:color w:val="auto"/>
              </w:rPr>
            </w:pPr>
            <w:r>
              <w:rPr>
                <w:rFonts w:ascii="Arial" w:cs="Arial" w:eastAsia="Arial" w:hAnsi="Arial"/>
                <w:sz w:val="14"/>
                <w:szCs w:val="14"/>
                <w:color w:val="auto"/>
              </w:rPr>
              <w:t>Three months ended Mar. 31,</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5520" w:type="dxa"/>
            <w:vAlign w:val="bottom"/>
            <w:tcBorders>
              <w:left w:val="single" w:sz="8" w:color="929292"/>
            </w:tcBorders>
          </w:tcPr>
          <w:p>
            <w:pPr>
              <w:ind w:left="232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bottom w:val="single" w:sz="8" w:color="929292"/>
            </w:tcBorders>
            <w:shd w:val="clear" w:color="auto" w:fill="929292"/>
          </w:tcPr>
          <w:p>
            <w:pPr>
              <w:spacing w:after="0"/>
              <w:rPr>
                <w:sz w:val="17"/>
                <w:szCs w:val="17"/>
                <w:color w:val="auto"/>
              </w:rPr>
            </w:pPr>
          </w:p>
        </w:tc>
        <w:tc>
          <w:tcPr>
            <w:tcW w:w="1560" w:type="dxa"/>
            <w:vAlign w:val="bottom"/>
            <w:tcBorders>
              <w:bottom w:val="single" w:sz="8" w:color="929292"/>
            </w:tcBorders>
          </w:tcPr>
          <w:p>
            <w:pPr>
              <w:jc w:val="right"/>
              <w:ind w:right="668"/>
              <w:spacing w:after="0"/>
              <w:rPr>
                <w:sz w:val="20"/>
                <w:szCs w:val="20"/>
                <w:color w:val="auto"/>
              </w:rPr>
            </w:pPr>
            <w:r>
              <w:rPr>
                <w:rFonts w:ascii="Arial" w:cs="Arial" w:eastAsia="Arial" w:hAnsi="Arial"/>
                <w:sz w:val="14"/>
                <w:szCs w:val="14"/>
                <w:color w:val="auto"/>
              </w:rPr>
              <w:t>2023</w:t>
            </w:r>
          </w:p>
        </w:tc>
        <w:tc>
          <w:tcPr>
            <w:tcW w:w="1340" w:type="dxa"/>
            <w:vAlign w:val="bottom"/>
            <w:tcBorders>
              <w:bottom w:val="single" w:sz="8" w:color="929292"/>
            </w:tcBorders>
          </w:tcPr>
          <w:p>
            <w:pPr>
              <w:jc w:val="right"/>
              <w:ind w:right="628"/>
              <w:spacing w:after="0"/>
              <w:rPr>
                <w:sz w:val="20"/>
                <w:szCs w:val="20"/>
                <w:color w:val="auto"/>
              </w:rPr>
            </w:pPr>
            <w:r>
              <w:rPr>
                <w:rFonts w:ascii="Arial" w:cs="Arial" w:eastAsia="Arial" w:hAnsi="Arial"/>
                <w:sz w:val="14"/>
                <w:szCs w:val="14"/>
                <w:color w:val="auto"/>
              </w:rPr>
              <w:t>2022</w:t>
            </w:r>
          </w:p>
        </w:tc>
        <w:tc>
          <w:tcPr>
            <w:tcW w:w="1420" w:type="dxa"/>
            <w:vAlign w:val="bottom"/>
            <w:tcBorders>
              <w:bottom w:val="single" w:sz="8" w:color="929292"/>
            </w:tcBorders>
          </w:tcPr>
          <w:p>
            <w:pPr>
              <w:jc w:val="right"/>
              <w:ind w:right="548"/>
              <w:spacing w:after="0"/>
              <w:rPr>
                <w:sz w:val="20"/>
                <w:szCs w:val="20"/>
                <w:color w:val="auto"/>
              </w:rPr>
            </w:pPr>
            <w:r>
              <w:rPr>
                <w:rFonts w:ascii="Arial" w:cs="Arial" w:eastAsia="Arial" w:hAnsi="Arial"/>
                <w:sz w:val="14"/>
                <w:szCs w:val="14"/>
                <w:color w:val="auto"/>
              </w:rPr>
              <w:t>Change</w:t>
            </w:r>
          </w:p>
        </w:tc>
        <w:tc>
          <w:tcPr>
            <w:tcW w:w="130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2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213,645</w:t>
            </w:r>
          </w:p>
        </w:tc>
        <w:tc>
          <w:tcPr>
            <w:tcW w:w="1340" w:type="dxa"/>
            <w:vAlign w:val="bottom"/>
          </w:tcPr>
          <w:p>
            <w:pPr>
              <w:jc w:val="right"/>
              <w:ind w:right="208"/>
              <w:spacing w:after="0"/>
              <w:rPr>
                <w:sz w:val="20"/>
                <w:szCs w:val="20"/>
                <w:color w:val="auto"/>
              </w:rPr>
            </w:pPr>
            <w:r>
              <w:rPr>
                <w:rFonts w:ascii="Arial" w:cs="Arial" w:eastAsia="Arial" w:hAnsi="Arial"/>
                <w:sz w:val="14"/>
                <w:szCs w:val="14"/>
                <w:color w:val="auto"/>
              </w:rPr>
              <w:t>260,666</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(47,021)</w:t>
            </w:r>
          </w:p>
        </w:tc>
        <w:tc>
          <w:tcPr>
            <w:tcW w:w="130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 presented (unaudited):</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2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3"/>
          </w:tcPr>
          <w:p>
            <w:pPr>
              <w:jc w:val="right"/>
              <w:ind w:right="348"/>
              <w:spacing w:after="0"/>
              <w:rPr>
                <w:sz w:val="20"/>
                <w:szCs w:val="20"/>
                <w:color w:val="auto"/>
              </w:rPr>
            </w:pPr>
            <w:r>
              <w:rPr>
                <w:rFonts w:ascii="Arial" w:cs="Arial" w:eastAsia="Arial" w:hAnsi="Arial"/>
                <w:sz w:val="14"/>
                <w:szCs w:val="14"/>
                <w:color w:val="auto"/>
              </w:rPr>
              <w:t>Three months ended Mar. 31,</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5520" w:type="dxa"/>
            <w:vAlign w:val="bottom"/>
            <w:tcBorders>
              <w:left w:val="single" w:sz="8" w:color="929292"/>
            </w:tcBorders>
          </w:tcPr>
          <w:p>
            <w:pPr>
              <w:ind w:left="202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260" w:type="dxa"/>
            <w:vAlign w:val="bottom"/>
            <w:tcBorders>
              <w:bottom w:val="single" w:sz="8" w:color="929292"/>
            </w:tcBorders>
          </w:tcPr>
          <w:p>
            <w:pPr>
              <w:spacing w:after="0"/>
              <w:rPr>
                <w:sz w:val="17"/>
                <w:szCs w:val="17"/>
                <w:color w:val="auto"/>
              </w:rPr>
            </w:pPr>
          </w:p>
        </w:tc>
        <w:tc>
          <w:tcPr>
            <w:tcW w:w="1060" w:type="dxa"/>
            <w:vAlign w:val="bottom"/>
            <w:tcBorders>
              <w:bottom w:val="single" w:sz="8" w:color="929292"/>
            </w:tcBorders>
          </w:tcPr>
          <w:p>
            <w:pPr>
              <w:jc w:val="right"/>
              <w:ind w:right="428"/>
              <w:spacing w:after="0"/>
              <w:rPr>
                <w:sz w:val="20"/>
                <w:szCs w:val="20"/>
                <w:color w:val="auto"/>
              </w:rPr>
            </w:pPr>
            <w:r>
              <w:rPr>
                <w:rFonts w:ascii="Arial" w:cs="Arial" w:eastAsia="Arial" w:hAnsi="Arial"/>
                <w:sz w:val="14"/>
                <w:szCs w:val="14"/>
                <w:color w:val="auto"/>
              </w:rPr>
              <w:t>2023</w:t>
            </w:r>
          </w:p>
        </w:tc>
        <w:tc>
          <w:tcPr>
            <w:tcW w:w="360" w:type="dxa"/>
            <w:vAlign w:val="bottom"/>
            <w:tcBorders>
              <w:bottom w:val="single" w:sz="8" w:color="929292"/>
            </w:tcBorders>
          </w:tcPr>
          <w:p>
            <w:pPr>
              <w:spacing w:after="0"/>
              <w:rPr>
                <w:sz w:val="17"/>
                <w:szCs w:val="17"/>
                <w:color w:val="auto"/>
              </w:rPr>
            </w:pPr>
          </w:p>
        </w:tc>
        <w:tc>
          <w:tcPr>
            <w:tcW w:w="1040" w:type="dxa"/>
            <w:vAlign w:val="bottom"/>
            <w:tcBorders>
              <w:bottom w:val="single" w:sz="8" w:color="929292"/>
            </w:tcBorders>
          </w:tcPr>
          <w:p>
            <w:pPr>
              <w:jc w:val="right"/>
              <w:ind w:right="448"/>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929292"/>
            </w:tcBorders>
          </w:tcPr>
          <w:p>
            <w:pPr>
              <w:spacing w:after="0"/>
              <w:rPr>
                <w:sz w:val="17"/>
                <w:szCs w:val="17"/>
                <w:color w:val="auto"/>
              </w:rPr>
            </w:pPr>
          </w:p>
        </w:tc>
        <w:tc>
          <w:tcPr>
            <w:tcW w:w="132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 Change</w:t>
            </w:r>
          </w:p>
        </w:tc>
        <w:tc>
          <w:tcPr>
            <w:tcW w:w="1300" w:type="dxa"/>
            <w:vAlign w:val="bottom"/>
            <w:tcBorders>
              <w:bottom w:val="single" w:sz="8" w:color="929292"/>
            </w:tcBorders>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2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794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(103)</w:t>
            </w:r>
          </w:p>
        </w:tc>
        <w:tc>
          <w:tcPr>
            <w:tcW w:w="130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296"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following are our Sales/Cost of Submission, Cost of Submission (in thousands) and Cost Per Submission for the three months ended March 31, 2023 and 2022 (unaudited):</w:t>
      </w: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3"/>
          </w:tcPr>
          <w:p>
            <w:pPr>
              <w:jc w:val="right"/>
              <w:ind w:right="468"/>
              <w:spacing w:after="0"/>
              <w:rPr>
                <w:sz w:val="20"/>
                <w:szCs w:val="20"/>
                <w:color w:val="auto"/>
              </w:rPr>
            </w:pPr>
            <w:r>
              <w:rPr>
                <w:rFonts w:ascii="Arial" w:cs="Arial" w:eastAsia="Arial" w:hAnsi="Arial"/>
                <w:sz w:val="14"/>
                <w:szCs w:val="14"/>
                <w:color w:val="auto"/>
              </w:rPr>
              <w:t>Three months ended Mar. 31,</w:t>
            </w:r>
          </w:p>
        </w:tc>
      </w:tr>
      <w:tr>
        <w:trPr>
          <w:trHeight w:val="194"/>
        </w:trPr>
        <w:tc>
          <w:tcPr>
            <w:tcW w:w="8180" w:type="dxa"/>
            <w:vAlign w:val="bottom"/>
            <w:tcBorders>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2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508"/>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color w:val="auto"/>
              </w:rPr>
              <w:t>2022</w:t>
            </w:r>
          </w:p>
        </w:tc>
      </w:tr>
      <w:tr>
        <w:trPr>
          <w:trHeight w:val="192"/>
        </w:trPr>
        <w:tc>
          <w:tcPr>
            <w:tcW w:w="8180" w:type="dxa"/>
            <w:vAlign w:val="bottom"/>
          </w:tcPr>
          <w:p>
            <w:pPr>
              <w:ind w:left="20"/>
              <w:spacing w:after="0"/>
              <w:rPr>
                <w:sz w:val="20"/>
                <w:szCs w:val="20"/>
                <w:color w:val="auto"/>
              </w:rPr>
            </w:pPr>
            <w:r>
              <w:rPr>
                <w:rFonts w:ascii="Arial" w:cs="Arial" w:eastAsia="Arial" w:hAnsi="Arial"/>
                <w:sz w:val="14"/>
                <w:szCs w:val="14"/>
                <w:color w:val="auto"/>
              </w:rPr>
              <w:t>Sales/Cost of Submission</w:t>
            </w:r>
          </w:p>
        </w:tc>
        <w:tc>
          <w:tcPr>
            <w:tcW w:w="100" w:type="dxa"/>
            <w:vAlign w:val="bottom"/>
            <w:shd w:val="clear" w:color="auto" w:fill="929292"/>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Cost of Submission</w:t>
            </w:r>
          </w:p>
        </w:tc>
        <w:tc>
          <w:tcPr>
            <w:tcW w:w="100" w:type="dxa"/>
            <w:vAlign w:val="bottom"/>
            <w:shd w:val="clear" w:color="auto" w:fill="929292"/>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126,402</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201,027</w:t>
            </w:r>
          </w:p>
        </w:tc>
      </w:tr>
      <w:tr>
        <w:trPr>
          <w:trHeight w:val="211"/>
        </w:trPr>
        <w:tc>
          <w:tcPr>
            <w:tcW w:w="8180" w:type="dxa"/>
            <w:vAlign w:val="bottom"/>
          </w:tcPr>
          <w:p>
            <w:pPr>
              <w:ind w:left="20"/>
              <w:spacing w:after="0"/>
              <w:rPr>
                <w:sz w:val="20"/>
                <w:szCs w:val="20"/>
                <w:color w:val="auto"/>
              </w:rPr>
            </w:pPr>
            <w:r>
              <w:rPr>
                <w:rFonts w:ascii="Arial" w:cs="Arial" w:eastAsia="Arial" w:hAnsi="Arial"/>
                <w:sz w:val="14"/>
                <w:szCs w:val="14"/>
                <w:color w:val="auto"/>
              </w:rPr>
              <w:t>Cost Per Submission</w:t>
            </w:r>
          </w:p>
        </w:tc>
        <w:tc>
          <w:tcPr>
            <w:tcW w:w="100" w:type="dxa"/>
            <w:vAlign w:val="bottom"/>
            <w:shd w:val="clear" w:color="auto" w:fill="929292"/>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2023-05-08T06:13:33Z</dcterms:created>
  <dcterms:modified xsi:type="dcterms:W3CDTF">2023-05-08T06:13:33Z</dcterms:modified>
</cp:coreProperties>
</file>