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10, 2021</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GoHealth,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260"/>
        <w:spacing w:after="0"/>
        <w:tabs>
          <w:tab w:leader="none" w:pos="78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85-0563805</w:t>
      </w:r>
    </w:p>
    <w:p>
      <w:pPr>
        <w:spacing w:after="0" w:line="8" w:lineRule="exact"/>
        <w:rPr>
          <w:sz w:val="24"/>
          <w:szCs w:val="24"/>
          <w:color w:val="auto"/>
        </w:rPr>
      </w:pPr>
    </w:p>
    <w:p>
      <w:pPr>
        <w:ind w:left="1880"/>
        <w:spacing w:after="0"/>
        <w:tabs>
          <w:tab w:leader="none" w:pos="786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40"/>
        <w:spacing w:after="0"/>
        <w:tabs>
          <w:tab w:leader="none" w:pos="77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West Huron St., Chicago, Illinois 60654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GOHEALTH, INC. 2020 INCENTIVE AWARD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GOHEALTH, INC. 2020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BRADLEY BURD,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386-8200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BRIAN FARLEY,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Illinois 60654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IAN D. SCHUMAN,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STELIOS G. SAFFOS,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K. DEFORD,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885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10022-4834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50" w:orient="portrait"/>
          <w:cols w:equalWidth="0" w:num="1">
            <w:col w:w="11000"/>
          </w:cols>
          <w:pgMar w:left="440" w:top="229" w:right="459" w:bottom="0" w:gutter="0" w:footer="0" w:header="0"/>
        </w:sect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50" w:orient="portrait"/>
          <w:cols w:equalWidth="0" w:num="1">
            <w:col w:w="11000"/>
          </w:cols>
          <w:pgMar w:left="440" w:top="229" w:right="459" w:bottom="0" w:gutter="0" w:footer="0" w:header="0"/>
          <w:type w:val="continuous"/>
        </w:sectPr>
      </w:pPr>
    </w:p>
    <w:bookmarkStart w:id="1" w:name="page2"/>
    <w:bookmarkEnd w:id="1"/>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$0.0001 par value per share 2020</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Incentive Award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4,209,773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$14.21 (4)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$59,820,874.33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$6,526.46</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2020 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841,955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$14.21 (4)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$11,964,180.55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$1,305.29</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5,051,728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$71,785,054.88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$7,831.75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6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this Registration Statement shall also cover any additional shares of Class A Common Stock, par value $0.0001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GoHealth, Inc. (the “</w:t>
      </w:r>
      <w:r>
        <w:rPr>
          <w:rFonts w:ascii="Arial" w:cs="Arial" w:eastAsia="Arial" w:hAnsi="Arial"/>
          <w:sz w:val="17"/>
          <w:szCs w:val="17"/>
          <w:u w:val="single" w:color="auto"/>
          <w:color w:val="auto"/>
        </w:rPr>
        <w:t>Company</w:t>
      </w:r>
      <w:r>
        <w:rPr>
          <w:rFonts w:ascii="Arial" w:cs="Arial" w:eastAsia="Arial" w:hAnsi="Arial"/>
          <w:sz w:val="17"/>
          <w:szCs w:val="17"/>
          <w:color w:val="auto"/>
        </w:rPr>
        <w:t>”) that become issuable under the Company’s 2020 Incentive Award Plan (the “</w:t>
      </w:r>
      <w:r>
        <w:rPr>
          <w:rFonts w:ascii="Arial" w:cs="Arial" w:eastAsia="Arial" w:hAnsi="Arial"/>
          <w:sz w:val="17"/>
          <w:szCs w:val="17"/>
          <w:u w:val="single" w:color="auto"/>
          <w:color w:val="auto"/>
        </w:rPr>
        <w:t>2020 Plan</w:t>
      </w:r>
      <w:r>
        <w:rPr>
          <w:rFonts w:ascii="Arial" w:cs="Arial" w:eastAsia="Arial" w:hAnsi="Arial"/>
          <w:sz w:val="17"/>
          <w:szCs w:val="17"/>
          <w:color w:val="auto"/>
        </w:rPr>
        <w:t>”) and the Company’s 2020 Employee Stock Purchase Plan (the “</w:t>
      </w:r>
      <w:r>
        <w:rPr>
          <w:rFonts w:ascii="Arial" w:cs="Arial" w:eastAsia="Arial" w:hAnsi="Arial"/>
          <w:sz w:val="17"/>
          <w:szCs w:val="17"/>
          <w:u w:val="single" w:color="auto"/>
          <w:color w:val="auto"/>
        </w:rPr>
        <w:t>2020 ESPP</w:t>
      </w:r>
      <w:r>
        <w:rPr>
          <w:rFonts w:ascii="Arial" w:cs="Arial" w:eastAsia="Arial" w:hAnsi="Arial"/>
          <w:sz w:val="17"/>
          <w:szCs w:val="17"/>
          <w:color w:val="auto"/>
        </w:rPr>
        <w:t>”) by reason of any stock dividend, stock split, recapitalization or other similar transaction effected without receipt of consideration that increases the number of outstanding shares of Common Stock.</w:t>
      </w:r>
    </w:p>
    <w:p>
      <w:pPr>
        <w:spacing w:after="0" w:line="2" w:lineRule="exact"/>
        <w:rPr>
          <w:rFonts w:ascii="Arial" w:cs="Arial" w:eastAsia="Arial" w:hAnsi="Arial"/>
          <w:sz w:val="17"/>
          <w:szCs w:val="17"/>
          <w:color w:val="auto"/>
        </w:rPr>
      </w:pPr>
    </w:p>
    <w:p>
      <w:pPr>
        <w:ind w:left="424" w:right="2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4,209,773 additional shares of the Company’s Common Stock that became available for issuance on January 1, 2021 under the 2020 Plan, pursuant to the terms of the 2020 Plan.</w:t>
      </w:r>
    </w:p>
    <w:p>
      <w:pPr>
        <w:ind w:left="424" w:right="3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841,955 additional shares of the Company’s Common Stock that became available for issuance on January 1, 2021 under the 2020 ESPP, pursuant to the terms of the 2020 ESPP.</w:t>
      </w:r>
    </w:p>
    <w:p>
      <w:pPr>
        <w:ind w:left="424" w:right="340" w:hanging="424"/>
        <w:spacing w:after="0" w:line="277"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estimate is made pursuant to Rule 457(c) and Rule 457(h) of the Securities Act solely for purposes of calculating the registration fee. The Proposed Maximum Offering Price Per Share for shares available for future grant is the average of the high and low prices for the registrant’s Common Stock as reported on The Nasdaq Global Select Market on February 8, 2021, which is $14.21.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201"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Registration Statement on Form S-8 is being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for the purpose of registering an additional 5,051,728 shares of the Company’s Common Stock issuable under the following employee benefit plans for which registration statement of the Company on Form S-8 (File No. 333-239879) is effective: (i) the 2020 Plan, which, as a result of the operation of an automatic annual increase provision therein, added 4,209,773 shares of Common Stock, and (ii) the 2020 ESPP, which, as a result of the operation of an automatic annual increase provision therein, added 841,955 shares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Pursuant to Instruction E of Form S-8, the contents of the Registration Statement on Form S-8 filed with the Commission on July 15, 2020 (File No. 333-239879) is incorporated by reference herein; except for Item 8 which is being updated by this Registration Statement.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Exhibits listed on the accompanying Index to Exhibits are filed as part hereof, or incorporated by reference into, this Registration Statement. See Exhibit Index below.</w:t>
      </w:r>
    </w:p>
    <w:p>
      <w:pPr>
        <w:sectPr>
          <w:pgSz w:w="11900" w:h="16838" w:orient="portrait"/>
          <w:cols w:equalWidth="0" w:num="1">
            <w:col w:w="10980"/>
          </w:cols>
          <w:pgMar w:left="440" w:top="270" w:right="47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11"/>
          </w:tcPr>
          <w:p>
            <w:pPr>
              <w:ind w:left="37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480" w:type="dxa"/>
            <w:vAlign w:val="bottom"/>
            <w:gridSpan w:val="10"/>
            <w:vMerge w:val="restart"/>
          </w:tcPr>
          <w:p>
            <w:pPr>
              <w:ind w:left="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450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gridSpan w:val="11"/>
          </w:tcPr>
          <w:p>
            <w:pPr>
              <w:spacing w:after="0"/>
              <w:rPr>
                <w:rFonts w:ascii="Arial" w:cs="Arial" w:eastAsia="Arial" w:hAnsi="Arial"/>
                <w:sz w:val="18"/>
                <w:szCs w:val="18"/>
                <w:color w:val="0000EE"/>
                <w:w w:val="98"/>
              </w:rPr>
            </w:pPr>
            <w:hyperlink r:id="rId18">
              <w:r>
                <w:rPr>
                  <w:rFonts w:ascii="Arial" w:cs="Arial" w:eastAsia="Arial" w:hAnsi="Arial"/>
                  <w:sz w:val="18"/>
                  <w:szCs w:val="18"/>
                  <w:color w:val="0000EE"/>
                  <w:w w:val="98"/>
                </w:rPr>
                <w:t>Amended and Restated Certificate of Incorporation of GoHealth, Inc. (incorporated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Quarterly Report on Form 10-Q (File No. 001-39390), filed on August 20, 2020 with the Commission)</w:t>
              </w:r>
            </w:hyperlink>
          </w:p>
        </w:tc>
        <w:tc>
          <w:tcPr>
            <w:tcW w:w="7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720" w:type="dxa"/>
            <w:vAlign w:val="bottom"/>
            <w:tcBorders>
              <w:bottom w:val="single" w:sz="8" w:color="0000EE"/>
            </w:tcBorders>
            <w:gridSpan w:val="8"/>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Amended and Restated Bylaws of GoHealth, Inc. (incorporated by reference to Exhibit 3.2 to the Quarterly Report on Form 10-Q (File</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8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9">
              <w:r>
                <w:rPr>
                  <w:rFonts w:ascii="Arial" w:cs="Arial" w:eastAsia="Arial" w:hAnsi="Arial"/>
                  <w:sz w:val="18"/>
                  <w:szCs w:val="18"/>
                  <w:color w:val="0000EE"/>
                  <w:w w:val="92"/>
                </w:rPr>
                <w:t>No. 001-39390), filed on August 20, 2020 with the Commission)</w:t>
              </w:r>
            </w:hyperlink>
          </w:p>
        </w:tc>
        <w:tc>
          <w:tcPr>
            <w:tcW w:w="5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Latham &amp; Watkins LLP</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Consent of Ernst &amp; Young LLP as to GoHealth, Inc.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Ernst &amp; Young LLP as to GoHealth Holdings, LLC.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Latham &amp; Watkins LLP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the signature page hereto)</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20">
              <w:r>
                <w:rPr>
                  <w:rFonts w:ascii="Arial" w:cs="Arial" w:eastAsia="Arial" w:hAnsi="Arial"/>
                  <w:sz w:val="18"/>
                  <w:szCs w:val="18"/>
                  <w:color w:val="0000EE"/>
                  <w:w w:val="95"/>
                </w:rPr>
                <w:t>GoHealth, Inc. 2020 Incentive Award Plan (incorporated by reference to Exhibit 10.6 to the Company’s Registration Statement (File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No. 333-239287), filed on July 8, 2020 with the Commission).</w:t>
              </w:r>
            </w:hyperlink>
          </w:p>
        </w:tc>
        <w:tc>
          <w:tcPr>
            <w:tcW w:w="5060" w:type="dxa"/>
            <w:vAlign w:val="bottom"/>
            <w:tcBorders>
              <w:top w:val="single" w:sz="8" w:color="0000EE"/>
            </w:tcBorders>
            <w:gridSpan w:val="6"/>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540" w:type="dxa"/>
            <w:vAlign w:val="bottom"/>
            <w:tcBorders>
              <w:bottom w:val="single" w:sz="8" w:color="0000EE"/>
            </w:tcBorders>
            <w:gridSpan w:val="6"/>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Incentive Award Plan Form of Stock Option Award Grant Notice and Stock Option Agreement (incorporated by reference to Exhibit</w:t>
              </w:r>
            </w:hyperlink>
          </w:p>
        </w:tc>
        <w:tc>
          <w:tcPr>
            <w:tcW w:w="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80" w:type="dxa"/>
            <w:vAlign w:val="bottom"/>
            <w:gridSpan w:val="11"/>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10.19 to the Company’s Registration Statement (File No. 333-239287), filed on July 8, 2020 with the Commission).</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Incentive Award Plan Form of Restricted Stock Unit Award Grant Notice and Restricted Stock Unit Agreement (incorporated by reference</w:t>
              </w:r>
            </w:hyperlink>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to Exhibit 10.20 to the Company’s Registration Statement (File No. 333-239287), filed on July 8, 2020 with the Commission).</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99.4</w:t>
            </w:r>
          </w:p>
        </w:tc>
        <w:tc>
          <w:tcPr>
            <w:tcW w:w="540" w:type="dxa"/>
            <w:vAlign w:val="bottom"/>
          </w:tcPr>
          <w:p>
            <w:pPr>
              <w:spacing w:after="0"/>
              <w:rPr>
                <w:sz w:val="24"/>
                <w:szCs w:val="24"/>
                <w:color w:val="auto"/>
              </w:rPr>
            </w:pPr>
          </w:p>
        </w:tc>
        <w:tc>
          <w:tcPr>
            <w:tcW w:w="9880" w:type="dxa"/>
            <w:vAlign w:val="bottom"/>
            <w:tcBorders>
              <w:bottom w:val="single" w:sz="8" w:color="0000EE"/>
            </w:tcBorders>
            <w:gridSpan w:val="9"/>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GoHealth, Inc. 2020 Employee Stock Purchase Plan (incorporated by reference to Exhibit 10.7 to the Company’s Registration Statement</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(File No. 333-239287), filed on July 8, 2020 with the Commission).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70"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February 10,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Travis J. Matthiesen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6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1800"/>
              <w:spacing w:after="0"/>
              <w:rPr>
                <w:sz w:val="20"/>
                <w:szCs w:val="20"/>
                <w:color w:val="auto"/>
              </w:rPr>
            </w:pPr>
            <w:r>
              <w:rPr>
                <w:rFonts w:ascii="Arial" w:cs="Arial" w:eastAsia="Arial" w:hAnsi="Arial"/>
                <w:sz w:val="14"/>
                <w:szCs w:val="14"/>
                <w:b w:val="1"/>
                <w:bCs w:val="1"/>
                <w:color w:val="auto"/>
              </w:rPr>
              <w:t>Signature</w:t>
            </w:r>
          </w:p>
        </w:tc>
        <w:tc>
          <w:tcPr>
            <w:tcW w:w="500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1400" w:type="dxa"/>
            <w:vAlign w:val="bottom"/>
          </w:tcPr>
          <w:p>
            <w:pPr>
              <w:ind w:left="820"/>
              <w:spacing w:after="0"/>
              <w:rPr>
                <w:sz w:val="20"/>
                <w:szCs w:val="20"/>
                <w:color w:val="auto"/>
              </w:rPr>
            </w:pPr>
            <w:r>
              <w:rPr>
                <w:rFonts w:ascii="Arial" w:cs="Arial" w:eastAsia="Arial" w:hAnsi="Arial"/>
                <w:sz w:val="14"/>
                <w:szCs w:val="14"/>
                <w:b w:val="1"/>
                <w:bCs w:val="1"/>
                <w:color w:val="auto"/>
              </w:rPr>
              <w:t>Date</w:t>
            </w:r>
          </w:p>
        </w:tc>
      </w:tr>
      <w:tr>
        <w:trPr>
          <w:trHeight w:val="417"/>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5000" w:type="dxa"/>
            <w:vAlign w:val="bottom"/>
          </w:tcPr>
          <w:p>
            <w:pPr>
              <w:ind w:left="120"/>
              <w:spacing w:after="0"/>
              <w:rPr>
                <w:sz w:val="20"/>
                <w:szCs w:val="20"/>
                <w:color w:val="auto"/>
              </w:rPr>
            </w:pPr>
            <w:r>
              <w:rPr>
                <w:rFonts w:ascii="Arial" w:cs="Arial" w:eastAsia="Arial" w:hAnsi="Arial"/>
                <w:sz w:val="18"/>
                <w:szCs w:val="18"/>
                <w:color w:val="auto"/>
                <w:w w:val="94"/>
              </w:rPr>
              <w:t>Chief Executive Officer and Director (Principal Executive Officer)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Clinton P. Jones</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J. Matthiesen</w:t>
            </w:r>
          </w:p>
        </w:tc>
        <w:tc>
          <w:tcPr>
            <w:tcW w:w="5000" w:type="dxa"/>
            <w:vAlign w:val="bottom"/>
          </w:tcPr>
          <w:p>
            <w:pPr>
              <w:ind w:left="120"/>
              <w:spacing w:after="0"/>
              <w:rPr>
                <w:sz w:val="20"/>
                <w:szCs w:val="20"/>
                <w:color w:val="auto"/>
              </w:rPr>
            </w:pPr>
            <w:r>
              <w:rPr>
                <w:rFonts w:ascii="Arial" w:cs="Arial" w:eastAsia="Arial" w:hAnsi="Arial"/>
                <w:sz w:val="18"/>
                <w:szCs w:val="18"/>
                <w:color w:val="auto"/>
                <w:w w:val="96"/>
              </w:rPr>
              <w:t>Chief Financial Officer (Principal Financial Officer and Principal</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Travis J. Matthiesen</w:t>
            </w:r>
          </w:p>
        </w:tc>
        <w:tc>
          <w:tcPr>
            <w:tcW w:w="500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Brandon M. Cruz</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Rahm Emanuel</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Rahm Emanuel</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G. Flanagan</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Joseph G. Flanagan</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Helene D. Gayle</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Helene D. Gayle</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Jeremy W. Gelber</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Anita V. Pramoda</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Anita V. Pramoda</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A. Tawil</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Miriam A. Tawil</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400" w:type="dxa"/>
            <w:vAlign w:val="bottom"/>
          </w:tcPr>
          <w:p>
            <w:pPr>
              <w:ind w:left="80"/>
              <w:spacing w:after="0"/>
              <w:rPr>
                <w:sz w:val="20"/>
                <w:szCs w:val="20"/>
                <w:color w:val="auto"/>
              </w:rPr>
            </w:pPr>
            <w:r>
              <w:rPr>
                <w:rFonts w:ascii="Arial" w:cs="Arial" w:eastAsia="Arial" w:hAnsi="Arial"/>
                <w:sz w:val="18"/>
                <w:szCs w:val="18"/>
                <w:color w:val="auto"/>
                <w:w w:val="88"/>
              </w:rPr>
              <w:t>February 10, 2021</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Alexander E. Timm</w:t>
            </w:r>
          </w:p>
        </w:tc>
        <w:tc>
          <w:tcPr>
            <w:tcW w:w="500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ectPr>
          <w:pgSz w:w="11900" w:h="16838" w:orient="portrait"/>
          <w:cols w:equalWidth="0" w:num="1">
            <w:col w:w="10880"/>
          </w:cols>
          <w:pgMar w:left="440" w:top="270" w:right="57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040" w:type="dxa"/>
            <w:vAlign w:val="bottom"/>
            <w:gridSpan w:val="2"/>
          </w:tcPr>
          <w:p>
            <w:pPr>
              <w:ind w:left="1200"/>
              <w:spacing w:after="0"/>
              <w:rPr>
                <w:sz w:val="20"/>
                <w:szCs w:val="20"/>
                <w:color w:val="auto"/>
              </w:rPr>
            </w:pPr>
            <w:r>
              <w:rPr>
                <w:rFonts w:ascii="Arial" w:cs="Arial" w:eastAsia="Arial" w:hAnsi="Arial"/>
                <w:sz w:val="18"/>
                <w:szCs w:val="18"/>
                <w:b w:val="1"/>
                <w:bCs w:val="1"/>
                <w:color w:val="auto"/>
                <w:w w:val="91"/>
              </w:rPr>
              <w:t>Exhibit 5.1</w:t>
            </w:r>
          </w:p>
        </w:tc>
      </w:tr>
      <w:tr>
        <w:trPr>
          <w:trHeight w:val="445"/>
        </w:trPr>
        <w:tc>
          <w:tcPr>
            <w:tcW w:w="1420" w:type="dxa"/>
            <w:vAlign w:val="bottom"/>
          </w:tcPr>
          <w:p>
            <w:pPr>
              <w:spacing w:after="0"/>
              <w:rPr>
                <w:sz w:val="24"/>
                <w:szCs w:val="24"/>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53rd at Third</w:t>
            </w: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885 Third Avenue</w:t>
            </w: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9600" w:type="dxa"/>
            <w:vAlign w:val="bottom"/>
            <w:gridSpan w:val="3"/>
          </w:tcPr>
          <w:p>
            <w:pPr>
              <w:ind w:left="6080"/>
              <w:spacing w:after="0"/>
              <w:rPr>
                <w:sz w:val="20"/>
                <w:szCs w:val="20"/>
                <w:color w:val="auto"/>
              </w:rPr>
            </w:pPr>
            <w:r>
              <w:rPr>
                <w:rFonts w:ascii="Arial" w:cs="Arial" w:eastAsia="Arial" w:hAnsi="Arial"/>
                <w:sz w:val="18"/>
                <w:szCs w:val="18"/>
                <w:color w:val="auto"/>
              </w:rPr>
              <w:t>New York, New York 10022-4834</w:t>
            </w:r>
          </w:p>
        </w:tc>
      </w:tr>
      <w:tr>
        <w:trPr>
          <w:trHeight w:val="216"/>
        </w:trPr>
        <w:tc>
          <w:tcPr>
            <w:tcW w:w="1420" w:type="dxa"/>
            <w:vAlign w:val="bottom"/>
          </w:tcPr>
          <w:p>
            <w:pPr>
              <w:spacing w:after="0"/>
              <w:rPr>
                <w:sz w:val="18"/>
                <w:szCs w:val="18"/>
                <w:color w:val="auto"/>
              </w:rPr>
            </w:pPr>
          </w:p>
        </w:tc>
        <w:tc>
          <w:tcPr>
            <w:tcW w:w="9600" w:type="dxa"/>
            <w:vAlign w:val="bottom"/>
            <w:gridSpan w:val="3"/>
          </w:tcPr>
          <w:p>
            <w:pPr>
              <w:ind w:left="6080"/>
              <w:spacing w:after="0"/>
              <w:rPr>
                <w:sz w:val="20"/>
                <w:szCs w:val="20"/>
                <w:color w:val="auto"/>
              </w:rPr>
            </w:pPr>
            <w:r>
              <w:rPr>
                <w:rFonts w:ascii="Arial" w:cs="Arial" w:eastAsia="Arial" w:hAnsi="Arial"/>
                <w:sz w:val="18"/>
                <w:szCs w:val="18"/>
                <w:color w:val="auto"/>
                <w:w w:val="99"/>
              </w:rPr>
              <w:t>Tel: +1.212.906.1200 Fax: +1.212.751.4864</w:t>
            </w:r>
          </w:p>
        </w:tc>
      </w:tr>
      <w:tr>
        <w:trPr>
          <w:trHeight w:val="230"/>
        </w:trPr>
        <w:tc>
          <w:tcPr>
            <w:tcW w:w="1420" w:type="dxa"/>
            <w:vAlign w:val="bottom"/>
          </w:tcPr>
          <w:p>
            <w:pPr>
              <w:spacing w:after="0"/>
              <w:rPr>
                <w:sz w:val="20"/>
                <w:szCs w:val="20"/>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www.lw.com</w:t>
            </w: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10"/>
        </w:trPr>
        <w:tc>
          <w:tcPr>
            <w:tcW w:w="1420" w:type="dxa"/>
            <w:vAlign w:val="bottom"/>
          </w:tcPr>
          <w:p>
            <w:pPr>
              <w:spacing w:after="0"/>
              <w:rPr>
                <w:sz w:val="24"/>
                <w:szCs w:val="24"/>
                <w:color w:val="auto"/>
              </w:rPr>
            </w:pPr>
          </w:p>
        </w:tc>
        <w:tc>
          <w:tcPr>
            <w:tcW w:w="9600" w:type="dxa"/>
            <w:vAlign w:val="bottom"/>
            <w:gridSpan w:val="3"/>
          </w:tcPr>
          <w:p>
            <w:pPr>
              <w:ind w:left="6080"/>
              <w:spacing w:after="0"/>
              <w:rPr>
                <w:sz w:val="20"/>
                <w:szCs w:val="20"/>
                <w:color w:val="auto"/>
              </w:rPr>
            </w:pPr>
            <w:r>
              <w:rPr>
                <w:rFonts w:ascii="Arial" w:cs="Arial" w:eastAsia="Arial" w:hAnsi="Arial"/>
                <w:sz w:val="18"/>
                <w:szCs w:val="18"/>
                <w:color w:val="auto"/>
              </w:rPr>
              <w:t>FIRM / AFFILIATE OFFICES</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Beijing</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Moscow</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Boston</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Munich</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Brussels</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New York</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Century City</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Orange County</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Chicago</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Paris</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5"/>
              </w:rPr>
              <w:t>February 10, 2021</w:t>
            </w:r>
          </w:p>
        </w:tc>
        <w:tc>
          <w:tcPr>
            <w:tcW w:w="7560" w:type="dxa"/>
            <w:vAlign w:val="bottom"/>
          </w:tcPr>
          <w:p>
            <w:pPr>
              <w:ind w:left="6080"/>
              <w:spacing w:after="0"/>
              <w:rPr>
                <w:sz w:val="20"/>
                <w:szCs w:val="20"/>
                <w:color w:val="auto"/>
              </w:rPr>
            </w:pPr>
            <w:r>
              <w:rPr>
                <w:rFonts w:ascii="Arial" w:cs="Arial" w:eastAsia="Arial" w:hAnsi="Arial"/>
                <w:sz w:val="18"/>
                <w:szCs w:val="18"/>
                <w:color w:val="auto"/>
              </w:rPr>
              <w:t>Dubai</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Riyadh</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Düsseldorf</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San Diego</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Frankfurt</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San Francisco</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Hamburg</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Seoul</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Hong Kong</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Shanghai</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Houston</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Silicon Valley</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London</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Singapore</w:t>
            </w:r>
          </w:p>
        </w:tc>
      </w:tr>
      <w:tr>
        <w:trPr>
          <w:trHeight w:val="216"/>
        </w:trPr>
        <w:tc>
          <w:tcPr>
            <w:tcW w:w="1420" w:type="dxa"/>
            <w:vAlign w:val="bottom"/>
          </w:tcPr>
          <w:p>
            <w:pPr>
              <w:spacing w:after="0"/>
              <w:rPr>
                <w:sz w:val="18"/>
                <w:szCs w:val="18"/>
                <w:color w:val="auto"/>
              </w:rPr>
            </w:pPr>
          </w:p>
        </w:tc>
        <w:tc>
          <w:tcPr>
            <w:tcW w:w="7560" w:type="dxa"/>
            <w:vAlign w:val="bottom"/>
          </w:tcPr>
          <w:p>
            <w:pPr>
              <w:ind w:left="6080"/>
              <w:spacing w:after="0"/>
              <w:rPr>
                <w:sz w:val="20"/>
                <w:szCs w:val="20"/>
                <w:color w:val="auto"/>
              </w:rPr>
            </w:pPr>
            <w:r>
              <w:rPr>
                <w:rFonts w:ascii="Arial" w:cs="Arial" w:eastAsia="Arial" w:hAnsi="Arial"/>
                <w:sz w:val="18"/>
                <w:szCs w:val="18"/>
                <w:color w:val="auto"/>
              </w:rPr>
              <w:t>Los Angeles</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Tokyo</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GoHealth, Inc.</w:t>
            </w:r>
          </w:p>
        </w:tc>
        <w:tc>
          <w:tcPr>
            <w:tcW w:w="7560" w:type="dxa"/>
            <w:vAlign w:val="bottom"/>
          </w:tcPr>
          <w:p>
            <w:pPr>
              <w:ind w:left="6080"/>
              <w:spacing w:after="0"/>
              <w:rPr>
                <w:sz w:val="20"/>
                <w:szCs w:val="20"/>
                <w:color w:val="auto"/>
              </w:rPr>
            </w:pPr>
            <w:r>
              <w:rPr>
                <w:rFonts w:ascii="Arial" w:cs="Arial" w:eastAsia="Arial" w:hAnsi="Arial"/>
                <w:sz w:val="18"/>
                <w:szCs w:val="18"/>
                <w:color w:val="auto"/>
              </w:rPr>
              <w:t>Madrid</w:t>
            </w:r>
          </w:p>
        </w:tc>
        <w:tc>
          <w:tcPr>
            <w:tcW w:w="2040" w:type="dxa"/>
            <w:vAlign w:val="bottom"/>
            <w:gridSpan w:val="2"/>
          </w:tcPr>
          <w:p>
            <w:pPr>
              <w:ind w:left="160"/>
              <w:spacing w:after="0"/>
              <w:rPr>
                <w:sz w:val="20"/>
                <w:szCs w:val="20"/>
                <w:color w:val="auto"/>
              </w:rPr>
            </w:pPr>
            <w:r>
              <w:rPr>
                <w:rFonts w:ascii="Arial" w:cs="Arial" w:eastAsia="Arial" w:hAnsi="Arial"/>
                <w:sz w:val="18"/>
                <w:szCs w:val="18"/>
                <w:color w:val="auto"/>
              </w:rPr>
              <w:t>Washington, D.C.</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89"/>
              </w:rPr>
              <w:t>214 West Huron St.</w:t>
            </w:r>
          </w:p>
        </w:tc>
        <w:tc>
          <w:tcPr>
            <w:tcW w:w="7560" w:type="dxa"/>
            <w:vAlign w:val="bottom"/>
          </w:tcPr>
          <w:p>
            <w:pPr>
              <w:ind w:left="6080"/>
              <w:spacing w:after="0"/>
              <w:rPr>
                <w:sz w:val="20"/>
                <w:szCs w:val="20"/>
                <w:color w:val="auto"/>
              </w:rPr>
            </w:pPr>
            <w:r>
              <w:rPr>
                <w:rFonts w:ascii="Arial" w:cs="Arial" w:eastAsia="Arial" w:hAnsi="Arial"/>
                <w:sz w:val="18"/>
                <w:szCs w:val="18"/>
                <w:color w:val="auto"/>
              </w:rPr>
              <w:t>Milan</w:t>
            </w: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Chicago, Illinois 60654</w:t>
            </w:r>
          </w:p>
        </w:tc>
        <w:tc>
          <w:tcPr>
            <w:tcW w:w="13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97"/>
        </w:trPr>
        <w:tc>
          <w:tcPr>
            <w:tcW w:w="1420" w:type="dxa"/>
            <w:vAlign w:val="bottom"/>
          </w:tcPr>
          <w:p>
            <w:pPr>
              <w:ind w:left="980"/>
              <w:spacing w:after="0"/>
              <w:rPr>
                <w:sz w:val="20"/>
                <w:szCs w:val="20"/>
                <w:color w:val="auto"/>
              </w:rPr>
            </w:pPr>
            <w:r>
              <w:rPr>
                <w:rFonts w:ascii="Arial" w:cs="Arial" w:eastAsia="Arial" w:hAnsi="Arial"/>
                <w:sz w:val="18"/>
                <w:szCs w:val="18"/>
                <w:color w:val="auto"/>
              </w:rPr>
              <w:t>Re:</w:t>
            </w:r>
          </w:p>
        </w:tc>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 xml:space="preserve">Registration Statement on Form S-8 with respect to 5,051,728 shares of Class A common stock, par value </w:t>
            </w:r>
            <w:r>
              <w:rPr>
                <w:rFonts w:ascii="Arial" w:cs="Arial" w:eastAsia="Arial" w:hAnsi="Arial"/>
                <w:sz w:val="18"/>
                <w:szCs w:val="18"/>
                <w:u w:val="single" w:color="auto"/>
                <w:color w:val="auto"/>
                <w:w w:val="89"/>
              </w:rPr>
              <w:t>$</w:t>
            </w:r>
            <w:r>
              <w:rPr>
                <w:rFonts w:ascii="Arial" w:cs="Arial" w:eastAsia="Arial" w:hAnsi="Arial"/>
                <w:sz w:val="18"/>
                <w:szCs w:val="18"/>
                <w:color w:val="auto"/>
                <w:w w:val="89"/>
              </w:rPr>
              <w:t>0.0001 per share</w:t>
            </w: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-2528570</wp:posOffset>
            </wp:positionV>
            <wp:extent cx="20313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We have acted as special counsel to GoHealth,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preparation and filing by the Company on the date hereof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of a Registration Statement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on Form S-8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relating to the issuance of up to 5,051,728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of the Company, par value $0.0001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which may be issued pursuant to the Company’s 2020 Incentive Award Plan (the “</w:t>
      </w:r>
      <w:r>
        <w:rPr>
          <w:rFonts w:ascii="Arial" w:cs="Arial" w:eastAsia="Arial" w:hAnsi="Arial"/>
          <w:sz w:val="16"/>
          <w:szCs w:val="16"/>
          <w:b w:val="1"/>
          <w:bCs w:val="1"/>
          <w:i w:val="1"/>
          <w:iCs w:val="1"/>
          <w:color w:val="auto"/>
        </w:rPr>
        <w:t>2020 Plan</w:t>
      </w:r>
      <w:r>
        <w:rPr>
          <w:rFonts w:ascii="Arial" w:cs="Arial" w:eastAsia="Arial" w:hAnsi="Arial"/>
          <w:sz w:val="16"/>
          <w:szCs w:val="16"/>
          <w:color w:val="auto"/>
        </w:rPr>
        <w:t>”) and the Company’s 2020 Employee Stock Purchase Plan (the “</w:t>
      </w:r>
      <w:r>
        <w:rPr>
          <w:rFonts w:ascii="Arial" w:cs="Arial" w:eastAsia="Arial" w:hAnsi="Arial"/>
          <w:sz w:val="16"/>
          <w:szCs w:val="16"/>
          <w:b w:val="1"/>
          <w:bCs w:val="1"/>
          <w:i w:val="1"/>
          <w:iCs w:val="1"/>
          <w:color w:val="auto"/>
        </w:rPr>
        <w:t>2020 ESPP</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spacing w:after="0" w:line="166"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2020 Plan and the 2020 ESPP, assuming in each case that the individual issuances, grants or awards under the 2020 Plan and the 2020 ESPP are duly authorized by all necessary corporate action and duly issued, granted or awarded and exercised in accordance with the requirements of</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February 10,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38874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88745" cy="10287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law and the 2020 Plan and the 2020 ESPP (and the agreements duly adopted thereunder and in accordance therewith), the issue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/s/ Latham &amp; Watkins LLP</w:t>
      </w:r>
    </w:p>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Incentive Award Plan and the 2020 Employee Stock Purchase Plan of GoHealth, Inc. of our report dated May 8, 2020, with respect to the financial statement of GoHealth, Inc. included in the Registration Statement, as amended (Form S-1 No. 333-239287) and related Prospectus of GoHealth, Inc.,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2021</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Incentive Award Plan and the 2020 Employee Stock Purchase Plan of GoHealth, Inc. of our report dated May 8, 2020, with respect to the consolidated financial statements of GoHealth Holdings, LLC and Subsidiaries included in the Registration Statement of GoHealth, Inc., as amended (Form S-1 No. 333-239287) and related Prospectus of GoHealth, Inc., filed with the Securities and Exchange Commission.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jpeg"/><Relationship Id="rId29" Type="http://schemas.openxmlformats.org/officeDocument/2006/relationships/image" Target="media/image16.png"/><Relationship Id="rId30" Type="http://schemas.openxmlformats.org/officeDocument/2006/relationships/image" Target="media/image17.jpeg"/><Relationship Id="rId18" Type="http://schemas.openxmlformats.org/officeDocument/2006/relationships/hyperlink" Target="http://www.sec.gov/Archives/edgar/data/1808220/000119312520224832/d935246dex31.htm" TargetMode="External"/><Relationship Id="rId19" Type="http://schemas.openxmlformats.org/officeDocument/2006/relationships/hyperlink" Target="http://www.sec.gov/Archives/edgar/data/1808220/000119312520224832/d935246dex32.htm" TargetMode="External"/><Relationship Id="rId20" Type="http://schemas.openxmlformats.org/officeDocument/2006/relationships/hyperlink" Target="http://www.sec.gov/Archives/edgar/data/1808220/000119312520189225/d797183dex106.htm" TargetMode="External"/><Relationship Id="rId21" Type="http://schemas.openxmlformats.org/officeDocument/2006/relationships/hyperlink" Target="http://www.sec.gov/Archives/edgar/data/1808220/000119312520189225/d797183dex1019.htm" TargetMode="External"/><Relationship Id="rId22" Type="http://schemas.openxmlformats.org/officeDocument/2006/relationships/hyperlink" Target="http://www.sec.gov/Archives/edgar/data/1808220/000119312520189225/d797183dex1020.htm" TargetMode="External"/><Relationship Id="rId23" Type="http://schemas.openxmlformats.org/officeDocument/2006/relationships/hyperlink" Target="http://www.sec.gov/Archives/edgar/data/1808220/000119312520189225/d79718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2021-02-10T16:16:07Z</dcterms:created>
  <dcterms:modified xsi:type="dcterms:W3CDTF">2021-02-10T16:16:07Z</dcterms:modified>
</cp:coreProperties>
</file>