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GoHealth,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Susanne V. Clark</w:t>
              <w:br/>
              <w:t>c/o Centerbridge Partners, L.P., 375 Park Avenue, 13th Floor</w:t>
              <w:br/>
              <w:t>New York, NY, 10152</w:t>
              <w:br/>
              <w:t>(212) 672-5000</w:t>
            </w:r>
          </w:p>
          <w:p>
            <w:pPr>
              <w:pStyle w:val="TableContents"/>
              <w:bidi w:val="0"/>
              <w:jc w:val="left"/>
              <w:rPr/>
            </w:pPr>
            <w:r>
              <w:rPr/>
            </w:r>
          </w:p>
          <w:p>
            <w:pPr>
              <w:pStyle w:val="TableContents"/>
              <w:bidi w:val="0"/>
              <w:spacing w:before="0" w:after="0"/>
              <w:jc w:val="center"/>
              <w:rPr>
                <w:b/>
                <w:color w:val="0000FF"/>
              </w:rPr>
            </w:pPr>
            <w:r>
              <w:rPr>
                <w:b/>
                <w:color w:val="0000FF"/>
              </w:rPr>
              <w:t>Susanne V. Clark</w:t>
              <w:br/>
              <w:t xml:space="preserve">375 Park Avenue, 13th Floor, </w:t>
              <w:br/>
              <w:t>New York, NY, 10152</w:t>
              <w:br/>
              <w:t>(212) 672-5000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CCP III Cayman GP Ltd.</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CB Blizzard Holdings C,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Centerbridge Associates III,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CCP III AIV VII Holdings,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CB Blizzard Co-Invest Holdings,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CB Blizzard Lower Holdings GP A,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CB Blizzard Lower Holdings A,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Blizzard Aggregator,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CB Blizzard Lower Holdings GP B,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CB Blizzard Lower Holdings B,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Jeffrey H. Aronson</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0" w:name="item1to7"/>
      <w:bookmarkStart w:id="51" w:name="item1to7"/>
      <w:bookmarkEnd w:id="51"/>
    </w:p>
    <w:tbl>
      <w:tblPr>
        <w:tblW w:w="10205" w:type="dxa"/>
        <w:jc w:val="left"/>
        <w:tblInd w:w="0" w:type="dxa"/>
        <w:tblLayout w:type="fixed"/>
        <w:tblCellMar>
          <w:top w:w="28" w:type="dxa"/>
          <w:left w:w="28" w:type="dxa"/>
          <w:bottom w:w="28" w:type="dxa"/>
          <w:right w:w="28" w:type="dxa"/>
        </w:tblCellMar>
      </w:tblPr>
      <w:tblGrid>
        <w:gridCol w:w="1129"/>
        <w:gridCol w:w="8921"/>
        <w:gridCol w:w="155"/>
      </w:tblGrid>
      <w:tr>
        <w:trPr/>
        <w:tc>
          <w:tcPr>
            <w:tcW w:w="1129" w:type="dxa"/>
            <w:tcBorders/>
            <w:vAlign w:val="center"/>
          </w:tcPr>
          <w:p>
            <w:pPr>
              <w:pStyle w:val="TableContents"/>
              <w:bidi w:val="0"/>
              <w:spacing w:before="0" w:after="283"/>
              <w:jc w:val="left"/>
              <w:rPr/>
            </w:pPr>
            <w:r>
              <w:rPr/>
              <w:t>Item 1.</w:t>
            </w:r>
          </w:p>
        </w:tc>
        <w:tc>
          <w:tcPr>
            <w:tcW w:w="892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Name of Issuer: </w:t>
            </w:r>
          </w:p>
          <w:p>
            <w:pPr>
              <w:pStyle w:val="TableContents"/>
              <w:bidi w:val="0"/>
              <w:spacing w:before="0" w:after="0"/>
              <w:jc w:val="left"/>
              <w:rPr/>
            </w:pPr>
            <w:r>
              <w:rPr/>
              <w:t>GoHealth, Inc.</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222 W MERCHANDISE MART PLAZA, SUITE 1750, CHICAGO, ILLINOIS , 60654.</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6 to Schedule 13D ("Amendment No. 6") amends and supplements the Schedule 13D originally filed with the United States Securities and Exchange Commission on November 25, 2022 (as amended to date, the "Schedule 13D"), relating to the shares of Class A Common Stock, par value $0.0001 per share (the "Class A Common Stock"), of GoHealth, Inc., a Delaware corporation (the "Issuer"). Capitalized terms used herein without definition shall have the meanings set forth in the Schedule 13D.</w:t>
            </w:r>
          </w:p>
        </w:tc>
      </w:tr>
      <w:tr>
        <w:trPr/>
        <w:tc>
          <w:tcPr>
            <w:tcW w:w="1129" w:type="dxa"/>
            <w:tcBorders/>
            <w:vAlign w:val="center"/>
          </w:tcPr>
          <w:p>
            <w:pPr>
              <w:pStyle w:val="TableContents"/>
              <w:bidi w:val="0"/>
              <w:spacing w:before="0" w:after="283"/>
              <w:jc w:val="left"/>
              <w:rPr/>
            </w:pPr>
            <w:r>
              <w:rPr/>
              <w:t>Item 4.</w:t>
            </w:r>
          </w:p>
        </w:tc>
        <w:tc>
          <w:tcPr>
            <w:tcW w:w="8921"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Item 4 of the Schedule 13D is hereby amended and supplemented as follows: On June 7, 2026, GoHealth, Inc. (the "Issuer"), GoHealth Holdings, LLC and certain of their direct and indirect subsidiaries filed voluntary petitions commencing cases under chapter 11 of title 11 of the United States Code in the United States Bankruptcy Court for the District of Delaware to implement a prepackaged Chapter 11 plan of reorganization (the "Plan"). The Plan became effective on July 21, 2026 (the "Effective Date"). Pursuant to the Plan, on the Effective Date, all of the Issuer's Class A common stock together with any shares of restricted stock, restricted stock units, or any other right to receive equity in the Issuer, in each case, outstanding immediately prior to the Effective Date, were cancelled, discharged and are of no force and effect and holders of Class A common stock and other Allowed GoHealth Holding Interests (as defined in the Plan), including the Reporting Persons, received their pro rata share of an approximately $10.3 million cash equity recovery pool. As a result, the Reporting Persons no longer beneficially own any securities or any other right to receive equity in the Issuer.</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5.</w:t>
            </w:r>
          </w:p>
        </w:tc>
        <w:tc>
          <w:tcPr>
            <w:tcW w:w="892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spacing w:before="0" w:after="0"/>
              <w:jc w:val="left"/>
              <w:rPr/>
            </w:pPr>
            <w:r>
              <w:rPr/>
              <w:t>Item 5 of the Schedule 13D is hereby amended and restated in its entirety as follows: (a) - (b) Pursuant to the Plan, which became effective on July 21, 2026, all outstanding shares of Class A Common Stock together with any shares of restricted stock, restricted stock units, or any other right to receive equity in the Issuer, in each case, outstanding immediately prior to the Effective Date, were cancelled. As of the date of this Amendment, the Reporting Persons do not beneficially own any shares of Class A Common Stock or any shares of restricted stock, restricted stock units, or any other right to receive equity in the Issuer.</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spacing w:before="0" w:after="0"/>
              <w:jc w:val="left"/>
              <w:rPr/>
            </w:pPr>
            <w:r>
              <w:rPr/>
              <w:t>See Item 5(a) above.</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0"/>
              <w:jc w:val="left"/>
              <w:rPr/>
            </w:pPr>
            <w:r>
              <w:rPr/>
              <w:t>Except as set forth above, none of the Reporting Persons nor, to the best knowledge of the Reporting Persons, any of the other individuals named in Item 2, has effected any transaction in shares of Class A Common Stock during the past sixty days.</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spacing w:before="0" w:after="0"/>
              <w:jc w:val="left"/>
              <w:rPr/>
            </w:pPr>
            <w:r>
              <w:rPr/>
              <w:t>None.</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0"/>
              <w:jc w:val="left"/>
              <w:rPr/>
            </w:pPr>
            <w:r>
              <w:rPr/>
              <w:t>July 21, 2026</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6.</w:t>
            </w:r>
          </w:p>
        </w:tc>
        <w:tc>
          <w:tcPr>
            <w:tcW w:w="8921"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Item 6 of the Schedule 13D is hereby amended and supplemented as follows The information set forth in Item 4 of the Schedule 13D is hereby incorporated by reference into this Item 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2" w:name="signatureInfo"/>
      <w:bookmarkStart w:id="53" w:name="signatureInfo"/>
      <w:bookmarkEnd w:id="5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CCP III Cayman GP Ltd.</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Susanne V. Clark</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Susanne V. Clark/Authorized Signatory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CB Blizzard Holdings C,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5"/>
        <w:gridCol w:w="4300"/>
      </w:tblGrid>
      <w:tr>
        <w:trPr/>
        <w:tc>
          <w:tcPr>
            <w:tcW w:w="59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By: CCP III Cayman GP Ltd., its general partner, /s/ Susanne V. Clark</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Susanne V. Clark/Authorized Signatory</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300"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Centerbridge Associates III, L.P.</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5"/>
        <w:gridCol w:w="4300"/>
      </w:tblGrid>
      <w:tr>
        <w:trPr/>
        <w:tc>
          <w:tcPr>
            <w:tcW w:w="59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By: CCP III Cayman GP Ltd., its general partner, /s/ Susanne V. Clark</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Susanne V. Clark/Authorized Signatory</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300" w:type="dxa"/>
            <w:tcBorders/>
            <w:vAlign w:val="center"/>
          </w:tcPr>
          <w:p>
            <w:pPr>
              <w:pStyle w:val="TableContents"/>
              <w:bidi w:val="0"/>
              <w:spacing w:before="0" w:after="283"/>
              <w:jc w:val="left"/>
              <w:rPr>
                <w:sz w:val="4"/>
                <w:szCs w:val="4"/>
              </w:rPr>
            </w:pPr>
            <w:r>
              <w:rPr>
                <w:sz w:val="4"/>
                <w:szCs w:val="4"/>
              </w:rPr>
            </w:r>
          </w:p>
        </w:tc>
      </w:tr>
    </w:tbl>
    <w:tbl>
      <w:tblPr>
        <w:tblW w:w="6750" w:type="dxa"/>
        <w:jc w:val="left"/>
        <w:tblInd w:w="0" w:type="dxa"/>
        <w:tblLayout w:type="fixed"/>
        <w:tblCellMar>
          <w:top w:w="28" w:type="dxa"/>
          <w:left w:w="28" w:type="dxa"/>
          <w:bottom w:w="28" w:type="dxa"/>
          <w:right w:w="28" w:type="dxa"/>
        </w:tblCellMar>
      </w:tblPr>
      <w:tblGrid>
        <w:gridCol w:w="3375"/>
        <w:gridCol w:w="3375"/>
      </w:tblGrid>
      <w:tr>
        <w:trPr/>
        <w:tc>
          <w:tcPr>
            <w:tcW w:w="3375" w:type="dxa"/>
            <w:tcBorders/>
            <w:vAlign w:val="center"/>
          </w:tcPr>
          <w:p>
            <w:pPr>
              <w:pStyle w:val="TableContents"/>
              <w:bidi w:val="0"/>
              <w:spacing w:before="0" w:after="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0"/>
                    <w:jc w:val="left"/>
                    <w:rPr/>
                  </w:pPr>
                  <w:r>
                    <w:rPr/>
                    <w:t>CCP III AIV VII Holdings, L.P.</w:t>
                  </w:r>
                </w:p>
              </w:tc>
            </w:tr>
          </w:tbl>
          <w:p>
            <w:pPr>
              <w:pStyle w:val="TableContents"/>
              <w:bidi w:val="0"/>
              <w:spacing w:before="0" w:after="283"/>
              <w:jc w:val="left"/>
              <w:rPr/>
            </w:pPr>
            <w:r>
              <w:rPr/>
            </w:r>
          </w:p>
        </w:tc>
        <w:tc>
          <w:tcPr>
            <w:tcW w:w="3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Centerbridge Associates III, L.P., its general partner.By: CCP III Cayman GP Ltd., its general partner, /s/ Susanne V. Clark</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Susanne V. Clark/Authorized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CB Blizzard Co-Invest Holdings, L.P.</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Centerbridge Associates III, L.P., its general partner,By: CCP III Cayman GP Ltd., its general partner, /s/ Susanne V. Clark</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Susanne V. Clark/Authorized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tbl>
      <w:tblPr>
        <w:tblW w:w="8678" w:type="dxa"/>
        <w:jc w:val="left"/>
        <w:tblInd w:w="0" w:type="dxa"/>
        <w:tblLayout w:type="fixed"/>
        <w:tblCellMar>
          <w:top w:w="28" w:type="dxa"/>
          <w:left w:w="28" w:type="dxa"/>
          <w:bottom w:w="28" w:type="dxa"/>
          <w:right w:w="28" w:type="dxa"/>
        </w:tblCellMar>
      </w:tblPr>
      <w:tblGrid>
        <w:gridCol w:w="4339"/>
        <w:gridCol w:w="4339"/>
      </w:tblGrid>
      <w:tr>
        <w:trPr/>
        <w:tc>
          <w:tcPr>
            <w:tcW w:w="4339" w:type="dxa"/>
            <w:tcBorders/>
            <w:vAlign w:val="center"/>
          </w:tcPr>
          <w:p>
            <w:pPr>
              <w:pStyle w:val="TableContents"/>
              <w:bidi w:val="0"/>
              <w:spacing w:before="0" w:after="0"/>
              <w:jc w:val="left"/>
              <w:rPr/>
            </w:pPr>
            <w:r>
              <w:rPr/>
              <w:t> </w:t>
            </w:r>
          </w:p>
          <w:tbl>
            <w:tblPr>
              <w:tblW w:w="4171" w:type="dxa"/>
              <w:jc w:val="left"/>
              <w:tblInd w:w="0" w:type="dxa"/>
              <w:tblLayout w:type="fixed"/>
              <w:tblCellMar>
                <w:top w:w="28" w:type="dxa"/>
                <w:left w:w="28" w:type="dxa"/>
                <w:bottom w:w="28" w:type="dxa"/>
                <w:right w:w="28" w:type="dxa"/>
              </w:tblCellMar>
            </w:tblPr>
            <w:tblGrid>
              <w:gridCol w:w="4171"/>
            </w:tblGrid>
            <w:tr>
              <w:trPr/>
              <w:tc>
                <w:tcPr>
                  <w:tcW w:w="4171" w:type="dxa"/>
                  <w:tcBorders/>
                  <w:vAlign w:val="center"/>
                </w:tcPr>
                <w:p>
                  <w:pPr>
                    <w:pStyle w:val="TableContents"/>
                    <w:bidi w:val="0"/>
                    <w:spacing w:before="0" w:after="0"/>
                    <w:jc w:val="left"/>
                    <w:rPr/>
                  </w:pPr>
                  <w:r>
                    <w:rPr/>
                    <w:t>CB Blizzard Lower Holdings GP A, LLC</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Susanne V. Clark</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Susanne V. Clark/Authorized Signatory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CB Blizzard Lower Holdings A, L.P.</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CB Blizzard Lower Holdings GP A, LLC, its general partner, /s/ Susanne V. Clark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Susanne V. Clark/Authorized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Blizzard Aggregator, LLC</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By: CCP III Cayman GP Ltd., its sole manager, /s/ Susanne V. Clark</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Susanne V. Clark/Authorized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8648" w:type="dxa"/>
        <w:jc w:val="left"/>
        <w:tblInd w:w="0" w:type="dxa"/>
        <w:tblLayout w:type="fixed"/>
        <w:tblCellMar>
          <w:top w:w="28" w:type="dxa"/>
          <w:left w:w="28" w:type="dxa"/>
          <w:bottom w:w="28" w:type="dxa"/>
          <w:right w:w="28" w:type="dxa"/>
        </w:tblCellMar>
      </w:tblPr>
      <w:tblGrid>
        <w:gridCol w:w="4324"/>
        <w:gridCol w:w="4324"/>
      </w:tblGrid>
      <w:tr>
        <w:trPr/>
        <w:tc>
          <w:tcPr>
            <w:tcW w:w="4324" w:type="dxa"/>
            <w:tcBorders/>
            <w:vAlign w:val="center"/>
          </w:tcPr>
          <w:p>
            <w:pPr>
              <w:pStyle w:val="TableContents"/>
              <w:bidi w:val="0"/>
              <w:spacing w:before="0" w:after="0"/>
              <w:jc w:val="left"/>
              <w:rPr/>
            </w:pPr>
            <w:r>
              <w:rPr/>
              <w:t> </w:t>
            </w:r>
          </w:p>
          <w:tbl>
            <w:tblPr>
              <w:tblW w:w="4156" w:type="dxa"/>
              <w:jc w:val="left"/>
              <w:tblInd w:w="0" w:type="dxa"/>
              <w:tblLayout w:type="fixed"/>
              <w:tblCellMar>
                <w:top w:w="28" w:type="dxa"/>
                <w:left w:w="28" w:type="dxa"/>
                <w:bottom w:w="28" w:type="dxa"/>
                <w:right w:w="28" w:type="dxa"/>
              </w:tblCellMar>
            </w:tblPr>
            <w:tblGrid>
              <w:gridCol w:w="4156"/>
            </w:tblGrid>
            <w:tr>
              <w:trPr/>
              <w:tc>
                <w:tcPr>
                  <w:tcW w:w="4156" w:type="dxa"/>
                  <w:tcBorders/>
                  <w:vAlign w:val="center"/>
                </w:tcPr>
                <w:p>
                  <w:pPr>
                    <w:pStyle w:val="TableContents"/>
                    <w:bidi w:val="0"/>
                    <w:spacing w:before="0" w:after="0"/>
                    <w:jc w:val="left"/>
                    <w:rPr/>
                  </w:pPr>
                  <w:r>
                    <w:rPr/>
                    <w:t>CB Blizzard Lower Holdings GP B, LLC</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Susanne V. Clark</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Susanne V. Clark/Authorized Signatory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CB Blizzard Lower Holdings B, L.P.</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5"/>
        <w:gridCol w:w="4300"/>
      </w:tblGrid>
      <w:tr>
        <w:trPr/>
        <w:tc>
          <w:tcPr>
            <w:tcW w:w="59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By: CB Blizzard Lower Holdings GP B, LLC, its general partner, /s/ Susanne V. Clark</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Susanne V. Clark/Authorized Signatory</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300"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Jeffrey H. Aronson</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7"/>
        <w:gridCol w:w="4388"/>
      </w:tblGrid>
      <w:tr>
        <w:trPr/>
        <w:tc>
          <w:tcPr>
            <w:tcW w:w="58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Jeffrey H. Aronson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Jeffrey H. Aronson</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38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2542</Words>
  <Characters>12796</Characters>
  <CharactersWithSpaces>15079</CharactersWithSpaces>
  <Paragraphs>616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