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4"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8"/>
          <w:szCs w:val="28"/>
          <w:b w:val="1"/>
          <w:bCs w:val="1"/>
          <w:color w:val="auto"/>
        </w:rPr>
        <w:t>Proxy Statement Pursuant to Section 14(a) of the</w:t>
      </w:r>
    </w:p>
    <w:p>
      <w:pPr>
        <w:spacing w:after="0" w:line="1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(Amendment No.   )</w:t>
      </w:r>
    </w:p>
    <w:p>
      <w:pPr>
        <w:spacing w:after="0" w:line="161" w:lineRule="exact"/>
        <w:rPr>
          <w:sz w:val="24"/>
          <w:szCs w:val="24"/>
          <w:color w:val="auto"/>
        </w:rPr>
      </w:pPr>
    </w:p>
    <w:p>
      <w:pPr>
        <w:spacing w:after="0" w:line="207" w:lineRule="exact"/>
        <w:tabs>
          <w:tab w:leader="none" w:pos="2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6"/>
          <w:szCs w:val="36"/>
          <w:b w:val="1"/>
          <w:bCs w:val="1"/>
          <w:color w:val="auto"/>
        </w:rPr>
        <w:t>GoHealth, Inc.</w:t>
      </w:r>
    </w:p>
    <w:p>
      <w:pPr>
        <w:spacing w:after="0" w:line="5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NOTICE &amp; PROXY STATEMENT</w:t>
      </w: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Annual Meeting of Stockholders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12, 2024</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10:00 a.m. Eastern Daylight Time (9:00 a.m. Central Daylight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124460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222 West Merchandise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Mart Plaza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Suite 1750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April 26, 2024</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left="1300" w:right="1460"/>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Stockholders (the “Annual Meeting”) of GoHealth, Inc. at 10:00 a.m. Eastern Daylight Time (9:00 a.m. Central Daylight Time), on Wednesday, June 12, 2024. The Annual Meeting will be a completely virtual meeting conducted via live webcast. In order to attend the Annual Meeting, vote during the Annual Meeting and submit questions, you must go to www.virtualshareholdermeeting.com/GOCO2024 and enter the 16-digit control number found in your proxy materials.</w:t>
      </w:r>
    </w:p>
    <w:p>
      <w:pPr>
        <w:spacing w:after="0" w:line="79" w:lineRule="exact"/>
        <w:rPr>
          <w:sz w:val="20"/>
          <w:szCs w:val="20"/>
          <w:color w:val="auto"/>
        </w:rPr>
      </w:pPr>
    </w:p>
    <w:p>
      <w:pPr>
        <w:ind w:left="1300" w:right="1480"/>
        <w:spacing w:after="0" w:line="266" w:lineRule="auto"/>
        <w:rPr>
          <w:sz w:val="20"/>
          <w:szCs w:val="20"/>
          <w:color w:val="auto"/>
        </w:rPr>
      </w:pPr>
      <w:r>
        <w:rPr>
          <w:rFonts w:ascii="Times New Roman" w:cs="Times New Roman" w:eastAsia="Times New Roman" w:hAnsi="Times New Roman"/>
          <w:sz w:val="18"/>
          <w:szCs w:val="18"/>
          <w:color w:val="auto"/>
        </w:rPr>
        <w:t xml:space="preserve">The Notice of Meeting and Proxy Statement on the following pages describe the matters to be presented and voted on at the Annual Meeting. Please see the section called “Who can attend the Annual Meeting?” on page </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of the Proxy Statement for more information about how to attend the Annual Meeting online.</w:t>
      </w:r>
    </w:p>
    <w:p>
      <w:pPr>
        <w:spacing w:after="0" w:line="68" w:lineRule="exact"/>
        <w:rPr>
          <w:sz w:val="20"/>
          <w:szCs w:val="20"/>
          <w:color w:val="auto"/>
        </w:rPr>
      </w:pPr>
    </w:p>
    <w:p>
      <w:pPr>
        <w:ind w:left="1300" w:right="1320"/>
        <w:spacing w:after="0" w:line="254" w:lineRule="auto"/>
        <w:rPr>
          <w:sz w:val="20"/>
          <w:szCs w:val="20"/>
          <w:color w:val="auto"/>
        </w:rPr>
      </w:pPr>
      <w:r>
        <w:rPr>
          <w:rFonts w:ascii="Times New Roman" w:cs="Times New Roman" w:eastAsia="Times New Roman" w:hAnsi="Times New Roman"/>
          <w:sz w:val="18"/>
          <w:szCs w:val="18"/>
          <w:color w:val="auto"/>
        </w:rPr>
        <w:t>Whether or not you attend the Annual Meeting online, it is important that your shares be represented and voted at the Annual Meeting. Therefore, we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3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137160</wp:posOffset>
            </wp:positionV>
            <wp:extent cx="89979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9795" cy="643255"/>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360045</wp:posOffset>
            </wp:positionV>
            <wp:extent cx="874395" cy="419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43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5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r>
      <w:tr>
        <w:trPr>
          <w:trHeight w:val="324"/>
        </w:trPr>
        <w:tc>
          <w:tcPr>
            <w:tcW w:w="5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Clinton P. Jones</w:t>
            </w:r>
          </w:p>
        </w:tc>
        <w:tc>
          <w:tcPr>
            <w:tcW w:w="5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Brandon M. Cruz</w:t>
            </w:r>
          </w:p>
        </w:tc>
      </w:tr>
      <w:tr>
        <w:trPr>
          <w:trHeight w:val="324"/>
        </w:trPr>
        <w:tc>
          <w:tcPr>
            <w:tcW w:w="5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Co-Chairman of the Board of Directors</w:t>
            </w:r>
          </w:p>
        </w:tc>
        <w:tc>
          <w:tcPr>
            <w:tcW w:w="5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Co-Chairman of the Board of Directors</w:t>
            </w:r>
          </w:p>
        </w:tc>
      </w:tr>
      <w:tr>
        <w:trPr>
          <w:trHeight w:val="236"/>
        </w:trPr>
        <w:tc>
          <w:tcPr>
            <w:tcW w:w="520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3" w:name="page4"/>
    <w:bookmarkEnd w:id="3"/>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2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7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NOTICE OF ANNUAL MEETING OF STOCKHOLDERS</w:t>
            </w:r>
          </w:p>
        </w:tc>
        <w:tc>
          <w:tcPr>
            <w:tcW w:w="60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ii</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PROXY STATEMENT INTRODUCTION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PROPOSALS TO BE VOTED ON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 Accounting Firm</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Proposal 3: Advisory Vote to Approve the Compensation of the Company’s Named Executive Officers.</w:t>
            </w: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0000EE"/>
                <w:w w:val="99"/>
              </w:rPr>
              <w:t>10</w:t>
            </w:r>
          </w:p>
        </w:tc>
      </w:tr>
      <w:tr>
        <w:trPr>
          <w:trHeight w:val="75"/>
        </w:trPr>
        <w:tc>
          <w:tcPr>
            <w:tcW w:w="180" w:type="dxa"/>
            <w:vAlign w:val="bottom"/>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EXECUTIVE OFFICERS</w:t>
            </w:r>
          </w:p>
        </w:tc>
        <w:tc>
          <w:tcPr>
            <w:tcW w:w="7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CORPORATE GOVERNANCE</w:t>
            </w: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0000EE"/>
                <w:w w:val="99"/>
              </w:rPr>
              <w:t>12</w:t>
            </w:r>
          </w:p>
        </w:tc>
      </w:tr>
      <w:tr>
        <w:trPr>
          <w:trHeight w:val="74"/>
        </w:trPr>
        <w:tc>
          <w:tcPr>
            <w:tcW w:w="1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COMMITTEES OF THE BOARD</w:t>
            </w:r>
          </w:p>
        </w:tc>
        <w:tc>
          <w:tcPr>
            <w:tcW w:w="80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0000EE"/>
                <w:w w:val="99"/>
              </w:rPr>
              <w:t>18</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EXECUTIVE COMPENSATION OVERVIEW</w:t>
            </w: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0000EE"/>
                <w:w w:val="99"/>
              </w:rPr>
              <w:t>20</w:t>
            </w:r>
          </w:p>
        </w:tc>
      </w:tr>
      <w:tr>
        <w:trPr>
          <w:trHeight w:val="75"/>
        </w:trPr>
        <w:tc>
          <w:tcPr>
            <w:tcW w:w="1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COMPENSATION TABLES</w:t>
            </w:r>
          </w:p>
        </w:tc>
        <w:tc>
          <w:tcPr>
            <w:tcW w:w="80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0000EE"/>
                <w:w w:val="99"/>
              </w:rPr>
              <w:t>23</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0000EE"/>
                <w:w w:val="99"/>
              </w:rPr>
              <w:t>32</w:t>
            </w:r>
          </w:p>
        </w:tc>
      </w:tr>
      <w:tr>
        <w:trPr>
          <w:trHeight w:val="74"/>
        </w:trPr>
        <w:tc>
          <w:tcPr>
            <w:tcW w:w="1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CERTAIN RELATIONSHIPS AND RELATED PERSON TRANSACTIONS</w:t>
            </w:r>
          </w:p>
        </w:tc>
        <w:tc>
          <w:tcPr>
            <w:tcW w:w="80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0000EE"/>
                <w:w w:val="99"/>
              </w:rPr>
              <w:t>35</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INFORMATION ABOUT THIS PROXY STATEMENT</w:t>
            </w: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0000EE"/>
                <w:w w:val="99"/>
              </w:rPr>
              <w:t>42</w:t>
            </w:r>
          </w:p>
        </w:tc>
      </w:tr>
      <w:tr>
        <w:trPr>
          <w:trHeight w:val="75"/>
        </w:trPr>
        <w:tc>
          <w:tcPr>
            <w:tcW w:w="1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QUESTIONS AND ANSWERS ABOUT THE 2024 ANNUAL MEETING OF STOCKHOLDERS</w:t>
            </w:r>
          </w:p>
        </w:tc>
        <w:tc>
          <w:tcPr>
            <w:tcW w:w="80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0000EE"/>
                <w:w w:val="99"/>
              </w:rPr>
              <w:t>43</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w w:val="96"/>
              </w:rPr>
              <w:t>CERTAIN DEFINITIONS</w:t>
            </w:r>
          </w:p>
        </w:tc>
        <w:tc>
          <w:tcPr>
            <w:tcW w:w="5580" w:type="dxa"/>
            <w:vAlign w:val="bottom"/>
            <w:gridSpan w:val="13"/>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48</w:t>
            </w:r>
          </w:p>
        </w:tc>
      </w:tr>
      <w:tr>
        <w:trPr>
          <w:trHeight w:val="20"/>
        </w:trPr>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93345</wp:posOffset>
            </wp:positionV>
            <wp:extent cx="243459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222 West Merchandise Mart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1750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Wednesday, June 12, 2024</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 a.m. Eastern Daylight Time (9:00 a.m. Central Daylight Time)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Virtual Meeting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www.virtualshareholdermeeting.com/GOCO2024</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Items of Business:</w:t>
      </w:r>
    </w:p>
    <w:p>
      <w:pPr>
        <w:spacing w:after="0" w:line="117"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Alexander Timm, David Fisher, and Vijay Kotte as Class I Directors to serve until the</w:t>
      </w:r>
    </w:p>
    <w:p>
      <w:pPr>
        <w:spacing w:after="0" w:line="27" w:lineRule="exact"/>
        <w:rPr>
          <w:rFonts w:ascii="Times New Roman" w:cs="Times New Roman" w:eastAsia="Times New Roman" w:hAnsi="Times New Roman"/>
          <w:sz w:val="18"/>
          <w:szCs w:val="18"/>
          <w:color w:val="auto"/>
        </w:rPr>
      </w:pPr>
    </w:p>
    <w:p>
      <w:pPr>
        <w:ind w:left="1000" w:right="5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Annual Meeting of Stockholders, and until their respective successors shall have been duly elected and qualified;</w:t>
      </w:r>
    </w:p>
    <w:p>
      <w:pPr>
        <w:spacing w:after="0" w:line="7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2024;</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vote to approve the compensation of the Company’s Named Executive Officers (“Say-on-Pay Vote”);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Record Date: Only stockholders of record at the close of business on April 19, 2024 will be entitled to receive notice and to vote at the meeting.</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Your vote is important to us. Please execute your proxy promptly.</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222885</wp:posOffset>
            </wp:positionV>
            <wp:extent cx="105410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410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Brad Burd</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26, 2024</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222 West Merchandise Mart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1750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INTRODUCTION</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of GoHealth, Inc. of proxies to be voted at our Annual Meeting of Stockholders to be held on Wednesday, June 12, 2024 (the “Annual Meeting”), at 10:00 a.m. Eastern Daylight Time (9:00 a.m. Central Daylight Time), and at any continuation, postponement, or adjournment thereof. The Annual Meeting will be a completely virtual meeting conducted via live webcast. You will be able to attend the Annual Meeting online and submit your questions during the Annual Meeting by visiting </w:t>
      </w:r>
      <w:r>
        <w:rPr>
          <w:rFonts w:ascii="Times New Roman" w:cs="Times New Roman" w:eastAsia="Times New Roman" w:hAnsi="Times New Roman"/>
          <w:sz w:val="18"/>
          <w:szCs w:val="18"/>
          <w:i w:val="1"/>
          <w:iCs w:val="1"/>
          <w:color w:val="auto"/>
        </w:rPr>
        <w:t>www.virtualshareholdermeeting.com/GOCO2024</w:t>
      </w:r>
      <w:r>
        <w:rPr>
          <w:rFonts w:ascii="Times New Roman" w:cs="Times New Roman" w:eastAsia="Times New Roman" w:hAnsi="Times New Roman"/>
          <w:sz w:val="18"/>
          <w:szCs w:val="18"/>
          <w:color w:val="auto"/>
        </w:rPr>
        <w:t xml:space="preserve"> and entering your 16-digit control number included in your Notice of Internet Availability of Proxy Materials, on your proxy card or on the instructions that accompanied your proxy materials.</w:t>
      </w:r>
    </w:p>
    <w:p>
      <w:pPr>
        <w:spacing w:after="0" w:line="84"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Holders of record of outstanding shares of capital stock, subject to the GoHealth Holdings, LLC Agreement, comprised of shares of our Series A Convertible Perpetual Preferred Stock (“Series A Preferred Stock”), Class A common stock, $0.0001 par value per share, and our Class B common stock, $0.0001 par value per share (together, our “common stock”), as of the close of business on April 19, 2024 (the “Record Date”), will be entitled to notice of and to vote at the Annual Meeting and any continuation, postponement, or adjournment thereof, and will vote together as a single class on all matters presented at the Annual Meeting. As of the Record Date, there were 50,000 shares of Series A Preferred Stock, 9,944,564 shares of Class A common stock and 12,781,694 shares of Class B common stock outstanding and entitled to vote at the Annual Meeting. Holders of the Series A Preferred Stock vote as a single class with the holders of Class A common stock (and any other classes as applicable) based upon the number of Class A common stock shares that would be granted upon conversion as of the Record Date and subject to the voting cap noted below. As of the Record Date, the Series A Preferred Stock were convertible into 5,421,745 shares of Class A common stock; however, the voting interests of the two holders of Series A Preferred Stock is capped at 9.99% and 4.999% pursuant to the Certificate of Designation. Each share of Class A common stock and Class B common stock, subject to the GoHealth Holdings, LLC Agreement, is entitled to one vote on any matter presented to stockholders at the Annual Meeting.</w:t>
      </w:r>
    </w:p>
    <w:p>
      <w:pPr>
        <w:spacing w:after="0" w:line="88"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to Stockholders for the year ended December 31, 2023 (the “2023 Annual Report”) will be released on or about April 26, 2024 to our stockholders on the Record Date.</w:t>
      </w:r>
    </w:p>
    <w:p>
      <w:pPr>
        <w:spacing w:after="0" w:line="50" w:lineRule="exact"/>
        <w:rPr>
          <w:sz w:val="20"/>
          <w:szCs w:val="20"/>
          <w:color w:val="auto"/>
        </w:rPr>
      </w:pPr>
    </w:p>
    <w:p>
      <w:pPr>
        <w:ind w:left="300" w:right="99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WEDNESDAY, JUNE 12, 2024</w:t>
      </w:r>
    </w:p>
    <w:p>
      <w:pPr>
        <w:spacing w:after="0" w:line="47" w:lineRule="exact"/>
        <w:rPr>
          <w:sz w:val="20"/>
          <w:szCs w:val="20"/>
          <w:color w:val="auto"/>
        </w:rPr>
      </w:pPr>
    </w:p>
    <w:p>
      <w:pPr>
        <w:ind w:left="300" w:right="2339"/>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and our 2023 Annual Report to Stockholders are available at http://www.proxyvote.com/</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Alexander Timm, David Fisher, and Vijay Kotte as Class I Directors to serve until the</w:t>
      </w:r>
    </w:p>
    <w:p>
      <w:pPr>
        <w:spacing w:after="0" w:line="27" w:lineRule="exact"/>
        <w:rPr>
          <w:rFonts w:ascii="Times New Roman" w:cs="Times New Roman" w:eastAsia="Times New Roman" w:hAnsi="Times New Roman"/>
          <w:sz w:val="18"/>
          <w:szCs w:val="18"/>
          <w:color w:val="auto"/>
        </w:rPr>
      </w:pPr>
    </w:p>
    <w:p>
      <w:pPr>
        <w:ind w:left="1000" w:right="5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Annual Meeting of Stockholders, and until their respective successors shall have been duly elected and qualified;</w:t>
      </w:r>
    </w:p>
    <w:p>
      <w:pPr>
        <w:spacing w:after="0" w:line="7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2024;</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vote to approve the compensation of the Company’s Named Executive Officers (“Say-on-Pay Vote”);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117"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(the “Board of Directors” or the “Board”) recommends that you vote your shares as indicated below. If you return a properly completed proxy card, or vote your shares by telephone or via the Internet, your shares of common stock will be voted on your behalf as you direct. If not otherwise specified, the shares of common stock represented by the proxies will be voted, and the Board of Directors recommends that you vote:</w:t>
      </w:r>
    </w:p>
    <w:p>
      <w:pPr>
        <w:spacing w:after="0" w:line="75"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Alexander Timm, David Fisher, and Vijay Kotte;</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2024;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the compensation of our Named Executive Officers.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93345</wp:posOffset>
            </wp:positionV>
            <wp:extent cx="243459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We currently have nine (9) directors on our Board. The Board has nominated three (3) Class I Directors, Alexander Timm, David Fisher, and Vijay Kotte, to be elected to the Board at the Annual Meeting. If elected by our stockholders, each nominee will serve a three-year term expiring at the Annual Meeting of Stockholders to be held in 2027. Each director will hold office until such director’s respective successor is elected and qualified or until each such director’s earlier death, resignation or removal.</w:t>
      </w:r>
    </w:p>
    <w:p>
      <w:pPr>
        <w:spacing w:after="0" w:line="75"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will expire at the Annual Meeting and whose subsequent term will expire at the 2027 Annual Meeting; Class II, whose term currently expires at the 2025 Annual Meeting; and Class III, whose term currently expires at the 2026 Annual Meeting. The current Class I Directors are Alexander Timm, David Fisher and Vijay Kotte; the current Class II Directors are Brandon M. Cruz, Joseph G. Flanagan and Christopher C. Litchford; and the current Class III Directors are Clinton P. Jones, Jeremy W. Gelber and Dr. Karoline H. Hilu.</w:t>
      </w:r>
    </w:p>
    <w:p>
      <w:pPr>
        <w:spacing w:after="0" w:line="80"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authorized number of directors may be changed from time to time by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8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 connection with the IPO of our Class A common stock in July 2020, we entered into a Stockholders Agreement between the Company and certain stockholders of the Company, including Centerbridge and NVX Holdings. As a result of the Stockholders Agreement and the aggregate voting power of the parties to the Agreement, we expect that the parties to the Agreement acting in conjunction will control the election of directors at GoHealth. For more information, see “Corporate Governance-Stockholders Agreement.”</w:t>
      </w:r>
    </w:p>
    <w:p>
      <w:pPr>
        <w:spacing w:after="0" w:line="75"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 Directors of the persons whose names and biographies appear below. In the event that any of Mr. Timm, Mr. Fisher, and Mr. Kotte should become unable to serve, or for good cause will not serve, as a director, it is intended that votes will be cast for a substitute nominee designated by the Board of Directors, or the Board may elect to reduce its size. The Board of Directors has no reason to believe that any of Mr. Timm, Mr. Fisher, and Mr. Kotte will be unable to serve if elected. Each of Mr. Timm, Mr. Fisher, and Mr. Kotte has consented to being named in this Proxy Statement and to serve if elected.</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nominees receiving the highest number of affirmative “FOR” votes will be elected as Class I Directors.</w:t>
      </w:r>
    </w:p>
    <w:p>
      <w:pPr>
        <w:spacing w:after="0" w:line="5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are not considered to be votes cast and, accordingly, will have no effect on the outcome of the vote on this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73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election of each of the below Class I Director nominees.</w:t>
      </w:r>
    </w:p>
    <w:p>
      <w:pPr>
        <w:spacing w:after="0" w:line="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Nominees For Class I Directors (terms to expire at the 2027 Annual Meeting)</w:t>
      </w:r>
    </w:p>
    <w:p>
      <w:pPr>
        <w:spacing w:after="0" w:line="11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current members of the Board of Directors who are also nominees for election to the Board of Directors as Class I Directors are as follows: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50"/>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Timm</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Fisher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27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23"/>
                <w:szCs w:val="23"/>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-633730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-633730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of each Class I Director nominee for election at the Annual Meeting are as follows: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Alexander Timm</w:t>
      </w:r>
    </w:p>
    <w:p>
      <w:pPr>
        <w:spacing w:after="0" w:line="11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Alexander Timm has served as a member of GoHealth, Inc.’s Board of Directors since 2020 and as a member of GoHealth Holdings, LLC’s board of managers since 2020. Since 2015, Mr. Timm has served as the Chief Executive Officer and a member of the Board of Directors of Root, Inc. (Nasdaq: ROOT), an insurance company, which he co-founded that same year. Additionally, from 2011 to 2015, Mr. Timm worked at Nationwide Insurance as a senior consultant in corporate strategy. Mr. Timm holds a Bachelor of Science degree in Business Administration and a Bachelor of Arts degree in Actuarial Studies, Accounting and Mathematics from Drake University. We believe Mr. Timm is qualified to serve on GoHealth, Inc.’s Board of Directors due to his extensive insurance industry experience, as well as his success in the entrepreneurial, technology, and data science industries.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David Fisher</w:t>
      </w:r>
    </w:p>
    <w:p>
      <w:pPr>
        <w:spacing w:after="0" w:line="119"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7"/>
          <w:szCs w:val="17"/>
          <w:color w:val="auto"/>
        </w:rPr>
        <w:t>David Fisher has served as a member of GoHealth, Inc.’s Board of Directors since 2022. Since January 2013, Mr. Fisher has served as Chief Executive Officer and President, and since November 2014 as Chairman of the Board of Directors, of Enova International, Inc. (NYSE: ENVA) (“Enova”), a leading technology and analytics company focused on online financial services. Prior to joining Enova, Mr. Fisher served as the Chief Executive Officer and member of the Board of Directors of optionsXpress Holdings, Inc. (“optionsXpress”), during which time he spearheaded the company’s sale to Charles Schwab Corporation. Before joining optionsXpress, he held Chief Financial Officer positions at Potbelly Sandwich Works and Prism Financial Corporation. Mr. Fisher also currently serves as a director of FRISS, a global provider of fraud and risk solutions for property and casualty insurers, since 2019 and Fathom Digital Manufacturing Corp. (NYSE: FATH), a provider of dynamic advanced manufacturing services, since 2021. He formerly served as a director of GrubHub Inc., a leading online and mobile food-ordering company, from 2012 to 2021, Just Eat Takeaway.com, an online food ordering and delivery company, from 2021 to 2022 and Innerworkings, Inc., a global print management firm, from 2012 to 2019. Mr. Fisher holds a Bachelor of Science degree in finance with high honors from the University of Illinois at Urbana-Champaign and a juris doctor, Magna Cum Laude, from the Northwestern University School of Law. Mr. Fisher’s extensive experience and leadership experience with large companies, along with his vast knowledge and experience in financial matters, make him well qualified to serve as a director and as Chair of the Audit Committee.</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Vijay Kotte</w:t>
      </w:r>
    </w:p>
    <w:p>
      <w:pPr>
        <w:spacing w:after="0" w:line="11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Vijay Kotte joined GoHealth, Inc. as Chief Executive Officer in 2022. Mr. Kotte brings more than two decades of experience developing and transforming innovative healthcare models and Medicare-focused platforms at public and private ventures. Prior to GoHealth, Mr. Kotte served as Chief Solutions Officer and Executive Vice President, Strategy and Corporate Development at R1 RCM Inc. (“R1”) (Nasdaq: RCM), a healthcare revenue cycle management company, from 2019 to 2022. In this role, he was responsible for R1’s physician-focused operations, including growth, product development, and strategic initiatives. Prior to R1, Mr. Kotte was the Chief Value Officer for DaVita Medical Group, one of the nation’s leading independent medical groups that operates medical clinics providing primary and specialist care, from 2014 to 2019 and, prior to that, Mr. Kotte served in various financial and operational roles with various entities in the healthcare industry. Mr. Kotte holds 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Bachelor’s degree in Business Administration with a focus on Finance and Organizational Management from Emory University and an MBA from the Kellogg School of Management, Northwestern University. Mr. Kotte’s experience in innovative healthcare models, public company financial operations, strategy and leadership make him well qualified to serve as a director of GoHealth.</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(terms to expire at the 2025 Annual Meeting)</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Class II Directors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51"/>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Co-Chairman of the Board of Directors</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G. Flanagan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27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Litchford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23"/>
                <w:szCs w:val="23"/>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-633730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-633730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are as follows: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Brandon M. Cruz</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Brandon M. Cruz is the Co-Founder of GoHealth, Inc. and Co-Chairman of GoHealth, Inc.’s Board of Directors. He served as GoHealth, Inc.’s Chief Strategy Officer and Special Advisor to the Executive Team from 2020 to 2022. Prior to this role, he served as President of GoHealth, Inc. since its founding in 2001 until 2020. He has also been a member of GoHealth, Inc.’s Board of Directors since 2020, as well as serving on the board of managers of GoHealth, Inc.’s predecessor since its founding. He has also served as a member of GoHealth Holdings, LLC’s board of managers since 2019. He serves on the board of HealthJoy, LLC, a private health tech company. Mr. Cruz holds a Bachelor of Science degree in Management Information Systems from Miami University and is a member of the Miami University Business Advisory Council. We believe Mr. Cruz is qualified to serve on GoHealth, Inc.’s Board of Directors due to his extensive experience in the insurance industry and his knowledge of our business, gained through his services as our co-founder and Chief Strategy Officer and Special Advisor to the Executive Team.</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Joseph G. Flanagan</w:t>
      </w:r>
    </w:p>
    <w:p>
      <w:pPr>
        <w:spacing w:after="0" w:line="119" w:lineRule="exact"/>
        <w:rPr>
          <w:sz w:val="20"/>
          <w:szCs w:val="20"/>
          <w:color w:val="auto"/>
        </w:rPr>
      </w:pP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Joseph G. Flanagan has served as a member of GoHealth, Inc.’s Board of Directors since 2020 and as a member of GoHealth Holdings, LLC’s board of managers since 2020. Since May 2016, Mr. Flanagan has also served as a director at R1 RCM Inc. (Nasdaq: RCM), a healthcare revenue cycle management company, and served as Executive Advisor to the Chief Executive Officer from January 2023 to June 2023, before which he served as President from May 2016 to June 2021 and as Chief Executive Officer from May 2016 to January 2023. Mr. Flanagan joined R1 as Chief Operating Officer in April 2013 after serving as Senior Vice President of worldwide operations and supply chain at Applied Materials, Inc., a supplier of equipment, services, and software for the manufacture of semiconductor chips for electronics, from 2010 to 2013, and as President of Nortel Business Services for Nortel Networks from 2009 to 2010. From 1993 to 2006, Mr. Flanagan worked for General Electric Company, holding leadership positions in many divisions. Mr. Flanagan holds a Bachelor of Science degree in Engineering from the United States Merchant Marine Academy. We believe Mr. Flanagan is qualified to serve on GoHealth, Inc.’s Board of Directors due to his in-depth knowledge of the healthcare industry as well as his leadership and operational expertise.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Christopher C. Litchford</w:t>
      </w:r>
    </w:p>
    <w:p>
      <w:pPr>
        <w:spacing w:after="0" w:line="11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Christopher C. Litchford has served as a member of GoHealth, Inc.’s Board of Directors since 2022. Mr. Litchford has been a Managing Director of Centerbridge since 2018 where he focuses on investments in the technology sector. Prior to joining Centerbridge, Mr. Litchford was a principal in the Tech &amp; Telecom Group at Court Square Capital Partners, a private equity fund, from 2010 to 2018. Prior to joining Court Square, Mr. Litchford was an Investment Banking Analyst with Morgan Stanley. Mr. Litchford holds a Bachelor of Science degree from the University of North Carolina, Chapel Hill. Mr. Litchford is qualified to serve as a director of GoHealth due to his extensive knowledge in the technology space, broad financial expertise and years of leadership experience.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(terms to expire at the 2026 Annual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Class III Directors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50"/>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Co-Chairman of the Board of Directors</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W. Gelber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27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Karoline H. Hilu, M.D.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shd w:val="clear" w:color="auto" w:fill="CCEEFF"/>
          </w:tcPr>
          <w:p>
            <w:pPr>
              <w:spacing w:after="0"/>
              <w:rPr>
                <w:sz w:val="23"/>
                <w:szCs w:val="23"/>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-633730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-633730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of each Class III Director nominee for election at the Annual Meeting are as follows: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Clinton P. Jones</w:t>
      </w:r>
    </w:p>
    <w:p>
      <w:pPr>
        <w:spacing w:after="0" w:line="11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Clinton P. Jones is the Co-Founder of GoHealth, Inc. and Co-Chairman of GoHealth, Inc.’s Board of Directors. He served as GoHealth, Inc.’s Chief Executive Officer since GoHealth, Inc.’s founding in 2001 until 2022. He has also been a member of GoHealth, Inc.’s Board of Directors since 2020, as well as serving on the board of managers of GoHealth, Inc.’s predecessor since its founding in 2001. He has also served as a member of GoHealth Holdings, LLC’s board of managers since 2019. He also serves as a member of the board of directors of Bridge Legal. From June 2000 to January 2001, Mr. Jones served as Intranet Market Manager for Holt Value, a former division of Credit Suisse Group AG. Mr. Jones holds Bachelor of Science degrees in both Marketing and Management Information Systems from Miami University. We believe Mr. Jones is qualified to serve on GoHealth, Inc.’s Board of Directors due to his extensive experience in the insurance industry and his knowledge of our business, gained through his services as our co-founder and Chief Executive Officer.</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Jeremy W. Gelber</w:t>
      </w:r>
    </w:p>
    <w:p>
      <w:pPr>
        <w:spacing w:after="0" w:line="11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Jeremy W. Gelber has served as a member of GoHealth, Inc.’s Board of Directors since 2020 and as a member of GoHealth Holdings, LLC’s board of managers since 2019. Mr. Gelber has been a Senior Managing Director of Centerbridge since 2018, where he focuses on investments in the healthcare sector, and has also served as a member of the boards of directors of American Renal Associates Holdings, Inc., a provider of dialysis and kidney care, from 2020 to 2021, Civitas Solutions Inc., a provider of home- and community-based health and human services, since 2019 and Remedi SeniorCare Holding Corporation, a leading pharmacy innovator servicing long-term care facilities, since 2019. Prior to joining Centerbridge, Mr. Gelber was a Partner at Pamplona Capital, a private equity firm, from 2013 to 2018, and also served as Executive Director in the Healthcare Investment Banking Division at Morgan Stanley from 2006 until 2013. Mr. Gelber holds a Bachelor of Science degree from Dartmouth College and a Doctor of Medicine degree from Jefferson Medical College. We believe Mr. Gelber is qualified to serve on GoHealth, Inc.’s Board of Directors due to his knowledge of the healthcare industry, broad financial expertise and many years of leadership experience.</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Dr. Karoline H. Hilu</w:t>
      </w:r>
    </w:p>
    <w:p>
      <w:pPr>
        <w:spacing w:after="0" w:line="11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Dr. Karoline H. Hilu has served as a member of GoHealth, Inc.’s Board of Directors since 2023. Dr. Hilu currently serves as an independent director and advisor to several high-growth public and private health tech companies, including HealthJoy, LLC, a private health tech company, since 2021. She was the founding Chief Executive Officer of Emsana Health, Inc., a value-based purchasing start-up, in 2020 as well as Chief Strategy Officer of Crossover Health, a pioneer in the tech-enabled direct primary care industry from 2015 to 2020. She started her career in corporate strategy at The Advisory Board Company and in healthcare investing at HLM Venture Partners and Merrill Lynch. Dr. Hilu earned a bachelor’s degree from Harvard University and an MD and an MBA in Finance and Accounting from the University of Chicago. Dr. Hilu’s extensive experience in both strategy and the healthcare field, specifically in growth and technology areas, along with her leadership experiences make her well-positioned to serve as a director.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Our Audit Committee has appointed Ernst &amp; Young LLP as our independent registered public accounting firm for the fiscal year ending December 31, 2024. Our Board has directed that this appointment be submitted to our stockholders for ratification at the Annual Meeting. Although ratification of our appointment of Ernst &amp; Young LLP is not required, we value the opinions of our stockholders and believe that stockholder ratification of our appointment is a good corporate governance practice.</w:t>
      </w:r>
    </w:p>
    <w:p>
      <w:pPr>
        <w:spacing w:after="0" w:line="75"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2023.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2024 Annual Meeting and to have an opportunity to make a statement and be available to respond to appropriate questions from stockholders.</w:t>
      </w:r>
    </w:p>
    <w:p>
      <w:pPr>
        <w:spacing w:after="0" w:line="7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In the event that the appointment of Ernst &amp; Young LLP is not ratified by the stockholders, the Audit Committee will consider this fact when it appoints the independent registered public accounting firm for the fiscal year ending December 31, 2024. Even if the appointment of Ernst &amp; Young LLP is ratified, the Audit Committee retains the discretion to appoint a different independent registered public accounting firm at any time if it determines that such a change is in the best interest of the Company.</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of the votes cast.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68" w:lineRule="exact"/>
        <w:rPr>
          <w:sz w:val="20"/>
          <w:szCs w:val="20"/>
          <w:color w:val="auto"/>
        </w:rPr>
      </w:pPr>
    </w:p>
    <w:p>
      <w:pPr>
        <w:jc w:val="both"/>
        <w:ind w:left="300" w:right="339"/>
        <w:spacing w:after="0" w:line="268" w:lineRule="auto"/>
        <w:rPr>
          <w:sz w:val="20"/>
          <w:szCs w:val="20"/>
          <w:color w:val="auto"/>
        </w:rPr>
      </w:pPr>
      <w:r>
        <w:rPr>
          <w:rFonts w:ascii="Times New Roman" w:cs="Times New Roman" w:eastAsia="Times New Roman" w:hAnsi="Times New Roman"/>
          <w:sz w:val="18"/>
          <w:szCs w:val="18"/>
          <w:b w:val="1"/>
          <w:bCs w:val="1"/>
          <w:color w:val="auto"/>
        </w:rPr>
        <w:t>The Audit Committee and the Board of Directors unanimously recommend a vote “FOR” the Ratification of the Appointment of Ernst &amp; Young LLP as our Independent Registered Public Accounting Firm for the fiscal year ending December 31, 2024.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the audited consolidated financial statements of the Company for the fiscal year ended December 31, 2023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 and pursuant to applicable U.S. Securities and Exchange Commission (“SEC”) regulations.</w:t>
      </w:r>
    </w:p>
    <w:p>
      <w:pPr>
        <w:spacing w:after="0" w:line="8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81"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2023.</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Fisher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Karoline H. Hilu, M.D.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Alexander Timm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and other services: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0"/>
        </w:trPr>
        <w:tc>
          <w:tcPr>
            <w:tcW w:w="62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r>
      <w:tr>
        <w:trPr>
          <w:trHeight w:val="311"/>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1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$3,591,285</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$3,265,285</w:t>
            </w:r>
          </w:p>
        </w:tc>
      </w:tr>
      <w:tr>
        <w:trPr>
          <w:trHeight w:val="27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30,550</w:t>
            </w:r>
          </w:p>
        </w:tc>
      </w:tr>
      <w:tr>
        <w:trPr>
          <w:trHeight w:val="54"/>
        </w:trPr>
        <w:tc>
          <w:tcPr>
            <w:tcW w:w="6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438,310</w:t>
            </w: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501,899</w:t>
            </w:r>
          </w:p>
        </w:tc>
      </w:tr>
      <w:tr>
        <w:trPr>
          <w:trHeight w:val="27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r>
      <w:tr>
        <w:trPr>
          <w:trHeight w:val="27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1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$4,060,595</w:t>
            </w:r>
          </w:p>
        </w:tc>
        <w:tc>
          <w:tcPr>
            <w:tcW w:w="2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$3,797,734</w:t>
            </w:r>
          </w:p>
        </w:tc>
      </w:tr>
      <w:tr>
        <w:trPr>
          <w:trHeight w:val="54"/>
        </w:trPr>
        <w:tc>
          <w:tcPr>
            <w:tcW w:w="62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-1045210</wp:posOffset>
            </wp:positionV>
            <wp:extent cx="154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-1045210</wp:posOffset>
            </wp:positionV>
            <wp:extent cx="1714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Audit fees consist of all professional services rendered in connection with (a) the audit of our annual consolidated financial statements, (b) the reviews of our quarterly consolidated financial statements, and (c) consents and review of other documents filed with the SEC.</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48"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Audit-related fees consist of professional services rendered in connection with the audit of our 401(k) retirement plan.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 fees consist of tax compliance preparation services.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other fees consist of services not captured in the audit or audit-related categories.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that sets forth the procedures and conditions pursuant to which audit and non-audit services proposed to be performed by the independent registered public accounting firm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registered public accounting firm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 periodic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color w:val="auto"/>
        </w:rPr>
        <w:t>Proposal 3: Advisory Vote to Approve the Compensation of the Company’s Named Executive Officers (“Say-on-Pay Vote”)</w:t>
      </w:r>
    </w:p>
    <w:p>
      <w:pPr>
        <w:spacing w:after="0" w:line="51"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Pursuant to Section 14A of the Securities Exchange Act of 1934, as amended, or the Exchange Act, we are providing our stockholders an opportunity to cast an advisory vote to approve of the compensation of our “named executive officers” (or “NEOs”), as disclosed in this Proxy Statement.</w:t>
      </w:r>
    </w:p>
    <w:p>
      <w:pPr>
        <w:spacing w:after="0" w:line="68"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As described in detail under the heading “Executive Compensation” in this Proxy Statement, our executive compensation programs are designed to align compensation to business strategy and outcomes that deliver value to stockholders; reward high-performing individuals; and assure compensation is competitive in the relevant employment marketplace to support the attraction, motivation and retention of executive talent. Please read the compensation tables and the related narrative disclosure contained in this Proxy Statement for additional details about our executive compensation programs, including information about the fiscal year 2023 compensation of our NEOs.</w:t>
      </w:r>
    </w:p>
    <w:p>
      <w:pPr>
        <w:spacing w:after="0" w:line="81"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type of compensation, but rather the overall compensation of our NEOs and policies and practices described in this Proxy Statement. Accordingly, our Board of Directors recommends that our stockholders vote “FOR” the following resolution:</w:t>
      </w:r>
    </w:p>
    <w:p>
      <w:pPr>
        <w:spacing w:after="0" w:line="79" w:lineRule="exact"/>
        <w:rPr>
          <w:sz w:val="20"/>
          <w:szCs w:val="20"/>
          <w:color w:val="auto"/>
        </w:rPr>
      </w:pPr>
    </w:p>
    <w:p>
      <w:pPr>
        <w:ind w:left="660" w:right="37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tables and narrative discussion that accompanies the compensation tables, is hereby APPROVED.”</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Advisory Vote</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our Board of Directors. However, we value stockholders’ opinions, and we will consider the outcome of the Say-on-Pay Vote when determining future executive compensation programs.</w:t>
      </w:r>
    </w:p>
    <w:p>
      <w:pPr>
        <w:spacing w:after="0" w:line="64"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on an advisory basis, of the compensation of our NEOs.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7"/>
          <w:szCs w:val="17"/>
          <w:color w:val="auto"/>
        </w:rPr>
        <w:t>The following table identifies our executive officers as of April 1, 2024:</w:t>
      </w:r>
    </w:p>
    <w:p>
      <w:pPr>
        <w:spacing w:after="0" w:line="27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58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0"/>
        </w:trPr>
        <w:tc>
          <w:tcPr>
            <w:tcW w:w="1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20" w:type="dxa"/>
            <w:vAlign w:val="bottom"/>
            <w:tcBorders>
              <w:bottom w:val="single" w:sz="8" w:color="auto"/>
            </w:tcBorders>
          </w:tcPr>
          <w:p>
            <w:pPr>
              <w:spacing w:after="0"/>
              <w:rPr>
                <w:sz w:val="4"/>
                <w:szCs w:val="4"/>
                <w:color w:val="auto"/>
              </w:rPr>
            </w:pPr>
          </w:p>
        </w:tc>
      </w:tr>
      <w:tr>
        <w:trPr>
          <w:trHeight w:val="37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w:t>
            </w:r>
            <w:r>
              <w:rPr>
                <w:rFonts w:ascii="Times New Roman" w:cs="Times New Roman" w:eastAsia="Times New Roman" w:hAnsi="Times New Roman"/>
                <w:sz w:val="29"/>
                <w:szCs w:val="29"/>
                <w:color w:val="auto"/>
                <w:vertAlign w:val="superscript"/>
              </w:rPr>
              <w:t>(1)</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6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Schulz</w:t>
            </w:r>
            <w:r>
              <w:rPr>
                <w:rFonts w:ascii="Times New Roman" w:cs="Times New Roman" w:eastAsia="Times New Roman" w:hAnsi="Times New Roman"/>
                <w:sz w:val="29"/>
                <w:szCs w:val="29"/>
                <w:color w:val="auto"/>
                <w:vertAlign w:val="superscript"/>
              </w:rPr>
              <w:t>(2)</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5"/>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Hargis</w:t>
            </w:r>
            <w:r>
              <w:rPr>
                <w:rFonts w:ascii="Times New Roman" w:cs="Times New Roman" w:eastAsia="Times New Roman" w:hAnsi="Times New Roman"/>
                <w:sz w:val="29"/>
                <w:szCs w:val="29"/>
                <w:color w:val="auto"/>
                <w:vertAlign w:val="superscript"/>
              </w:rPr>
              <w:t>(3)</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5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33"/>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Burd</w:t>
            </w:r>
            <w:r>
              <w:rPr>
                <w:rFonts w:ascii="Times New Roman" w:cs="Times New Roman" w:eastAsia="Times New Roman" w:hAnsi="Times New Roman"/>
                <w:sz w:val="29"/>
                <w:szCs w:val="29"/>
                <w:color w:val="auto"/>
                <w:vertAlign w:val="superscript"/>
              </w:rPr>
              <w:t>(4)</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-986155</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-986155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biography on page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 xml:space="preserve"> of this Proxy Statement.</w:t>
      </w:r>
    </w:p>
    <w:p>
      <w:pPr>
        <w:spacing w:after="0" w:line="41" w:lineRule="exact"/>
        <w:rPr>
          <w:rFonts w:ascii="Times New Roman" w:cs="Times New Roman" w:eastAsia="Times New Roman" w:hAnsi="Times New Roman"/>
          <w:sz w:val="14"/>
          <w:szCs w:val="14"/>
          <w:color w:val="auto"/>
        </w:rPr>
      </w:pPr>
    </w:p>
    <w:p>
      <w:pPr>
        <w:ind w:left="640" w:right="359" w:hanging="348"/>
        <w:spacing w:after="0" w:line="229"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Jason Schulz has served as GoHealth’s Chief Financial Officer since 2022 and, prior to that, served as President, Pacific Northwest Region at OptumCare, a health services and innovation company, from September 2019 to September 2021. Mr. Schulz was also the Chief Financial Officer of DaVita Medical Group, one of the nation’s leading independent medical groups that operates medical clinics providing primary and specialist care, from February 2016 to December 2019, prior to its divestiture to OptumCare in 2019. He has also held Chief Financial Officer roles at NextMED, a healthcare service model company, from July 2013 to February 2015, and Mercy Health Plan, a multi-state health care system, from October 2009 to June 2013. Mr. Schulz holds a Bachelor’s degree in Business Administration from the University of Northern Colorado, has an MBA from Washington University in St. Louis, and is a Certified Management Accountant.</w:t>
      </w:r>
    </w:p>
    <w:p>
      <w:pPr>
        <w:spacing w:after="0" w:line="18" w:lineRule="exact"/>
        <w:rPr>
          <w:rFonts w:ascii="Times New Roman" w:cs="Times New Roman" w:eastAsia="Times New Roman" w:hAnsi="Times New Roman"/>
          <w:sz w:val="14"/>
          <w:szCs w:val="14"/>
          <w:color w:val="auto"/>
        </w:rPr>
      </w:pPr>
    </w:p>
    <w:p>
      <w:pPr>
        <w:ind w:left="640" w:right="319" w:hanging="348"/>
        <w:spacing w:after="0" w:line="227"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Hargis joined GoHealth in 2022 as Chief Customer Experience Officer and began his role as Chief Operating Officer in July 2023. As Chief Operating Officer, Mr. Hargis leads our efforts to deliver a best-in-class customer experience across enterprise and Medicare sales, telecare, member retention, product, compliance, and business operations. Before GoHealth, Mr. Hargis served as Chief Experience Officer at The Key, the nation’s leading senior memory and specialized care provider from 2019 to 2021. Additionally, he was the Senior Vice President of Global Customer Success and Inside Sales at NortonLifeLock (NYSE: NLOK) from 2017 to 2019, with over 50 million worldwide members and revenue of over $2.5 billion. Hargis joined NortonLifelock after serving as Senior Vice President of Member Services, Consumer Sales and Business Operations at LifeLock (NYSE: LOCK). Mr. Hargis has a track record of leading teams that improve the efficiency and effectiveness of complex global sales, operations, and customer success organizations. He started his career at GE Capital Financial Services and CareerBuilder and earned his MBA from Northwestern University, Kellogg School of Management, and BBA from Thomas More University.</w:t>
      </w:r>
    </w:p>
    <w:p>
      <w:pPr>
        <w:spacing w:after="0" w:line="16" w:lineRule="exact"/>
        <w:rPr>
          <w:rFonts w:ascii="Times New Roman" w:cs="Times New Roman" w:eastAsia="Times New Roman" w:hAnsi="Times New Roman"/>
          <w:sz w:val="14"/>
          <w:szCs w:val="14"/>
          <w:color w:val="auto"/>
        </w:rPr>
      </w:pPr>
    </w:p>
    <w:p>
      <w:pPr>
        <w:ind w:left="640" w:right="359" w:hanging="348"/>
        <w:spacing w:after="0" w:line="227"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 Burd brings more than a decade of accomplishments as a leader at GoHealth to his role as Chief Legal Officer and Corporate Secretary. In this role as Chief Legal Officer and Corporate Secretary, which he began in February 2024, Mr. Burd oversees the Company’s legal affairs, including compliance, government relations, commercial, and corporate governance matters. Mr. Burd has been with GoHealth since 2011, serving as General Counsel from 2011 to February 2024, during which he directed the legal department through the Company’s different phases, including the IPO in 2020. Mr. Burd further served as the Company’s Interim Corporate Secretary from 2019 until July 2020. His extensive experience in the healthcare industry and as an in-house leader has earned him many recognitions, and at GoHealth, he has long been valued as a trusted advisor to the management team and Board of Directors. Prior to joining GoHealth, Brad worked in the Chicago office of two national law firms and formally represented GoHealth as outside counsel. Brad graduated with a bachelor’s degree in finance from Miami University in Oxford, Ohio. He later attended the University of Cincinnati College of Law, where he earned his Juris Doctor degree.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“Governance” section under the “Documents &amp; Charters” heading on our investor relations section of our corporate website located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or by writing to our Corporate Secretary at our offices at 222 West Merchandise Mart Plaza, Suite 1750, Chicago, Illinois 60654.</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Our Board of Directors currently consists of nine members: Brandon M. Cruz, Joseph G. Flanagan, David Fisher, Jeremy W. Gelber, Karoline H. Hilu, Clinton P. Jones, Christopher Litchford, Vijay Kotte, and Alexander Timm. 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Board recognizes the value of diversity and appreciates that a diverse Board results in a more effective decision-making process. In evaluating candidates for the Board, the Board and the Nominating and Corporate Governance Committee look for many factors that can help to create a diverse group of individuals, including professional experience, skills, background, education, geography and gender, race and ethnicity.</w:t>
      </w:r>
    </w:p>
    <w:p>
      <w:pPr>
        <w:spacing w:after="0" w:line="7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directors’ diversity. The diversity information presented below is based upon voluntary self-identification responses we received from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71120</wp:posOffset>
            </wp:positionV>
            <wp:extent cx="5349240" cy="22542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Board Diversity Matrix as of April 11, 2024</w:t>
      </w:r>
    </w:p>
    <w:p>
      <w:pPr>
        <w:spacing w:after="0" w:line="60"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9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2"/>
          </w:tcPr>
          <w:p>
            <w:pPr>
              <w:jc w:val="right"/>
              <w:ind w:right="954"/>
              <w:spacing w:after="0"/>
              <w:rPr>
                <w:sz w:val="20"/>
                <w:szCs w:val="20"/>
                <w:color w:val="auto"/>
              </w:rPr>
            </w:pPr>
            <w:r>
              <w:rPr>
                <w:rFonts w:ascii="Times New Roman" w:cs="Times New Roman" w:eastAsia="Times New Roman" w:hAnsi="Times New Roman"/>
                <w:sz w:val="18"/>
                <w:szCs w:val="18"/>
                <w:color w:val="auto"/>
              </w:rPr>
              <w:t>9</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2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220" w:type="dxa"/>
            <w:vAlign w:val="bottom"/>
            <w:tcBorders>
              <w:right w:val="single" w:sz="8" w:color="auto"/>
            </w:tcBorders>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Male</w:t>
            </w:r>
          </w:p>
        </w:tc>
      </w:tr>
      <w:tr>
        <w:trPr>
          <w:trHeight w:val="50"/>
        </w:trPr>
        <w:tc>
          <w:tcPr>
            <w:tcW w:w="6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90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67"/>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2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9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r>
      <w:tr>
        <w:trPr>
          <w:trHeight w:val="118"/>
        </w:trPr>
        <w:tc>
          <w:tcPr>
            <w:tcW w:w="624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Asian</w:t>
            </w:r>
          </w:p>
        </w:tc>
        <w:tc>
          <w:tcPr>
            <w:tcW w:w="90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Hispanic or Latinx</w:t>
            </w:r>
          </w:p>
        </w:tc>
        <w:tc>
          <w:tcPr>
            <w:tcW w:w="90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White</w:t>
            </w:r>
          </w:p>
        </w:tc>
        <w:tc>
          <w:tcPr>
            <w:tcW w:w="90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right w:val="single" w:sz="8" w:color="auto"/>
            </w:tcBorders>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67"/>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LGBTQ+</w:t>
            </w:r>
          </w:p>
        </w:tc>
        <w:tc>
          <w:tcPr>
            <w:tcW w:w="900" w:type="dxa"/>
            <w:vAlign w:val="bottom"/>
          </w:tcPr>
          <w:p>
            <w:pPr>
              <w:spacing w:after="0"/>
              <w:rPr>
                <w:sz w:val="24"/>
                <w:szCs w:val="24"/>
                <w:color w:val="auto"/>
              </w:rPr>
            </w:pPr>
          </w:p>
        </w:tc>
        <w:tc>
          <w:tcPr>
            <w:tcW w:w="1280" w:type="dxa"/>
            <w:vAlign w:val="bottom"/>
            <w:gridSpan w:val="2"/>
          </w:tcPr>
          <w:p>
            <w:pPr>
              <w:jc w:val="right"/>
              <w:ind w:right="954"/>
              <w:spacing w:after="0"/>
              <w:rPr>
                <w:sz w:val="20"/>
                <w:szCs w:val="20"/>
                <w:color w:val="auto"/>
              </w:rPr>
            </w:pPr>
            <w:r>
              <w:rPr>
                <w:rFonts w:ascii="Times New Roman" w:cs="Times New Roman" w:eastAsia="Times New Roman" w:hAnsi="Times New Roman"/>
                <w:sz w:val="18"/>
                <w:szCs w:val="18"/>
                <w:color w:val="auto"/>
              </w:rPr>
              <w:t>1</w:t>
            </w:r>
          </w:p>
        </w:tc>
      </w:tr>
      <w:tr>
        <w:trPr>
          <w:trHeight w:val="68"/>
        </w:trPr>
        <w:tc>
          <w:tcPr>
            <w:tcW w:w="62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7"/>
        </w:trPr>
        <w:tc>
          <w:tcPr>
            <w:tcW w:w="6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Did not disclose race/ethnicity</w:t>
            </w:r>
          </w:p>
        </w:tc>
        <w:tc>
          <w:tcPr>
            <w:tcW w:w="900" w:type="dxa"/>
            <w:vAlign w:val="bottom"/>
          </w:tcPr>
          <w:p>
            <w:pPr>
              <w:spacing w:after="0"/>
              <w:rPr>
                <w:sz w:val="24"/>
                <w:szCs w:val="24"/>
                <w:color w:val="auto"/>
              </w:rPr>
            </w:pPr>
          </w:p>
        </w:tc>
        <w:tc>
          <w:tcPr>
            <w:tcW w:w="1280" w:type="dxa"/>
            <w:vAlign w:val="bottom"/>
            <w:gridSpan w:val="2"/>
          </w:tcPr>
          <w:p>
            <w:pPr>
              <w:jc w:val="right"/>
              <w:ind w:right="954"/>
              <w:spacing w:after="0"/>
              <w:rPr>
                <w:sz w:val="20"/>
                <w:szCs w:val="20"/>
                <w:color w:val="auto"/>
              </w:rPr>
            </w:pPr>
            <w:r>
              <w:rPr>
                <w:rFonts w:ascii="Times New Roman" w:cs="Times New Roman" w:eastAsia="Times New Roman" w:hAnsi="Times New Roman"/>
                <w:sz w:val="18"/>
                <w:szCs w:val="18"/>
                <w:color w:val="auto"/>
              </w:rPr>
              <w:t>1</w:t>
            </w:r>
          </w:p>
        </w:tc>
      </w:tr>
      <w:tr>
        <w:trPr>
          <w:trHeight w:val="54"/>
        </w:trPr>
        <w:tc>
          <w:tcPr>
            <w:tcW w:w="62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bl>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July 15, 2020, we entered into the Stockholders Agreement with Centerbridge and NVX Holdings, pursuant to which each party thereto agreed to vote, or cause to be voted, all of their outstanding shares of our Class A common stock and Class B common stock at any annual meeting of stockholders in which directors are elected, so as to cause the election of the Centerbridge Directors, Centerbridge-Designated Independent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699"/>
        <w:spacing w:after="0" w:line="266" w:lineRule="auto"/>
        <w:rPr>
          <w:sz w:val="20"/>
          <w:szCs w:val="20"/>
          <w:color w:val="auto"/>
        </w:rPr>
      </w:pPr>
      <w:r>
        <w:rPr>
          <w:rFonts w:ascii="Times New Roman" w:cs="Times New Roman" w:eastAsia="Times New Roman" w:hAnsi="Times New Roman"/>
          <w:sz w:val="18"/>
          <w:szCs w:val="18"/>
          <w:color w:val="auto"/>
        </w:rPr>
        <w:t>Founders Directors and Founders-Designated Independent Directors (each as defined below). The Stockholders Agreement provides Centerbridge and NVX Holdings with certain board designation rights for so long as they maintain a certain percentage of ownership of our outstanding Class A common stock.</w:t>
      </w:r>
    </w:p>
    <w:p>
      <w:pPr>
        <w:spacing w:after="0" w:line="68"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Pursuant to the Stockholders Agreement, Centerbridge has the right to designate for nomination by the Board in any applicable election that number of individuals, which, assuming all such individuals are successfully elected to the Board, when taken together with any incumbent Centerbridge Director not standing for election in such election, would result in there being two directors, or the “Centerbridge Directors,” who are Centerbridge Directors for as long as Centerbridge directly or indirectly, beneficially owns, in the aggregate, at least 10% of our Class A common stock. If at any time, Centerbridge directly or indirectly, beneficially owns, in the aggregate, less than 10% but at least 5% of our Class A common stock, Centerbridge has the right to designate that number of individuals, which, assuming all such individuals are successfully elected to the Board, when taken together with any incumbent Centerbridge Director not standing for election in such election, would result in there being one Centerbridge Director on the Board. In addition, Centerbridge has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two individuals who satisfy the independence requirements specified in the Stockholders Agreement, or the “Centerbridge-Designated Independent Directors,” for as long as Centerbridge directly or indirectly, beneficially owns, in the aggregate, at least 20% of our Class A common stock. If at any time Centerbridge directly or indirectly, beneficially owns, in the aggregate, less than 20% but at least 15% of our Class A common stock, Centerbridge will have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one Centerbridge-Designated Independent Director on the Board.</w:t>
      </w:r>
    </w:p>
    <w:p>
      <w:pPr>
        <w:spacing w:after="0" w:line="8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Pursuant to the Stockholders Agreement, NVX Holdings has the right to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two directors, or the “Founders Directors,” who will be the Founders Directors for as long as NVX Holdings directly or indirectly, beneficially owns, in the aggregate, 10% or more of our Class A common stock. If at any time NVX Holdings directly or indirectly, beneficially owns, in the aggregate less than 10% but at least 5% of our Class A common stock, NVX Holdings has the right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one Founder Director. In addition, NVX Holdings has the right to designate for nomination by the Board in any applicable election that number of individuals who satisfy the independence requirements specified in the Stockholders Agreement, which, assuming all such individuals are successfully elected to the Board, when taken together with any incumbent Founders-Designated Independent Director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If at any time, NVX Holdings directly or indirectly, beneficially owns, in the aggregate, less than 20% but at least 15% of our Class A common stock, NVX Holdings will have the right to designate for nomination that number of individuals, which, assuming all such individuals are successfully elected to the Board, when taken together with any incumbent Founders-Designated Independent Director not standing for election in such election, would result in there being one Founder-Designated Independent Director.</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 Exemptions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NVX Holdings, Inc., a Delaware corporation, and Centerbridge Capital Partners III, L.P., a Delaware limited partnership, certain funds affiliated with Centerbridge Capital Partners III, L.P. and other entities over which Centerbridge Capital Partners III, L.P. has voting control together have more than 50% of the combined voting power of our common stock. As a result, we are a “controlled company” within the meaning of the corporate governance standards of the listing requirements of The Nasdaq Global Market, or “Nasdaq” and have elected not to comply with certain corporate governance standards, including that: (1) we have a Nominating and Corporate Governance Committee that is composed entirely of independent directors and (2) we have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Compensation Committee that is composed entirely of independent directors. Accordingly, you may not have the same protections afforded to stockholders of companies that are subject to all of these corporate governance requirements. For so long as we remain a “controlled company.” we may continue to avail ourselves of the exemptions available to “controlled companies.” If we cease to be a “controlled company” and our shares continue to be listed on Nasdaq, we will be required to comply with these provisions within the applicable transition periods.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679"/>
        <w:spacing w:after="0" w:line="272" w:lineRule="auto"/>
        <w:rPr>
          <w:sz w:val="20"/>
          <w:szCs w:val="20"/>
          <w:color w:val="auto"/>
        </w:rPr>
      </w:pPr>
      <w:r>
        <w:rPr>
          <w:rFonts w:ascii="Times New Roman" w:cs="Times New Roman" w:eastAsia="Times New Roman" w:hAnsi="Times New Roman"/>
          <w:sz w:val="17"/>
          <w:szCs w:val="17"/>
          <w:color w:val="auto"/>
        </w:rPr>
        <w:t>Joseph Flanagan, David Fisher, Jeremy Gelber, Karoline Hilu, Christopher Litchford and Alexander Timm each qualify as “independent” in accordance with the listing requirements of Nasdaq. The Nasdaq independence definition includes a series of objective tests, including that the director is not, and has not been for at least</w:t>
      </w:r>
    </w:p>
    <w:p>
      <w:pPr>
        <w:spacing w:after="0" w:line="2"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Mr. Gelber and Mr. Litchford are affiliated with certain of our significant stockholders. Clinton Jones and Brandon Cruz are not independent as both were employed by the Company in the last three years. Vijay Kotte is not independent as he currently serves as the Company’s Chief Executive Officer. There are no family relationships among any of our executive officers or directors.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left="300" w:right="339"/>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6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Under the Stockholders Agreement, the directors designated for election to the applicable classes of the Board are (i) Mr. Gelber, Mr. Litchford, Mr. Flanagan and Mr. Timm by Centerbridge, and (ii) Mr. Cruz, Mr. Jones, Mr. Fisher and Dr. Hilu by NVX Holdings.</w:t>
      </w:r>
    </w:p>
    <w:p>
      <w:pPr>
        <w:spacing w:after="0" w:line="68"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Corporate Secretary, GoHealth, Inc., 222 West Merchandise Mart Plaza, Suite 1750, Chicago, Illinois 60654.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68"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Communications are forwarded to all directors if they relate to important substantive matters and include suggestions or comments that our Corporate Secretary and Co-Chairmen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Corporate Secretary, GoHealth, Inc., 222 West Merchandise Mart Plaza, Suite 1750, Chicago, Illinois 60654.</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 Company. Currently, the roles are separate, with Clinton Jones and Brandon Cruz serving as Co-Chairmen of the Board and Vijay Kotte serving as Chief Executive Officer. The current separation allows Mr. Kotte to focus his time and energy on operating and managing the Company and allows him to leverage the valuable experience of Mr. Jones and Mr. Cruz and their perspectives as Co-Chairmen.</w:t>
      </w:r>
    </w:p>
    <w:p>
      <w:pPr>
        <w:spacing w:after="0" w:line="8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However, our Board of Directors will continue to periodically review our leadership structure and may make such changes in the future as it deems appropriate. Our Corporate Governance Guidelines provide that whenever our Chairperson or Co-Chairmen of the Board are also members of management or are directors that do not otherwise qualify as independent directors, the independent directors may elect a lead director whose responsibilities include presiding over all meetings of the Board at which the Chairperson or Co-Chairmen are not present, including any executive sessions of the independent directors; approving meeting schedules and agendas; and acting as the liaison between the independent directors and the Chairperson or Co-Chairmen of the Board, as appropriate. The full list of responsibilities of our lead director may be found in our Corporate Governance Guidelines. Currently, because our Co-Chairmen of the Board are not independent, the independent directors have elected Joseph Flanagan as our lead director. The Board typically holds executive sessions at least four (4) times per year, which occur on the dates of regular Board meetings. A portion of each executive session is held without the presence of GoHealth’s Chief Executive Officer and Director, Mr. Kotte.</w:t>
      </w:r>
    </w:p>
    <w:p>
      <w:pPr>
        <w:spacing w:after="0" w:line="8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we face.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and cybersecurity risk exposures and the steps our management has taken to monitor and control these exposures.</w:t>
      </w:r>
    </w:p>
    <w:p>
      <w:pPr>
        <w:spacing w:after="0" w:line="7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have the potential to encourage excessive risk-taking. The Board does not believe that its role in the oversight of our risks affects the Board’s leadership structure.</w:t>
      </w:r>
    </w:p>
    <w:p>
      <w:pPr>
        <w:spacing w:after="0" w:line="75"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Both the Audit Committee and the Nominating and Corporate Governance Committee provide oversight of certain risks associated with environmental and social matters. The Audit Committee provides oversight of the Company’s compliance and corporate environmental, health and safety functions. The Nominating and Corporate Governance Committee oversees the Company’s corporate social responsibility efforts and progress.</w:t>
      </w:r>
    </w:p>
    <w:p>
      <w:pPr>
        <w:spacing w:after="0" w:line="72" w:lineRule="exact"/>
        <w:rPr>
          <w:sz w:val="20"/>
          <w:szCs w:val="20"/>
          <w:color w:val="auto"/>
        </w:rPr>
      </w:pPr>
    </w:p>
    <w:p>
      <w:pPr>
        <w:jc w:val="both"/>
        <w:ind w:left="300" w:right="299"/>
        <w:spacing w:after="0" w:line="289" w:lineRule="auto"/>
        <w:rPr>
          <w:sz w:val="20"/>
          <w:szCs w:val="20"/>
          <w:color w:val="auto"/>
        </w:rPr>
      </w:pPr>
      <w:r>
        <w:rPr>
          <w:rFonts w:ascii="Times New Roman" w:cs="Times New Roman" w:eastAsia="Times New Roman" w:hAnsi="Times New Roman"/>
          <w:sz w:val="17"/>
          <w:szCs w:val="17"/>
          <w:color w:val="auto"/>
        </w:rPr>
        <w:t>As part of the oversight of material emerging risks, GoHealth’s Chief Information Security Officer advises the Board and/or delegated committees on cybersecurity considerations and strategies. The Board and/or delegated committees are further advised on matters pertaining to artificial intelligence and the implications of the potential use thereof.</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our investor relations website,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in the “Governance” section under the “Documents &amp; Charters” heading. In addition, we intend to post on our website all disclosures that are required by law or the rules of Nasdaq concerning any amendments to, or waivers from, any provision of the Code of Business Conduct and Ethics.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Effectiveness Assessment and Evaluation Process</w:t>
      </w:r>
    </w:p>
    <w:p>
      <w:pPr>
        <w:spacing w:after="0" w:line="121"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Our Nominating and Corporate Governance Committee conducts an annual survey of the directors to assess the effectiveness of our Board of Directors. The Nominating and Corporate Governance Committee reviews and considers the results of the survey, reports its findings to the Board of Directors and addresses any areas of concern. The committee also makes recommendations to the Board of Directors regarding our corporate governance practices. The most recent evaluation and reporting processes were conducted by a third party law firm.</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Attendance by Members of the Board of Directors at Meetings</w:t>
      </w:r>
    </w:p>
    <w:p>
      <w:pPr>
        <w:spacing w:after="0" w:line="12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There were five meetings of the Board of Directors during the fiscal year ended December 31, 2023. Each director attended at least 75% of the aggregate of (i) all meetings of the Board of Directors and (ii) all meetings of the committees on which the director served during the period in which he or she served as a director.</w:t>
      </w:r>
    </w:p>
    <w:p>
      <w:pPr>
        <w:spacing w:after="0" w:line="68"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 xml:space="preserve">Under our Corporate Governance Guidelines, which are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a director is expected to spend the time and effort necessary to properly discharge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Chairperson or Co-Chairmen of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81" w:lineRule="auto"/>
        <w:rPr>
          <w:sz w:val="20"/>
          <w:szCs w:val="20"/>
          <w:color w:val="auto"/>
        </w:rPr>
      </w:pPr>
      <w:r>
        <w:rPr>
          <w:rFonts w:ascii="Times New Roman" w:cs="Times New Roman" w:eastAsia="Times New Roman" w:hAnsi="Times New Roman"/>
          <w:sz w:val="17"/>
          <w:szCs w:val="17"/>
          <w:color w:val="auto"/>
        </w:rPr>
        <w:t>Board or the Chairperson of the appropriate committee in advance of such meeting, and, whenever possible, participate in such meeting via teleconference in the case of an in-person meeting. We do not maintain a formal policy regarding director attendance at the Annual Meeting; however, it is expected that absent compelling circumstances directors will attend. All then-serving directors attended the 2023 Annual Meeting of Stockholders.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 xml:space="preserve">Our Board has established three standing committees – Audit, Compensation and Nominating and Corporate Governance – each of which operates under a written charter that has been approved by our Board. Each charter is available on our investor relations website,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members of each of the Board committees and committee Chairpersons are set forth in the following chart.</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90"/>
        </w:trPr>
        <w:tc>
          <w:tcPr>
            <w:tcW w:w="49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 Governance</w:t>
            </w:r>
          </w:p>
        </w:tc>
        <w:tc>
          <w:tcPr>
            <w:tcW w:w="0" w:type="dxa"/>
            <w:vAlign w:val="bottom"/>
          </w:tcPr>
          <w:p>
            <w:pPr>
              <w:spacing w:after="0"/>
              <w:rPr>
                <w:sz w:val="1"/>
                <w:szCs w:val="1"/>
                <w:color w:val="auto"/>
              </w:rPr>
            </w:pPr>
          </w:p>
        </w:tc>
      </w:tr>
      <w:tr>
        <w:trPr>
          <w:trHeight w:val="50"/>
        </w:trPr>
        <w:tc>
          <w:tcPr>
            <w:tcW w:w="47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9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Chairperson</w:t>
            </w: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Fisher</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Chairperson</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G. Flanagan</w:t>
            </w:r>
          </w:p>
        </w:tc>
        <w:tc>
          <w:tcPr>
            <w:tcW w:w="9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W. Gelber</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Karoline H. Hilu, M.D</w:t>
            </w:r>
          </w:p>
        </w:tc>
        <w:tc>
          <w:tcPr>
            <w:tcW w:w="10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Timm</w:t>
            </w:r>
          </w:p>
        </w:tc>
        <w:tc>
          <w:tcPr>
            <w:tcW w:w="10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Audit Committee’s responsibilities include: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-2030730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-2030730</wp:posOffset>
            </wp:positionV>
            <wp:extent cx="939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-2030730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ind w:left="1000" w:right="47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fees of, retaining and overseeing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any audit problems or difficulties and management’s response;</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appropriate, approving related person transactions;</w:t>
      </w:r>
    </w:p>
    <w:p>
      <w:pPr>
        <w:spacing w:after="0" w:line="117" w:lineRule="exact"/>
        <w:rPr>
          <w:rFonts w:ascii="Times New Roman" w:cs="Times New Roman" w:eastAsia="Times New Roman" w:hAnsi="Times New Roman"/>
          <w:sz w:val="18"/>
          <w:szCs w:val="18"/>
          <w:color w:val="auto"/>
        </w:rPr>
      </w:pPr>
    </w:p>
    <w:p>
      <w:pPr>
        <w:ind w:left="1000" w:right="10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and anonymous submission of complaints regarding questionable accounting, internal controls or auditing matters; and</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preparing the audit committee report required by SEC rules (which is included on page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of this Proxy Statement).</w:t>
      </w:r>
    </w:p>
    <w:p>
      <w:pPr>
        <w:spacing w:after="0" w:line="52"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charter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members of the Audit Committee are David Fisher, Alexander Timm and Karoline Hilu, with Mr. Fisher serving as the Chairperson. Our Board has affirmatively determined that each of Mr. Fisher, Mr. Timm and Dr. Hilu is independent for purposes of serving on an audit committee under Rule 10A-3 promulgated under the Exchange Act and the Nasdaq rules, including those related to Audit Committee membership.</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members of our Audit Committee meet the requirements for financial literacy under the applicable</w:t>
      </w:r>
    </w:p>
    <w:p>
      <w:pPr>
        <w:spacing w:after="0" w:line="27"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Nasdaq rules. In addition, our Board of Directors has determined that each of Mr. Fisher and Mr. Timm qualify as an “audit committee financial expert,” as such term is defined in Item 407(d)(5) of Regulation S-K, and under the similar Nasdaq rules requirement that the Audit Committee have a financially sophisticated member.</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met six times in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Our Compensation Committee’s responsibilities include:</w:t>
      </w:r>
    </w:p>
    <w:p>
      <w:pPr>
        <w:spacing w:after="0" w:line="54" w:lineRule="exact"/>
        <w:rPr>
          <w:sz w:val="20"/>
          <w:szCs w:val="20"/>
          <w:color w:val="auto"/>
        </w:rPr>
      </w:pPr>
    </w:p>
    <w:p>
      <w:pPr>
        <w:ind w:left="1000" w:right="6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the Board, the compensation of our CEO, and reviewing and approving the compensation of our other executive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director compensation;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by applicable rules;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to the extent required by SEC rules.</w:t>
      </w:r>
    </w:p>
    <w:p>
      <w:pPr>
        <w:spacing w:after="0" w:line="117"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 xml:space="preserve">The Compensation Committee generally considers the Chief Executive Officer’s recommendations when making decisions regarding the compensation of executive officers (other than the Chief Executive Officer). Pursuant to the Compensation Committee’s charter, which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Compensation Committee has the authority to retain or obtain the advice of compensation consultants, legal counsel and other advisors to assist in carrying out its responsibilities. The Compensation Committee has retained Pearl Meyer and Partners, LLC (“Pearl Meyer”), an independent compensation consultant, to advise the Compensation Committee regarding various aspects of executive and director compensation, including with respect to our long-term incentive program.</w:t>
      </w:r>
    </w:p>
    <w:p>
      <w:pPr>
        <w:spacing w:after="0" w:line="8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 The members of our Compensation Committee are Brandon Cruz, Jeremy Gelber and David Fisher. Mr. Cruz serves as the Chairperson of the Compensation Committee.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met two times in 2023.</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board committee;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corporate governance guidelines;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 of Directors.</w:t>
      </w:r>
    </w:p>
    <w:p>
      <w:pPr>
        <w:spacing w:after="0" w:line="117" w:lineRule="exact"/>
        <w:rPr>
          <w:sz w:val="20"/>
          <w:szCs w:val="20"/>
          <w:color w:val="auto"/>
        </w:rPr>
      </w:pPr>
    </w:p>
    <w:p>
      <w:pPr>
        <w:ind w:left="300" w:right="739"/>
        <w:spacing w:after="0" w:line="261"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charter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members of our Nominating and Corporate Governance Committee are</w:t>
      </w: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Joseph Flanagan, Jeremy Gelber and Clinton Jones. The Nominating and Corporate Governance Committee has the authority to consult with outside advisors or retain search firms to assist in the search for qualified candidates or consider director candidates recommended by our stockholders. Mr. Flanagan serves as the Chairperson of the Nominating and Corporate Governance Committee.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and Corporate Governance Committee met one time in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section discusses the compensation arrangements for our executive officers who are named in the</w:t>
      </w:r>
    </w:p>
    <w:p>
      <w:pPr>
        <w:spacing w:after="0" w:line="27"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“2023 Summary Compensation Table” below. As a “smaller reporting company,” we are not required to include a Compensation Discussion and Analysis section and have elected to comply with the scaled disclosure requirements applicable to “smaller reporting companies.”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year ended December 31, 2023, our NEOs and their positions were as follows:</w:t>
      </w:r>
    </w:p>
    <w:p>
      <w:pPr>
        <w:spacing w:after="0" w:line="117" w:lineRule="exact"/>
        <w:rPr>
          <w:sz w:val="20"/>
          <w:szCs w:val="20"/>
          <w:color w:val="auto"/>
        </w:rPr>
      </w:pPr>
    </w:p>
    <w:p>
      <w:pPr>
        <w:ind w:left="1000" w:hanging="348"/>
        <w:spacing w:after="0"/>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 Kotte,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Schulz,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Hargis, Chief Operating Officer*</w:t>
      </w:r>
    </w:p>
    <w:p>
      <w:pPr>
        <w:spacing w:after="0" w:line="58" w:lineRule="exact"/>
        <w:rPr>
          <w:rFonts w:ascii="Times New Roman" w:cs="Times New Roman" w:eastAsia="Times New Roman" w:hAnsi="Times New Roman"/>
          <w:sz w:val="18"/>
          <w:szCs w:val="18"/>
          <w:color w:val="auto"/>
        </w:rPr>
      </w:pPr>
    </w:p>
    <w:p>
      <w:pPr>
        <w:ind w:left="640" w:right="379" w:hanging="351"/>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*Effective July 31, 2023, the Board appointed Michael Hargis as Chief Operating Officer of the Company. Prior to his appointment as Chief Operating Officer, Mr. Hargis served as Chief Customer Experience Officer of the Company.</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discussion describes our executive compensation program for our NEOs for fiscal year 2023.</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The Compensation Committee oversees the compensation program for our executive officers, including our NEOs. Our executive compensation program is based on a pay for performance philosophy and is designed to balance the following objectives:</w:t>
      </w:r>
    </w:p>
    <w:p>
      <w:pPr>
        <w:spacing w:after="0" w:line="68" w:lineRule="exact"/>
        <w:rPr>
          <w:sz w:val="20"/>
          <w:szCs w:val="20"/>
          <w:color w:val="auto"/>
        </w:rPr>
      </w:pPr>
    </w:p>
    <w:p>
      <w:pPr>
        <w:ind w:left="1000" w:right="9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engage, motivate, retain and appropriately reward executives for their contributions to our business, our customers, our partners and our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align executive interests and rewards with the interests of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the achievement of the Company’s purpose, mission, values and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compared to the external market</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In order to support the achievement of our compensation objectives, the Compensation Committee has included the following elements in its compensation package for NEOs:</w:t>
      </w:r>
    </w:p>
    <w:p>
      <w:pPr>
        <w:spacing w:after="0" w:line="54"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Grant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NEOs receive a base salary to compensate for services rendered to the Company. The base salary payable to each NEO is intended to provide a fixed component of compensation reflecting the executive’s skill set, experience, role and responsibilities. Base salaries for Vijay Kotte and Jason Schulz were not increased for 2023. The base salary for Michael Hargis was established at the time he assumed the role of Chief Operating Officer based on the Company’s historical compensation practices and competitive market data. Please see the “Salary” column in the 2023 Summary Compensation Table for the base salary amounts earned by each NEO in 2023.</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2023 Bonuses</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Company provides annual incentive cash bonuses, which we refer to as “Annual Bonuses,” to its NEOs under its 2023 Corporate Bonus Plan, which we refer to as the “Annual Bonus Plan.” Company targets were established by the Compensation Committee during the first quarter of the fiscal year based upon the Company’s 2023 financial plan. The targets were designed to be challenging but achievable with strong performance. The Annual Bonus Plan is structured to compensate NEOs (and employees generally) for achievement of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objectives. In the event the Company does not achieve its pre-established targets, the payout is reduced or even eliminated. If the Company exceeds its targets, payouts increase with a maximum payout of 200% of target. This structure is designed to align with the Company’s pay for performance compensation philosophy.</w:t>
      </w:r>
    </w:p>
    <w:p>
      <w:pPr>
        <w:spacing w:after="0" w:line="68"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2023, each NEO’s Annual Bonus was based on four metrics: (1) enrollments and transfers (20% weighting); (2) Encompass penetration comprising the percentage of all enrollments that occur via the Tier 3 enrollment process including successful transfers within Captive Medicare (Encompass Connect) and GPS (vConnect) (20% weighting); (3) Captive cost per effectuated policy (CPE) (20% weighting); and (4) Adjusted EBITDA, excluding any LTV lookback adjustments, net of all bonus expense (40% weighting). The payout uses a performance scale for each of the four components, ranging from 0% to 200%.</w:t>
      </w:r>
    </w:p>
    <w:p>
      <w:pPr>
        <w:spacing w:after="0" w:line="7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The target Annual Bonus amounts for the NEOs (other than Mr. Hargis) were established by the Compensation Committee during the first quarter of the fiscal year in the following amounts: Vijay Kotte - $900,000 and Jason Schulz - $400,000. Michael Hargis’ target Annual Bonus amount was adjusted to $400,000 when he was promoted to the Chief Operating Officer role on July 31, 2023 After considering the Company’s performance in 2023, the NEOs recommended that the Compensation Committee not award Annual Bonuses to the NEOs under the 2023 Annual Bonus Plan to allow for more funds to be available for Annual Bonuses to be paid to non-NEO employees. After considering management’s recommendation as well as the Company’s actual performance against the pre-established metrics, the Compensation Committee exercised negative discretion and did not award Annual Bonuses to the NEOs with respect to 2023.</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2020 Incentive Award Plan</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Company maintains the Amended and Restated 2020 Incentive Award Plan (the “Plan”) in order to facilitate the grant of cash and equity incentives to directors, employees (including our NEOs) and consultants of our Company and certain of its affiliates and to enable our Company and certain of its affiliates to obtain and retain services of these individuals, which we believe is essential to our long-term success. The maximum number of shares of common stock reserved under the Plan is (i) 1,115,531 shares of our common stock, plus (ii) an annual increase on the first day of each calendar year ending in and including 2030, equal to the lesser of (A) 5% of the outstanding shares of all classes of our Class A common stock and Class B common stock outstanding on the last day of the immediately preceding calendar year and (B) such lesser amount as determined by our Board of Directors. The Plan provides for the grant of stock options, including incentive stock options and nonqualified stock options, restricted stock, dividend equivalents, restricted stock units, other stock-based awards, SARs, and cash awards. Vesting conditions applicable to awards granted under the Plan may be based on continuing service, the attainment of performance goals and/or such other conditions as the plan administrator may determine.</w:t>
      </w:r>
    </w:p>
    <w:p>
      <w:pPr>
        <w:spacing w:after="0" w:line="82" w:lineRule="exact"/>
        <w:rPr>
          <w:sz w:val="20"/>
          <w:szCs w:val="20"/>
          <w:color w:val="auto"/>
        </w:rPr>
      </w:pPr>
    </w:p>
    <w:p>
      <w:pPr>
        <w:jc w:val="both"/>
        <w:ind w:left="300" w:right="479"/>
        <w:spacing w:after="0" w:line="258" w:lineRule="auto"/>
        <w:rPr>
          <w:sz w:val="20"/>
          <w:szCs w:val="20"/>
          <w:color w:val="auto"/>
        </w:rPr>
      </w:pPr>
      <w:r>
        <w:rPr>
          <w:rFonts w:ascii="Times New Roman" w:cs="Times New Roman" w:eastAsia="Times New Roman" w:hAnsi="Times New Roman"/>
          <w:sz w:val="18"/>
          <w:szCs w:val="18"/>
          <w:color w:val="auto"/>
        </w:rPr>
        <w:t>The Company provides annual equity grants to its NEOs. Generally, grants include a mix of time-based grants and performance-based grants, either in the form of restricted stock units (“RSUs”) or stock options. These grants are intended to align the executive team compensation with the interests of stockholders and to encourage good, long-term decision making. Vesting of such equity grants are conditioned upon remaining employed with the Company with some limited exceptions provided in each individual NEOs employment agreement.</w:t>
      </w:r>
    </w:p>
    <w:p>
      <w:pPr>
        <w:spacing w:after="0" w:line="75"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During the 2023 fiscal year, Mr. Kotte received (1) 83,333 stock options, vesting in three substantially equal annual installments with the first such installment vesting on April 10, 2024, (2) 166,667 shares of common stock issuable pursuant to RSUs, vesting in three substantially equal annual installments with the first such installment vesting on April 10, 2024, and (3) 83,333 shares of common stock issuable pursuant to performance-based RSUs vesting on the date the Company files its Annual Report on Form 10-K for the fiscal year ending December 31, 2025, subject to Mr. Kotte’s continued service with the Company through that date.</w:t>
      </w:r>
    </w:p>
    <w:p>
      <w:pPr>
        <w:spacing w:after="0" w:line="7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During the 2023 fiscal year, Mr. Schulz received (1) 16,667 stock options, vesting in three substantially equal annual installments with the first such installment vesting on April 10, 2024, (2) 33,334 shares of common stock issuable pursuant to RSUs, vesting in three substantially equal annual installments with the first such installment vesting on April 10, 2024, and (3) 16,667 shares of common stock issuable pursuant to performance-based RSUs vesting on the date the Company files its Annual Report on Form 10-K for the fiscal year ending December 31, 2025, subject to Mr. Schulz’s continued service with the Company through that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The criteria for the performance-based RSUs are based on the Company’s compound annual growth rate in Adjusted EBITDA (“Adjusted EBITDA CAGR Percentage”), determined based on the Company’s Adjusted EBITDA for calendar year 2025 compared to the Company’s reported 2022 Adjusted EBITDA. Depending on the Adjusted EBITDA CAGR Percentage achieved, the number of performance-based RSUs earned can vary from 0% of the target award to a maximum of 200% of the target award.</w:t>
      </w:r>
    </w:p>
    <w:p>
      <w:pPr>
        <w:spacing w:after="0" w:line="75"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During the 2023 fiscal year, Mr. Hargis received 100,000 shares of common stock issuable pursuant to RSUs, which vest as to: (i) 50,000 RSUs in two equal annual installments, with the first such installment vesting on March 21, 2024 and (ii) 50,000 RSUs in three substantially equal annual installments, with the first such installment vesting on August 9, 2024.</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NEOs, who satisfy certain eligibility requirements, under which eligible employees may defer a portion of their compensation, within prescribed limits, on a pre-tax basis through contributions to the 401(k) plan. Currently, we match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NEOs, in accordance with our compensation objectives.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19" w:lineRule="exact"/>
        <w:rPr>
          <w:sz w:val="20"/>
          <w:szCs w:val="20"/>
          <w:color w:val="auto"/>
        </w:rPr>
      </w:pPr>
    </w:p>
    <w:p>
      <w:pPr>
        <w:ind w:left="300" w:right="5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Health/Welfare Plans. </w:t>
      </w:r>
      <w:r>
        <w:rPr>
          <w:rFonts w:ascii="Times New Roman" w:cs="Times New Roman" w:eastAsia="Times New Roman" w:hAnsi="Times New Roman"/>
          <w:sz w:val="18"/>
          <w:szCs w:val="18"/>
          <w:color w:val="auto"/>
        </w:rPr>
        <w:t>All of our full-time employees, including our NEOs, are eligible to participate in our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welfare plans, including:</w:t>
      </w:r>
    </w:p>
    <w:p>
      <w:pPr>
        <w:spacing w:after="0" w:line="52"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savings account (HSA);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commuter benefits;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assistance program.</w:t>
      </w:r>
    </w:p>
    <w:p>
      <w:pPr>
        <w:spacing w:after="0" w:line="117"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In addition, we make available to our senior executives, including our NEOs, programs related to executive health benefits. We believe the benefits described above are necessary and appropriate to provide a competitive compensation package to our employees, including our NEOs.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121"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NEOs personal income taxes that may pertain to any of the compensation or benefits paid or provided by our Company.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During 2023, the Company adopted a Dodd-Frank Clawback Policy to comply with SEC and Nasdaq listing rules. Under that policy, the Company is required in certain situations to recoup incentive compensation paid or payable to certain current or former executive officers of the Company, including the named executive officers, in the event of certain accounting restatements.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our NEOs for the fiscal year ended December 31, 2023 and, to the extent required under the SEC executive compensation disclosure rules, the fiscal year ended December 31, 2022.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3"/>
                <w:szCs w:val="13"/>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14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4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r>
              <w:rPr>
                <w:rFonts w:ascii="Times New Roman" w:cs="Times New Roman" w:eastAsia="Times New Roman" w:hAnsi="Times New Roman"/>
                <w:sz w:val="23"/>
                <w:szCs w:val="23"/>
                <w:b w:val="1"/>
                <w:bCs w:val="1"/>
                <w:color w:val="auto"/>
                <w:vertAlign w:val="superscript"/>
              </w:rPr>
              <w:t>(1)</w:t>
            </w:r>
          </w:p>
        </w:tc>
        <w:tc>
          <w:tcPr>
            <w:tcW w:w="6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5"/>
                <w:szCs w:val="15"/>
                <w:color w:val="auto"/>
              </w:rPr>
            </w:pPr>
          </w:p>
        </w:tc>
        <w:tc>
          <w:tcPr>
            <w:tcW w:w="72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3"/>
                <w:szCs w:val="13"/>
                <w:b w:val="1"/>
                <w:bCs w:val="1"/>
                <w:color w:val="auto"/>
              </w:rPr>
              <w:t>Salary</w:t>
            </w:r>
            <w:r>
              <w:rPr>
                <w:rFonts w:ascii="Times New Roman" w:cs="Times New Roman" w:eastAsia="Times New Roman" w:hAnsi="Times New Roman"/>
                <w:sz w:val="20"/>
                <w:szCs w:val="20"/>
                <w:b w:val="1"/>
                <w:bCs w:val="1"/>
                <w:color w:val="auto"/>
                <w:vertAlign w:val="superscript"/>
              </w:rPr>
              <w:t>(2)</w:t>
            </w:r>
          </w:p>
        </w:tc>
        <w:tc>
          <w:tcPr>
            <w:tcW w:w="1080" w:type="dxa"/>
            <w:vAlign w:val="bottom"/>
            <w:gridSpan w:val="3"/>
          </w:tcPr>
          <w:p>
            <w:pPr>
              <w:jc w:val="center"/>
              <w:ind w:right="120"/>
              <w:spacing w:after="0" w:line="179"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20"/>
                <w:szCs w:val="20"/>
                <w:b w:val="1"/>
                <w:bCs w:val="1"/>
                <w:color w:val="auto"/>
                <w:vertAlign w:val="superscript"/>
              </w:rPr>
              <w:t>(3)</w:t>
            </w:r>
          </w:p>
        </w:tc>
        <w:tc>
          <w:tcPr>
            <w:tcW w:w="840" w:type="dxa"/>
            <w:vAlign w:val="bottom"/>
            <w:gridSpan w:val="3"/>
          </w:tcPr>
          <w:p>
            <w:pPr>
              <w:jc w:val="center"/>
              <w:ind w:right="120"/>
              <w:spacing w:after="0" w:line="179"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20"/>
                <w:szCs w:val="20"/>
                <w:b w:val="1"/>
                <w:bCs w:val="1"/>
                <w:color w:val="auto"/>
                <w:vertAlign w:val="superscript"/>
              </w:rPr>
              <w:t>(4)</w:t>
            </w:r>
          </w:p>
        </w:tc>
        <w:tc>
          <w:tcPr>
            <w:tcW w:w="1140" w:type="dxa"/>
            <w:vAlign w:val="bottom"/>
            <w:gridSpan w:val="3"/>
          </w:tcPr>
          <w:p>
            <w:pPr>
              <w:jc w:val="center"/>
              <w:ind w:right="120"/>
              <w:spacing w:after="0" w:line="179"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0"/>
                <w:szCs w:val="20"/>
                <w:b w:val="1"/>
                <w:bCs w:val="1"/>
                <w:color w:val="auto"/>
                <w:vertAlign w:val="superscript"/>
              </w:rPr>
              <w:t>(5)</w:t>
            </w:r>
          </w:p>
        </w:tc>
        <w:tc>
          <w:tcPr>
            <w:tcW w:w="1140" w:type="dxa"/>
            <w:vAlign w:val="bottom"/>
            <w:gridSpan w:val="3"/>
          </w:tcPr>
          <w:p>
            <w:pPr>
              <w:jc w:val="center"/>
              <w:ind w:right="100"/>
              <w:spacing w:after="0" w:line="179"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0"/>
                <w:szCs w:val="20"/>
                <w:b w:val="1"/>
                <w:bCs w:val="1"/>
                <w:color w:val="auto"/>
                <w:vertAlign w:val="superscript"/>
              </w:rPr>
              <w:t>(6)</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1"/>
        </w:trPr>
        <w:tc>
          <w:tcPr>
            <w:tcW w:w="2160" w:type="dxa"/>
            <w:vAlign w:val="bottom"/>
            <w:tcBorders>
              <w:bottom w:val="single" w:sz="8" w:color="auto"/>
            </w:tcBorders>
            <w:gridSpan w:val="2"/>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Vijay Kotte</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$900,000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6"/>
              </w:rPr>
              <w:t>3,525,000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691,664</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5"/>
              </w:rPr>
              <w:t>25,210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$5,141,874</w:t>
            </w:r>
          </w:p>
        </w:tc>
        <w:tc>
          <w:tcPr>
            <w:tcW w:w="0" w:type="dxa"/>
            <w:vAlign w:val="bottom"/>
          </w:tcPr>
          <w:p>
            <w:pPr>
              <w:spacing w:after="0"/>
              <w:rPr>
                <w:sz w:val="1"/>
                <w:szCs w:val="1"/>
                <w:color w:val="auto"/>
              </w:rPr>
            </w:pPr>
          </w:p>
        </w:tc>
      </w:tr>
      <w:tr>
        <w:trPr>
          <w:trHeight w:val="210"/>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6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8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$484,615</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6"/>
              </w:rPr>
              <w:t>5,425,820</w:t>
            </w:r>
          </w:p>
        </w:tc>
        <w:tc>
          <w:tcPr>
            <w:tcW w:w="12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1,614,992</w:t>
            </w:r>
          </w:p>
        </w:tc>
        <w:tc>
          <w:tcPr>
            <w:tcW w:w="2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6"/>
              </w:rPr>
              <w:t>1,670,400</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5"/>
              </w:rPr>
              <w:t>10,572</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$9,206,399</w:t>
            </w: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860" w:type="dxa"/>
            <w:vAlign w:val="bottom"/>
            <w:gridSpan w:val="3"/>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2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Jason Schulz</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705,014</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138,336</w:t>
            </w:r>
          </w:p>
        </w:tc>
        <w:tc>
          <w:tcPr>
            <w:tcW w:w="22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5"/>
              </w:rPr>
              <w:t>46,204</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$1,389,554</w:t>
            </w:r>
          </w:p>
        </w:tc>
        <w:tc>
          <w:tcPr>
            <w:tcW w:w="0" w:type="dxa"/>
            <w:vAlign w:val="bottom"/>
          </w:tcPr>
          <w:p>
            <w:pPr>
              <w:spacing w:after="0"/>
              <w:rPr>
                <w:sz w:val="1"/>
                <w:szCs w:val="1"/>
                <w:color w:val="auto"/>
              </w:rPr>
            </w:pPr>
          </w:p>
        </w:tc>
      </w:tr>
      <w:tr>
        <w:trPr>
          <w:trHeight w:val="210"/>
        </w:trPr>
        <w:tc>
          <w:tcPr>
            <w:tcW w:w="2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$269,231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w w:val="96"/>
              </w:rPr>
              <w:t>2,464,996</w:t>
            </w:r>
          </w:p>
        </w:tc>
        <w:tc>
          <w:tcPr>
            <w:tcW w:w="12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569,994</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742,400</w:t>
            </w:r>
          </w:p>
        </w:tc>
        <w:tc>
          <w:tcPr>
            <w:tcW w:w="10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rPr>
              <w:t>5,082</w:t>
            </w:r>
          </w:p>
        </w:tc>
        <w:tc>
          <w:tcPr>
            <w:tcW w:w="10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$4,051,703</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Hargis</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$438,462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6"/>
              </w:rPr>
              <w:t>1,702,000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5"/>
              </w:rPr>
              <w:t>59,757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$2,200,219</w:t>
            </w:r>
          </w:p>
        </w:tc>
        <w:tc>
          <w:tcPr>
            <w:tcW w:w="0" w:type="dxa"/>
            <w:vAlign w:val="bottom"/>
          </w:tcPr>
          <w:p>
            <w:pPr>
              <w:spacing w:after="0"/>
              <w:rPr>
                <w:sz w:val="1"/>
                <w:szCs w:val="1"/>
                <w:color w:val="auto"/>
              </w:rPr>
            </w:pPr>
          </w:p>
        </w:tc>
      </w:tr>
      <w:tr>
        <w:trPr>
          <w:trHeight w:val="210"/>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Operating Officer</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-1430655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-1430655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-1430655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-1430655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-1430655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-1430655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-1430655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Hargis was appointed our Chief Operating Officer effective as of July 31,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actual base salary paid with respect to the applicable fiscal year.</w:t>
      </w:r>
    </w:p>
    <w:p>
      <w:pPr>
        <w:spacing w:after="0" w:line="41"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grant date fair value of RSUs granted in the fiscal year, calculated in accordance with FASB ASC Topic 718. The grant date fair value of the time-based RSUs is calculated based on the number of RSUs granted multiplied by the grant date closing stock price. The grant date fair value of the performance-based RSUs is calculated based on the target number of performance-based RSUs expected to vest at the time of grant multiplied by the grant date closing price. If the performance-based RSUs vest at the maximum performance level, the value would be: Mr. Kotte-$2,349,991; and Mr. Schulz- $470,009. Mr. Hargis did not receive a grant of performance-based RSUs in 2023.</w:t>
      </w:r>
    </w:p>
    <w:p>
      <w:pPr>
        <w:spacing w:after="0" w:line="15"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grant date fair value of stock option awards calculated in accordance with FASB ASC Topic 718. See Note 7 to the Audited Financial Statements for a discussion of the relevant assumptions used in calculating these amounts.</w:t>
      </w:r>
    </w:p>
    <w:p>
      <w:pPr>
        <w:ind w:left="640" w:right="33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cash awards paid under the Annual Bonus Plan for the applicable year based upon Company performance, which is discussed in further detail in the Executive Compensation Overview section. At the recommendation of the NEOs, the Compensation Committee exercised negative discretion and did not award an annual non-equity incentive plan bonus payment for 2023 to any of the NEOs.</w:t>
      </w:r>
    </w:p>
    <w:p>
      <w:pPr>
        <w:spacing w:after="0" w:line="14" w:lineRule="exact"/>
        <w:rPr>
          <w:rFonts w:ascii="Times New Roman" w:cs="Times New Roman" w:eastAsia="Times New Roman" w:hAnsi="Times New Roman"/>
          <w:sz w:val="14"/>
          <w:szCs w:val="14"/>
          <w:color w:val="auto"/>
        </w:rPr>
      </w:pPr>
    </w:p>
    <w:p>
      <w:pPr>
        <w:ind w:left="640" w:right="117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consist of the sum of all other compensation as reported in the table below of All Other Compensation.</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401(k)</w:t>
            </w: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16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Health</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Match</w:t>
            </w:r>
            <w:r>
              <w:rPr>
                <w:rFonts w:ascii="Times New Roman" w:cs="Times New Roman" w:eastAsia="Times New Roman" w:hAnsi="Times New Roman"/>
                <w:sz w:val="23"/>
                <w:szCs w:val="23"/>
                <w:b w:val="1"/>
                <w:bCs w:val="1"/>
                <w:color w:val="auto"/>
                <w:vertAlign w:val="superscript"/>
              </w:rPr>
              <w:t>(a)</w:t>
            </w:r>
          </w:p>
        </w:tc>
        <w:tc>
          <w:tcPr>
            <w:tcW w:w="3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Insurance</w:t>
            </w:r>
            <w:r>
              <w:rPr>
                <w:rFonts w:ascii="Times New Roman" w:cs="Times New Roman" w:eastAsia="Times New Roman" w:hAnsi="Times New Roman"/>
                <w:sz w:val="23"/>
                <w:szCs w:val="23"/>
                <w:b w:val="1"/>
                <w:bCs w:val="1"/>
                <w:color w:val="auto"/>
                <w:w w:val="96"/>
                <w:vertAlign w:val="superscript"/>
              </w:rPr>
              <w:t>(b)</w:t>
            </w:r>
          </w:p>
        </w:tc>
        <w:tc>
          <w:tcPr>
            <w:tcW w:w="3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Care</w:t>
            </w:r>
            <w:r>
              <w:rPr>
                <w:rFonts w:ascii="Times New Roman" w:cs="Times New Roman" w:eastAsia="Times New Roman" w:hAnsi="Times New Roman"/>
                <w:sz w:val="23"/>
                <w:szCs w:val="23"/>
                <w:b w:val="1"/>
                <w:bCs w:val="1"/>
                <w:color w:val="auto"/>
                <w:w w:val="90"/>
                <w:vertAlign w:val="superscript"/>
              </w:rPr>
              <w:t>(c)</w:t>
            </w:r>
          </w:p>
        </w:tc>
        <w:tc>
          <w:tcPr>
            <w:tcW w:w="2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Perquisites</w:t>
            </w:r>
            <w:r>
              <w:rPr>
                <w:rFonts w:ascii="Times New Roman" w:cs="Times New Roman" w:eastAsia="Times New Roman" w:hAnsi="Times New Roman"/>
                <w:sz w:val="23"/>
                <w:szCs w:val="23"/>
                <w:b w:val="1"/>
                <w:bCs w:val="1"/>
                <w:color w:val="auto"/>
                <w:w w:val="96"/>
                <w:vertAlign w:val="superscript"/>
              </w:rPr>
              <w:t>(d)</w:t>
            </w:r>
          </w:p>
        </w:tc>
        <w:tc>
          <w:tcPr>
            <w:tcW w:w="28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11"/>
        </w:trPr>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$9,173</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$306</w:t>
            </w: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$15,371</w:t>
            </w:r>
          </w:p>
        </w:tc>
        <w:tc>
          <w:tcPr>
            <w:tcW w:w="2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​360</w:t>
            </w:r>
          </w:p>
        </w:tc>
        <w:tc>
          <w:tcPr>
            <w:tcW w:w="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$25,210</w:t>
            </w:r>
          </w:p>
        </w:tc>
        <w:tc>
          <w:tcPr>
            <w:tcW w:w="0" w:type="dxa"/>
            <w:vAlign w:val="bottom"/>
          </w:tcPr>
          <w:p>
            <w:pPr>
              <w:spacing w:after="0"/>
              <w:rPr>
                <w:sz w:val="1"/>
                <w:szCs w:val="1"/>
                <w:color w:val="auto"/>
              </w:rPr>
            </w:pPr>
          </w:p>
        </w:tc>
      </w:tr>
      <w:tr>
        <w:trPr>
          <w:trHeight w:val="270"/>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Jason Schulz</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769</w:t>
            </w:r>
          </w:p>
        </w:tc>
        <w:tc>
          <w:tcPr>
            <w:tcW w:w="3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$306</w:t>
            </w:r>
          </w:p>
        </w:tc>
        <w:tc>
          <w:tcPr>
            <w:tcW w:w="3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$10,231</w:t>
            </w:r>
          </w:p>
        </w:tc>
        <w:tc>
          <w:tcPr>
            <w:tcW w:w="280" w:type="dxa"/>
            <w:vAlign w:val="bottom"/>
          </w:tcPr>
          <w:p>
            <w:pPr>
              <w:spacing w:after="0"/>
              <w:rPr>
                <w:sz w:val="23"/>
                <w:szCs w:val="23"/>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$34,898</w:t>
            </w:r>
          </w:p>
        </w:tc>
        <w:tc>
          <w:tcPr>
            <w:tcW w:w="2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$ 46,204</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Hargis</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$7,846</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$268</w:t>
            </w: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$16,030</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$35,613</w:t>
            </w: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$59,757</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-745490</wp:posOffset>
            </wp:positionV>
            <wp:extent cx="1885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-745490</wp:posOffset>
            </wp:positionV>
            <wp:extent cx="1885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-745490</wp:posOffset>
            </wp:positionV>
            <wp:extent cx="1885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-745490</wp:posOffset>
            </wp:positionV>
            <wp:extent cx="1885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-745490</wp:posOffset>
            </wp:positionV>
            <wp:extent cx="1885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1" w:lineRule="exact"/>
        <w:rPr>
          <w:sz w:val="20"/>
          <w:szCs w:val="20"/>
          <w:color w:val="auto"/>
        </w:rPr>
      </w:pPr>
    </w:p>
    <w:p>
      <w:pPr>
        <w:ind w:left="640" w:right="35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GoHealth, Inc. 401(k) is available to all eligible salaried and hourly employees, including senior management. Participants contribute by making pre-tax employee contributions that are then matched by the Company. The Company match is 50% of the first 4% of employee contributions.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life and accidental death and dismemberment, or AD&amp;D, insurance premiums.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provides certain senior officers with access to executive health benefits.</w:t>
      </w:r>
    </w:p>
    <w:p>
      <w:pPr>
        <w:spacing w:after="0" w:line="41" w:lineRule="exact"/>
        <w:rPr>
          <w:rFonts w:ascii="Times New Roman" w:cs="Times New Roman" w:eastAsia="Times New Roman" w:hAnsi="Times New Roman"/>
          <w:sz w:val="14"/>
          <w:szCs w:val="14"/>
          <w:color w:val="auto"/>
        </w:rPr>
      </w:pPr>
    </w:p>
    <w:p>
      <w:pPr>
        <w:ind w:left="640" w:right="8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Schulz and Mr. Hargis received a housing and travel stipend in the amount of $34,898 and $35,613, respectively. All Company employees, including the NEOs, receive a cell phone allowance in the amount of $360 per year.</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severance rights of each NEO are provided in their employment arrangements, if any. In each case, the severance amounts provided under the NEOs’ employment agreements are subject to the execution and non-revocation of a waiver and release of claims by the NEO in question. In addition, equity awards under the Plan do not automatically vest upon termination of service with some exceptions. Outstanding awards are generally forfeited upon separation although the administrator has discretion to accelerate the vesting in the event of death, disability, retirement and change of control.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Vijay Kotte and Jason Schulz entered into an employment agreement with the Company on June 3, 2022. Under the terms of their employment agreements, Mr. Kotte and Mr. Schulz are entitled to annual base salaries of $900,000 and $500,000, respectively, and have target annual cash bonuses equal to 100% and 80% of annual base salary, respectively. Pursuant to their employment agreements, Mr. Kotte and Mr. Schulz also received the following equity awards under the Company’s 2021 Inducement Award Plan (the “Inducement Plan”):</w:t>
      </w:r>
    </w:p>
    <w:p>
      <w:pPr>
        <w:spacing w:after="0" w:line="75" w:lineRule="exact"/>
        <w:rPr>
          <w:sz w:val="20"/>
          <w:szCs w:val="20"/>
          <w:color w:val="auto"/>
        </w:rPr>
      </w:pPr>
    </w:p>
    <w:p>
      <w:pPr>
        <w:ind w:left="1000" w:right="539" w:hanging="348"/>
        <w:spacing w:after="0" w:line="25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with respect to 188,888 and 66,666 shares of Company common stock, respectively, vesting in four equal installments on the first four anniversaries of the grant date; provided that, in the event the executive is terminated without cause during the 90 Day Acceleration Period (as defined below), then, effective as of immediately prior to such termination of employment, all unvested options shall vest and become exercisable in full;</w:t>
      </w:r>
    </w:p>
    <w:p>
      <w:pPr>
        <w:spacing w:after="0" w:line="75"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with respect to 377,777 and 133,333 shares of Company common stock, respectively, all of which fully vested on the date of grant; provided that, if the executive terminates his employment without good reason prior to the 12 month anniversary of his start date, any shares of Company common stock received in settlement of such RSUs shall be forfeited for no consideration and the executive shall repay to the Company the amount of any gain realized by the executive upon the sale of any shares received in settlement of such RSUs;</w:t>
      </w:r>
    </w:p>
    <w:p>
      <w:pPr>
        <w:spacing w:after="0" w:line="79" w:lineRule="exact"/>
        <w:rPr>
          <w:rFonts w:ascii="Times New Roman" w:cs="Times New Roman" w:eastAsia="Times New Roman" w:hAnsi="Times New Roman"/>
          <w:sz w:val="18"/>
          <w:szCs w:val="18"/>
          <w:color w:val="auto"/>
        </w:rPr>
      </w:pPr>
    </w:p>
    <w:p>
      <w:pPr>
        <w:ind w:left="1000" w:right="339" w:hanging="348"/>
        <w:spacing w:after="0" w:line="273"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stock units with respect to 94,444 and 100,000 shares of Company common stock, respectively, vesting on the third anniversary of the date of grant in the following percentages based on volume weighted average price performance over such three year period (“Three Year VWAP”): (i) 50% if the Three Year VWAP is equal to or greater than $30.00 but less than $45.00; (ii) 100% if the Three Year VWAP is equal to or greater than $45.00 but less than $60; (iii) 150% if the Three Year VWAP is equal to or greater than $60 but less than $90.00; and (iv) 200% if the Three Year VWAP is equal to or greater than $90.00, in each case subject to the executive’s continued employment on the vesting date; provided that:</w:t>
      </w:r>
    </w:p>
    <w:p>
      <w:pPr>
        <w:spacing w:after="0" w:line="63" w:lineRule="exact"/>
        <w:rPr>
          <w:rFonts w:ascii="Times New Roman" w:cs="Times New Roman" w:eastAsia="Times New Roman" w:hAnsi="Times New Roman"/>
          <w:sz w:val="17"/>
          <w:szCs w:val="17"/>
          <w:color w:val="auto"/>
        </w:rPr>
      </w:pPr>
    </w:p>
    <w:p>
      <w:pPr>
        <w:ind w:left="1360" w:right="419" w:hanging="348"/>
        <w:spacing w:after="0" w:line="245" w:lineRule="auto"/>
        <w:tabs>
          <w:tab w:leader="none" w:pos="1360" w:val="left"/>
        </w:tabs>
        <w:numPr>
          <w:ilvl w:val="1"/>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the event the executive is terminated by the Company without cause or resigns for good reasons during the 90-day period immediately preceding the three year anniversary of the vesting date (the “90 Day Acceleration Period”), then, effective as of immediately prior to such termination of employment, such performance stock units shall immediately vest in full, with the number of vested performance stock units determined based on actual Three Year VWAP performance as measured on such three year anniversary; and</w:t>
      </w:r>
    </w:p>
    <w:p>
      <w:pPr>
        <w:spacing w:after="0" w:line="89" w:lineRule="exact"/>
        <w:rPr>
          <w:rFonts w:ascii="Times New Roman" w:cs="Times New Roman" w:eastAsia="Times New Roman" w:hAnsi="Times New Roman"/>
          <w:sz w:val="22"/>
          <w:szCs w:val="22"/>
          <w:color w:val="auto"/>
          <w:vertAlign w:val="superscript"/>
        </w:rPr>
      </w:pPr>
    </w:p>
    <w:p>
      <w:pPr>
        <w:ind w:left="1360" w:right="339" w:hanging="348"/>
        <w:spacing w:after="0" w:line="247" w:lineRule="auto"/>
        <w:tabs>
          <w:tab w:leader="none" w:pos="1360" w:val="left"/>
        </w:tabs>
        <w:numPr>
          <w:ilvl w:val="1"/>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the event of a change in control (as defined in the Inducement Plan) (i) prior to the 18 month anniversary of the effective date of the executive’s employment agreement, such performance stock units shall vest immediately prior to such change in control at the greater of target level and actual performance assuming the Three Year VWAP is equal to the per-share transaction price in connection with such change in control; and (ii) on or after the 18 month anniversary of the effective date of the executive’s employment agreement, such performance stock units shall vest immediately prior to such change in control at the greater of target level and actual performance assuming the Three Year VWAP measurement period ends on the date immediately prior to the change in control (unless the per-share transaction price in connection with such change in control is greater than or equal to $90.00, in which case such performance stock units shall vest at 200%).</w:t>
      </w:r>
    </w:p>
    <w:p>
      <w:pPr>
        <w:spacing w:after="0" w:line="90" w:lineRule="exact"/>
        <w:rPr>
          <w:rFonts w:ascii="Times New Roman" w:cs="Times New Roman" w:eastAsia="Times New Roman" w:hAnsi="Times New Roman"/>
          <w:sz w:val="22"/>
          <w:szCs w:val="22"/>
          <w:color w:val="auto"/>
          <w:vertAlign w:val="superscript"/>
        </w:rPr>
      </w:pPr>
    </w:p>
    <w:p>
      <w:pPr>
        <w:ind w:left="1000" w:right="399" w:hanging="348"/>
        <w:spacing w:after="0" w:line="255"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2023, Mr. Kotte and Mr. Schulz are entitled to annual equity awards under the Plan in forms and amounts to be determined by the Board or the Compensation Committee in its discretion; provided that each of Mr. Kotte and Mr. Schulz’s annual awards shall be made with respect to no less than 333,333 and 66,666 shares of Company common stock, respectively; provided further that such minimum share amounts shall have a maximum grant date dollar value of no more than $15,000,000 and $3,000,000 respectively and, unless otherwise approved by the Compensation Committee or the Board, no more than 25% of each annual award will consist of time-vesting RSUs.</w:t>
      </w:r>
    </w:p>
    <w:p>
      <w:pPr>
        <w:spacing w:after="0" w:line="8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In the event of a termination of the executive by the Company without cause or the executive’s resignation with good reason, (i) Mr. Kotte will receive two years of salary continuation, 200% of his pro-rata annual bonus for the year of termination, and two years of COBRA premium reimbursements; and (ii) Mr. Schulz will receive eighteen months of salary continuation, 100% of his pro-rata annual bonus for the year of termination, and eighteen months of COBRA premium reimbursement (unless such termination occurs within the 12 month period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immediately following a change in control, in which case such periods and percentages for Mr. Schulz shall be two years, 200%, and two years, respectively), in each case subject to the executive executing a release of claims in favor of the company and complying with any restrictive covenants through the period of payment.</w:t>
      </w:r>
    </w:p>
    <w:p>
      <w:pPr>
        <w:spacing w:after="0" w:line="68"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Mr. Kotte and Mr. Schulz are each subject to a restrictive covenant agreement, including a perpetual confidentiality covenant, an invention assignment provision, and post-employment non-competition and non-solicitation covenants lasting for two-years post-employment for Mr. Kotte and eighteen months for Mr. Schulz (extended to two years if Mr. Schulz’s termination occurs within 12-month period immediately following a change in control).</w:t>
      </w:r>
    </w:p>
    <w:p>
      <w:pPr>
        <w:spacing w:after="0" w:line="72"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As of December 31, 2023, Mr. Hargis was not subject to an employment agreement in connection with his role as Chief Operating Officer. Under the employment agreement entered into with Mr. Hargis in connection with his role as Chief Customer Experience Officer and which was in effect as of December 31, 2023, in the event of a termination of Mr. Hargis by the Company without cause or Mr. Hargis’ resignation for good reason, Mr. Hargis will receive (i) one year of salary continuation, unless such termination occurs within twelve (12) months of a change in control, in which case the period is increased to two (2) years; (ii) the annual bonus for any completed fiscal year as of the date of termination that has not yet been paid as of the date of termination (“Prior Year Bonus”), if any, plus a pro-rated portion of the annual bonus for the year in which the date of termination occurs based on the number of months for which Mr. Hargis was employed during such year prior to the date of termination (“Pro-Rated Bonus”), unless such termination occurs within twelve (12) months of a change in control, in which case the severance bonus shall be equal to the sum of the Prior Year Bonus, if any, and the product of two (2) multiplied by the Pro-Rated Bonus; and (iii) reimbursement of one year of the Company’s share of COBRA premium payments in an amount equal to what the Company pays for the health insurance premiums of other executive level employees at the Company, unless such termination occurs within twelve (12) months of a change in control, in which case the period is increased to two (2) years; in each case subject to Mr. Hargis executing a release of claims in favor of the Company and complying with any restrictive covenants through the period of payment.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outstanding option awards and stock awards held by each NEO on December 31, 2023.</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7607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ind w:left="6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7"/>
        </w:trPr>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76"/>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00" w:type="dxa"/>
            <w:vAlign w:val="bottom"/>
          </w:tcPr>
          <w:p>
            <w:pPr>
              <w:spacing w:after="0"/>
              <w:rPr>
                <w:sz w:val="15"/>
                <w:szCs w:val="15"/>
                <w:color w:val="auto"/>
              </w:rPr>
            </w:pPr>
          </w:p>
        </w:tc>
        <w:tc>
          <w:tcPr>
            <w:tcW w:w="7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200" w:type="dxa"/>
            <w:vAlign w:val="bottom"/>
          </w:tcPr>
          <w:p>
            <w:pPr>
              <w:spacing w:after="0"/>
              <w:rPr>
                <w:sz w:val="11"/>
                <w:szCs w:val="11"/>
                <w:color w:val="auto"/>
              </w:rPr>
            </w:pPr>
          </w:p>
        </w:tc>
        <w:tc>
          <w:tcPr>
            <w:tcW w:w="740" w:type="dxa"/>
            <w:vAlign w:val="bottom"/>
          </w:tcPr>
          <w:p>
            <w:pPr>
              <w:jc w:val="center"/>
              <w:ind w:right="156"/>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200" w:type="dxa"/>
            <w:vAlign w:val="bottom"/>
          </w:tcPr>
          <w:p>
            <w:pPr>
              <w:spacing w:after="0"/>
              <w:rPr>
                <w:sz w:val="11"/>
                <w:szCs w:val="11"/>
                <w:color w:val="auto"/>
              </w:rPr>
            </w:pPr>
          </w:p>
        </w:tc>
        <w:tc>
          <w:tcPr>
            <w:tcW w:w="740" w:type="dxa"/>
            <w:vAlign w:val="bottom"/>
          </w:tcPr>
          <w:p>
            <w:pPr>
              <w:jc w:val="center"/>
              <w:ind w:right="156"/>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r>
      <w:tr>
        <w:trPr>
          <w:trHeight w:val="151"/>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200" w:type="dxa"/>
            <w:vAlign w:val="bottom"/>
          </w:tcPr>
          <w:p>
            <w:pPr>
              <w:spacing w:after="0"/>
              <w:rPr>
                <w:sz w:val="13"/>
                <w:szCs w:val="13"/>
                <w:color w:val="auto"/>
              </w:rPr>
            </w:pPr>
          </w:p>
        </w:tc>
        <w:tc>
          <w:tcPr>
            <w:tcW w:w="7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2"/>
              </w:rPr>
              <w:t>Awards:</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Incentive</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r>
      <w:tr>
        <w:trPr>
          <w:trHeight w:val="117"/>
        </w:trPr>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4"/>
              </w:rPr>
              <w:t>Unearned</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Shares,</w:t>
            </w:r>
          </w:p>
        </w:tc>
        <w:tc>
          <w:tcPr>
            <w:tcW w:w="200" w:type="dxa"/>
            <w:vAlign w:val="bottom"/>
          </w:tcPr>
          <w:p>
            <w:pPr>
              <w:spacing w:after="0"/>
              <w:rPr>
                <w:sz w:val="13"/>
                <w:szCs w:val="13"/>
                <w:color w:val="auto"/>
              </w:rPr>
            </w:pPr>
          </w:p>
        </w:tc>
        <w:tc>
          <w:tcPr>
            <w:tcW w:w="7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7"/>
              </w:rPr>
              <w:t>Shares,</w:t>
            </w: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or Units</w:t>
            </w:r>
          </w:p>
        </w:tc>
        <w:tc>
          <w:tcPr>
            <w:tcW w:w="8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200" w:type="dxa"/>
            <w:vAlign w:val="bottom"/>
          </w:tcPr>
          <w:p>
            <w:pPr>
              <w:spacing w:after="0"/>
              <w:rPr>
                <w:sz w:val="11"/>
                <w:szCs w:val="11"/>
                <w:color w:val="auto"/>
              </w:rPr>
            </w:pPr>
          </w:p>
        </w:tc>
        <w:tc>
          <w:tcPr>
            <w:tcW w:w="740" w:type="dxa"/>
            <w:vAlign w:val="bottom"/>
          </w:tcPr>
          <w:p>
            <w:pPr>
              <w:jc w:val="center"/>
              <w:ind w:right="156"/>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of Stock</w:t>
            </w:r>
          </w:p>
        </w:tc>
        <w:tc>
          <w:tcPr>
            <w:tcW w:w="80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740" w:type="dxa"/>
            <w:vAlign w:val="bottom"/>
          </w:tcPr>
          <w:p>
            <w:pPr>
              <w:jc w:val="center"/>
              <w:ind w:right="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0" w:type="dxa"/>
            <w:vAlign w:val="bottom"/>
          </w:tcPr>
          <w:p>
            <w:pPr>
              <w:spacing w:after="0"/>
              <w:rPr>
                <w:sz w:val="11"/>
                <w:szCs w:val="11"/>
                <w:color w:val="auto"/>
              </w:rPr>
            </w:pPr>
          </w:p>
        </w:tc>
        <w:tc>
          <w:tcPr>
            <w:tcW w:w="7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200" w:type="dxa"/>
            <w:vAlign w:val="bottom"/>
          </w:tcPr>
          <w:p>
            <w:pPr>
              <w:spacing w:after="0"/>
              <w:rPr>
                <w:sz w:val="11"/>
                <w:szCs w:val="11"/>
                <w:color w:val="auto"/>
              </w:rPr>
            </w:pPr>
          </w:p>
        </w:tc>
        <w:tc>
          <w:tcPr>
            <w:tcW w:w="740" w:type="dxa"/>
            <w:vAlign w:val="bottom"/>
          </w:tcPr>
          <w:p>
            <w:pPr>
              <w:jc w:val="center"/>
              <w:ind w:right="156"/>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80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r>
      <w:tr>
        <w:trPr>
          <w:trHeight w:val="135"/>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0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88"/>
              </w:rPr>
              <w:t>Not</w:t>
            </w:r>
          </w:p>
        </w:tc>
        <w:tc>
          <w:tcPr>
            <w:tcW w:w="80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200" w:type="dxa"/>
            <w:vAlign w:val="bottom"/>
          </w:tcPr>
          <w:p>
            <w:pPr>
              <w:spacing w:after="0"/>
              <w:rPr>
                <w:sz w:val="11"/>
                <w:szCs w:val="11"/>
                <w:color w:val="auto"/>
              </w:rPr>
            </w:pPr>
          </w:p>
        </w:tc>
        <w:tc>
          <w:tcPr>
            <w:tcW w:w="740" w:type="dxa"/>
            <w:vAlign w:val="bottom"/>
          </w:tcPr>
          <w:p>
            <w:pPr>
              <w:jc w:val="center"/>
              <w:ind w:right="156"/>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r>
      <w:tr>
        <w:trPr>
          <w:trHeight w:val="142"/>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8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0"/>
                <w:szCs w:val="10"/>
                <w:b w:val="1"/>
                <w:bCs w:val="1"/>
                <w:color w:val="auto"/>
              </w:rPr>
              <w:t>Exercisable</w:t>
            </w:r>
            <w:r>
              <w:rPr>
                <w:rFonts w:ascii="Times New Roman" w:cs="Times New Roman" w:eastAsia="Times New Roman" w:hAnsi="Times New Roman"/>
                <w:sz w:val="16"/>
                <w:szCs w:val="16"/>
                <w:b w:val="1"/>
                <w:bCs w:val="1"/>
                <w:color w:val="auto"/>
                <w:vertAlign w:val="superscript"/>
              </w:rPr>
              <w:t>(1)</w:t>
            </w:r>
          </w:p>
        </w:tc>
        <w:tc>
          <w:tcPr>
            <w:tcW w:w="10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0"/>
                <w:szCs w:val="10"/>
                <w:b w:val="1"/>
                <w:bCs w:val="1"/>
                <w:color w:val="auto"/>
              </w:rPr>
              <w:t>Unexercisable</w:t>
            </w:r>
            <w:r>
              <w:rPr>
                <w:rFonts w:ascii="Times New Roman" w:cs="Times New Roman" w:eastAsia="Times New Roman" w:hAnsi="Times New Roman"/>
                <w:sz w:val="16"/>
                <w:szCs w:val="16"/>
                <w:b w:val="1"/>
                <w:bCs w:val="1"/>
                <w:color w:val="auto"/>
                <w:vertAlign w:val="superscript"/>
              </w:rPr>
              <w:t>(1)</w:t>
            </w:r>
          </w:p>
        </w:tc>
        <w:tc>
          <w:tcPr>
            <w:tcW w:w="8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4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40" w:type="dxa"/>
            <w:vAlign w:val="bottom"/>
          </w:tcPr>
          <w:p>
            <w:pPr>
              <w:spacing w:after="0"/>
              <w:rPr>
                <w:sz w:val="12"/>
                <w:szCs w:val="12"/>
                <w:color w:val="auto"/>
              </w:rPr>
            </w:pPr>
          </w:p>
        </w:tc>
        <w:tc>
          <w:tcPr>
            <w:tcW w:w="7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6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0"/>
                <w:szCs w:val="10"/>
                <w:b w:val="1"/>
                <w:bCs w:val="1"/>
                <w:color w:val="auto"/>
              </w:rPr>
              <w:t>Vested</w:t>
            </w:r>
            <w:r>
              <w:rPr>
                <w:rFonts w:ascii="Times New Roman" w:cs="Times New Roman" w:eastAsia="Times New Roman" w:hAnsi="Times New Roman"/>
                <w:sz w:val="16"/>
                <w:szCs w:val="16"/>
                <w:b w:val="1"/>
                <w:bCs w:val="1"/>
                <w:color w:val="auto"/>
                <w:vertAlign w:val="superscript"/>
              </w:rPr>
              <w:t>(2)</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0"/>
                <w:szCs w:val="10"/>
                <w:b w:val="1"/>
                <w:bCs w:val="1"/>
                <w:color w:val="auto"/>
              </w:rPr>
              <w:t>Vested</w:t>
            </w:r>
            <w:r>
              <w:rPr>
                <w:rFonts w:ascii="Times New Roman" w:cs="Times New Roman" w:eastAsia="Times New Roman" w:hAnsi="Times New Roman"/>
                <w:sz w:val="16"/>
                <w:szCs w:val="16"/>
                <w:b w:val="1"/>
                <w:bCs w:val="1"/>
                <w:color w:val="auto"/>
                <w:vertAlign w:val="superscript"/>
              </w:rPr>
              <w:t>(3)</w:t>
            </w:r>
          </w:p>
        </w:tc>
        <w:tc>
          <w:tcPr>
            <w:tcW w:w="7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0"/>
                <w:szCs w:val="10"/>
                <w:b w:val="1"/>
                <w:bCs w:val="1"/>
                <w:color w:val="auto"/>
              </w:rPr>
              <w:t>Vested</w:t>
            </w:r>
            <w:r>
              <w:rPr>
                <w:rFonts w:ascii="Times New Roman" w:cs="Times New Roman" w:eastAsia="Times New Roman" w:hAnsi="Times New Roman"/>
                <w:sz w:val="16"/>
                <w:szCs w:val="16"/>
                <w:b w:val="1"/>
                <w:bCs w:val="1"/>
                <w:color w:val="auto"/>
                <w:vertAlign w:val="superscript"/>
              </w:rPr>
              <w:t>(4)</w:t>
            </w:r>
          </w:p>
        </w:tc>
        <w:tc>
          <w:tcPr>
            <w:tcW w:w="200" w:type="dxa"/>
            <w:vAlign w:val="bottom"/>
          </w:tcPr>
          <w:p>
            <w:pPr>
              <w:spacing w:after="0"/>
              <w:rPr>
                <w:sz w:val="12"/>
                <w:szCs w:val="12"/>
                <w:color w:val="auto"/>
              </w:rPr>
            </w:pPr>
          </w:p>
        </w:tc>
        <w:tc>
          <w:tcPr>
            <w:tcW w:w="740" w:type="dxa"/>
            <w:vAlign w:val="bottom"/>
          </w:tcPr>
          <w:p>
            <w:pPr>
              <w:jc w:val="center"/>
              <w:ind w:right="156"/>
              <w:spacing w:after="0" w:line="142" w:lineRule="exact"/>
              <w:rPr>
                <w:sz w:val="20"/>
                <w:szCs w:val="20"/>
                <w:color w:val="auto"/>
              </w:rPr>
            </w:pPr>
            <w:r>
              <w:rPr>
                <w:rFonts w:ascii="Times New Roman" w:cs="Times New Roman" w:eastAsia="Times New Roman" w:hAnsi="Times New Roman"/>
                <w:sz w:val="10"/>
                <w:szCs w:val="10"/>
                <w:b w:val="1"/>
                <w:bCs w:val="1"/>
                <w:color w:val="auto"/>
              </w:rPr>
              <w:t>Vested</w:t>
            </w:r>
            <w:r>
              <w:rPr>
                <w:rFonts w:ascii="Times New Roman" w:cs="Times New Roman" w:eastAsia="Times New Roman" w:hAnsi="Times New Roman"/>
                <w:sz w:val="16"/>
                <w:szCs w:val="16"/>
                <w:b w:val="1"/>
                <w:bCs w:val="1"/>
                <w:color w:val="auto"/>
                <w:vertAlign w:val="superscript"/>
              </w:rPr>
              <w:t>(3)</w:t>
            </w:r>
          </w:p>
        </w:tc>
      </w:tr>
      <w:tr>
        <w:trPr>
          <w:trHeight w:val="166"/>
        </w:trPr>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56"/>
        </w:trPr>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43"/>
        </w:trPr>
        <w:tc>
          <w:tcPr>
            <w:tcW w:w="1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Vijay Kotte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6/6/2022</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47,222</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141,666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$11.85</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6/6/2032</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20"/>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6/7/2022</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47,222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629,941</w:t>
            </w:r>
          </w:p>
        </w:tc>
      </w:tr>
      <w:tr>
        <w:trPr>
          <w:trHeight w:val="37"/>
        </w:trPr>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7"/>
        </w:trPr>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4/10/2023</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color w:val="auto"/>
              </w:rPr>
              <w:t>83,333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$14.10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4/10/2033</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20"/>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4/10/2023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166,667</w:t>
            </w: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$2,223,338</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7"/>
        </w:trPr>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r>
      <w:tr>
        <w:trPr>
          <w:trHeight w:val="275"/>
        </w:trPr>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4/10/2023</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166,666</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$2,223,324</w:t>
            </w:r>
          </w:p>
        </w:tc>
      </w:tr>
      <w:tr>
        <w:trPr>
          <w:trHeight w:val="227"/>
        </w:trPr>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Jason Schulz</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6/6/2022</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16,666</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$11.85</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6/6/2032</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37"/>
        </w:trPr>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7"/>
        </w:trPr>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6/7/2022</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667,000</w:t>
            </w:r>
          </w:p>
        </w:tc>
      </w:tr>
      <w:tr>
        <w:trPr>
          <w:trHeight w:val="219"/>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4/10/2023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16,667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$14.10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4/10/2033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7"/>
        </w:trPr>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6"/>
        </w:trPr>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4/10/2023</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444,676</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20"/>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4/10/2023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33,334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​444,676</w:t>
            </w:r>
          </w:p>
        </w:tc>
      </w:tr>
      <w:tr>
        <w:trPr>
          <w:trHeight w:val="50"/>
        </w:trPr>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44"/>
        </w:trPr>
        <w:tc>
          <w:tcPr>
            <w:tcW w:w="1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Hargis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9/12/2022</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296,441</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20"/>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3/21/2023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667,000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7"/>
        </w:trPr>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0"/>
        </w:trPr>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8/9/2023</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667,000</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37"/>
        </w:trPr>
        <w:tc>
          <w:tcPr>
            <w:tcW w:w="10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-2185670</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-2185670</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-2185670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-2185670</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-2185670</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-2185670</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-2185670</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-2185670</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-2185670</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-2185670</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8229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ind w:left="360" w:right="100" w:hanging="352"/>
        <w:spacing w:after="0" w:line="242" w:lineRule="auto"/>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granted in 2022 vest in four equal annual installments on the anniversary of the grant date, subject to continued service with the Company. Stock options granted in 2023 vest in three equal annual installments on the anniversary of the grant date, subject to continued service with the Company.</w:t>
      </w:r>
    </w:p>
    <w:p>
      <w:pPr>
        <w:spacing w:after="0" w:line="174" w:lineRule="exact"/>
        <w:rPr>
          <w:rFonts w:ascii="Times New Roman" w:cs="Times New Roman" w:eastAsia="Times New Roman" w:hAnsi="Times New Roman"/>
          <w:sz w:val="14"/>
          <w:szCs w:val="14"/>
          <w:color w:val="auto"/>
        </w:rPr>
      </w:pPr>
    </w:p>
    <w:p>
      <w:pPr>
        <w:ind w:left="360" w:right="40" w:hanging="352"/>
        <w:spacing w:after="0" w:line="236" w:lineRule="auto"/>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time-based RSUs that remain unvested as of December 31, 2023. Time-based RSUs vest in three equal annual installments on the anniversary of the grant date, except for Mr. Hargis’ grants of (i) 44,444 RSUs on September 12, 2022 vesting in two equal annual installments, with the remaining installment vesting on September 9, 2024 and (ii) 50,000 RSUs on March 21, 2023 vesting in two equal annual installments, with the first such installment vesting on March 21, 2024.</w:t>
      </w:r>
    </w:p>
    <w:p>
      <w:pPr>
        <w:spacing w:after="0" w:line="14" w:lineRule="exact"/>
        <w:rPr>
          <w:rFonts w:ascii="Times New Roman" w:cs="Times New Roman" w:eastAsia="Times New Roman" w:hAnsi="Times New Roman"/>
          <w:sz w:val="14"/>
          <w:szCs w:val="14"/>
          <w:color w:val="auto"/>
        </w:rPr>
      </w:pPr>
    </w:p>
    <w:p>
      <w:pPr>
        <w:ind w:left="360" w:right="360" w:hanging="352"/>
        <w:spacing w:after="0" w:line="261" w:lineRule="auto"/>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of stock units is determined by multiplying the number of units by the closing share price of $13.34 on December 29, 2023 (the last trading day of 2023).</w:t>
      </w:r>
    </w:p>
    <w:p>
      <w:pPr>
        <w:ind w:left="360" w:right="40" w:hanging="352"/>
        <w:spacing w:after="0" w:line="236" w:lineRule="auto"/>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performance-based RSUs that remain unvested as of December 31, 2023. For Messrs. Kotte and Schulz, performance-based RSUs vest after a three-year period based upon either (i) our VWAP over such three-year period for awards granted in 2022 or (ii) the achievement of adjusted EBITDA CAGR over such three-year period for awards granted in 2023. The number of stock units is shown at maximum achievement based on previous fiscal year’s performance.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Severance</w:t>
      </w:r>
    </w:p>
    <w:p>
      <w:pPr>
        <w:spacing w:after="0" w:line="121" w:lineRule="exact"/>
        <w:rPr>
          <w:sz w:val="20"/>
          <w:szCs w:val="20"/>
          <w:color w:val="auto"/>
        </w:rPr>
      </w:pPr>
    </w:p>
    <w:p>
      <w:pPr>
        <w:ind w:left="340" w:right="520"/>
        <w:spacing w:after="0" w:line="282" w:lineRule="auto"/>
        <w:rPr>
          <w:sz w:val="20"/>
          <w:szCs w:val="20"/>
          <w:color w:val="auto"/>
        </w:rPr>
      </w:pPr>
      <w:r>
        <w:rPr>
          <w:rFonts w:ascii="Times New Roman" w:cs="Times New Roman" w:eastAsia="Times New Roman" w:hAnsi="Times New Roman"/>
          <w:sz w:val="18"/>
          <w:szCs w:val="18"/>
          <w:color w:val="auto"/>
        </w:rPr>
        <w:t>The severance rights of each NEO are provided in their applicable employment arrangement. Please see the above Employment Agreement summaries for the applicable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3" w:right="1419"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2023 Director Compensation</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Each non-employee director who does not serve as a chairperson or co-chairperson of the Board receives an annual cash retainer of $150,000. Further, in May of 2023, the Board established a special committee of the Board (“Special Committee”) to consider a proposal from its two largest stockholders to acquire all of the outstanding Class A Common Stock and LLC interests which such stockholders collectively did not already own. The Board appointed as the members of the Special Committee independent directors David Fisher, Alexander Timm, and Joseph Flanagan. Messrs. Timm and Flanagan each received a cash fee in the amount of $100,000 for their service on the Special Committee. Mr. Fisher received a cash fee in the amount of $125,000 for his extraordinary service as chairman of the Special Committee. The Board approved the compensation of the members of the Special Committee for their service thereon.</w:t>
      </w:r>
    </w:p>
    <w:p>
      <w:pPr>
        <w:spacing w:after="0" w:line="80"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addition, each such non-employee director who does not serve as a chairperson or co-chairperson of the Board or a committee of the Board or as the lead director of the Board (each, a “Non-Chair Director”) receives an annual RSU award with a grant date value of $150,000 and each such non-employee director who serves as a chairperson or co-chairperson of the Board or a committee of the Board or as the lead director of the board of directors (each, a “Chair Director”) receives an annual RSU award with a value of $250,000, with all such restricted stock unit awards vesting in four equal installments on each of the first four quarterly anniversaries following the grant date of the award (or immediately prior to the date of the annual stockholder meeting immediately following the date of grant, if sooner), subject to such non-employee director continuing in service through such date (and any such non-employee director who commences service on a date other than the date of the annual stockholder meeting receives a pro-rata RSU award for such initial year of service). The vesting of all RSU awards under the policy will accelerate and vest in full upon a change in control (as defined in the Plan). In addition, each non-employee director will be reimbursed for out-of-pocket expenses in connection with his or her services. No additional compensation is provided to directors employed by the Company or the Centerbridge employed directors.</w:t>
      </w:r>
    </w:p>
    <w:p>
      <w:pPr>
        <w:spacing w:after="0" w:line="7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On December 22, 2020, we adopted and implemented a deferred compensation plan for our directors, under which our directors may elect to defer the receipt of their RSU awards until the earliest of (i) the five-year anniversary of the date of grant of the award, (ii) a change in control, as defined in the 2020 Plan, and (iii) the director’s separation from service. Deferred RSUs are subject to the same vesting and forfeiture restrictions.</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Clinton Jones entered into an Amended &amp; Restated Employment Agreement with the Company on June 3, 2022 (the “Jones A&amp;R Employment Agreement”). Under the Jones A&amp;R Employment Agreement, beginning on the date Mr. Jones no longer served as Executive Chairman and until May 31, 2024, the Jones A&amp;R Employment Agreement provides that Mr. Jones will receive a $500,000 annual cash retainer for his continued service as a director. Beginning June 1, 2024, so long as Mr. Jones continues to serve as a director, he will receive director compensation consistent with the Company’s non-employee director compensation policy and will continue to vest in his outstanding equity awards in accordance with their terms. As previously disclosed, pursuant to the Jones A&amp;R Employment Agreement, Mr. Jones receives two years of salary continuation (from December 31, 2022) and up to 18 months of COBRA premium reimbursement (including additional payments to cover estimated taxes associated with the receipt of such COBRA premium reimbursements), with the severance subject to Mr. Jones executing a release of claims in favor of the Company and complying with any restrictive covenants through the period of payment. The amount reported in the 2023 Director Compensation relates solely to his service as a director during 2023.</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Mr. Brandon Cruz also receives a fee of $500,000 for his service as Co-Chairman of the Board.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received by our directors for the year ended December 31, 2023.</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2023 Director Compensation</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980" w:type="dxa"/>
            <w:vAlign w:val="bottom"/>
            <w:gridSpan w:val="2"/>
          </w:tcPr>
          <w:p>
            <w:pPr>
              <w:ind w:left="160"/>
              <w:spacing w:after="0" w:line="179"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20"/>
                <w:szCs w:val="20"/>
                <w:b w:val="1"/>
                <w:bCs w:val="1"/>
                <w:color w:val="auto"/>
                <w:vertAlign w:val="superscript"/>
              </w:rPr>
              <w:t>(1)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220" w:type="dxa"/>
            <w:vAlign w:val="bottom"/>
            <w:gridSpan w:val="2"/>
            <w:vMerge w:val="continue"/>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280" w:type="dxa"/>
            <w:vAlign w:val="bottom"/>
          </w:tcPr>
          <w:p>
            <w:pPr>
              <w:spacing w:after="0"/>
              <w:rPr>
                <w:sz w:val="16"/>
                <w:szCs w:val="16"/>
                <w:color w:val="auto"/>
              </w:rPr>
            </w:pPr>
          </w:p>
        </w:tc>
        <w:tc>
          <w:tcPr>
            <w:tcW w:w="7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49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Cruz</w:t>
            </w:r>
          </w:p>
        </w:tc>
        <w:tc>
          <w:tcPr>
            <w:tcW w:w="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Fisher</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$275,000</w:t>
            </w:r>
          </w:p>
        </w:tc>
        <w:tc>
          <w:tcPr>
            <w:tcW w:w="280" w:type="dxa"/>
            <w:vAlign w:val="bottom"/>
          </w:tcPr>
          <w:p>
            <w:pPr>
              <w:spacing w:after="0"/>
              <w:rPr>
                <w:sz w:val="23"/>
                <w:szCs w:val="23"/>
                <w:color w:val="auto"/>
              </w:rPr>
            </w:pPr>
          </w:p>
        </w:tc>
        <w:tc>
          <w:tcPr>
            <w:tcW w:w="9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$249,997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$524,997</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G. Flanagan</w:t>
            </w:r>
          </w:p>
        </w:tc>
        <w:tc>
          <w:tcPr>
            <w:tcW w:w="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$249,997</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$499,997</w:t>
            </w:r>
          </w:p>
        </w:tc>
        <w:tc>
          <w:tcPr>
            <w:tcW w:w="0" w:type="dxa"/>
            <w:vAlign w:val="bottom"/>
          </w:tcPr>
          <w:p>
            <w:pPr>
              <w:spacing w:after="0"/>
              <w:rPr>
                <w:sz w:val="1"/>
                <w:szCs w:val="1"/>
                <w:color w:val="auto"/>
              </w:rPr>
            </w:pPr>
          </w:p>
        </w:tc>
      </w:tr>
      <w:tr>
        <w:trPr>
          <w:trHeight w:val="36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W. Gelber</w:t>
            </w:r>
            <w:r>
              <w:rPr>
                <w:rFonts w:ascii="Times New Roman" w:cs="Times New Roman" w:eastAsia="Times New Roman" w:hAnsi="Times New Roman"/>
                <w:sz w:val="29"/>
                <w:szCs w:val="29"/>
                <w:color w:val="auto"/>
                <w:vertAlign w:val="superscript"/>
              </w:rPr>
              <w:t>(2)</w:t>
            </w:r>
          </w:p>
        </w:tc>
        <w:tc>
          <w:tcPr>
            <w:tcW w:w="4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Karoline Hilu</w:t>
            </w:r>
            <w:r>
              <w:rPr>
                <w:rFonts w:ascii="Times New Roman" w:cs="Times New Roman" w:eastAsia="Times New Roman" w:hAnsi="Times New Roman"/>
                <w:sz w:val="29"/>
                <w:szCs w:val="29"/>
                <w:color w:val="auto"/>
                <w:vertAlign w:val="superscript"/>
              </w:rPr>
              <w:t>(3)</w:t>
            </w: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$148,269</w:t>
            </w:r>
          </w:p>
        </w:tc>
        <w:tc>
          <w:tcPr>
            <w:tcW w:w="2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$207,521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$355,790</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23"/>
                <w:szCs w:val="23"/>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w:t>
            </w:r>
            <w:r>
              <w:rPr>
                <w:rFonts w:ascii="Times New Roman" w:cs="Times New Roman" w:eastAsia="Times New Roman" w:hAnsi="Times New Roman"/>
                <w:sz w:val="29"/>
                <w:szCs w:val="29"/>
                <w:color w:val="auto"/>
                <w:vertAlign w:val="superscript"/>
              </w:rPr>
              <w:t>(4)</w:t>
            </w:r>
          </w:p>
        </w:tc>
        <w:tc>
          <w:tcPr>
            <w:tcW w:w="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Litchford</w:t>
            </w:r>
            <w:r>
              <w:rPr>
                <w:rFonts w:ascii="Times New Roman" w:cs="Times New Roman" w:eastAsia="Times New Roman" w:hAnsi="Times New Roman"/>
                <w:sz w:val="29"/>
                <w:szCs w:val="29"/>
                <w:color w:val="auto"/>
                <w:vertAlign w:val="superscript"/>
              </w:rPr>
              <w:t>(2)</w:t>
            </w:r>
          </w:p>
        </w:tc>
        <w:tc>
          <w:tcPr>
            <w:tcW w:w="4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E. Timm</w:t>
            </w: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$149,994</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$399,994</w:t>
            </w:r>
          </w:p>
        </w:tc>
        <w:tc>
          <w:tcPr>
            <w:tcW w:w="0" w:type="dxa"/>
            <w:vAlign w:val="bottom"/>
          </w:tcPr>
          <w:p>
            <w:pPr>
              <w:spacing w:after="0"/>
              <w:rPr>
                <w:sz w:val="1"/>
                <w:szCs w:val="1"/>
                <w:color w:val="auto"/>
              </w:rPr>
            </w:pPr>
          </w:p>
        </w:tc>
      </w:tr>
      <w:tr>
        <w:trPr>
          <w:trHeight w:val="54"/>
        </w:trPr>
        <w:tc>
          <w:tcPr>
            <w:tcW w:w="49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-1971040</wp:posOffset>
            </wp:positionV>
            <wp:extent cx="1714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-1971040</wp:posOffset>
            </wp:positionV>
            <wp:extent cx="1714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-1971040</wp:posOffset>
            </wp:positionV>
            <wp:extent cx="1714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79" w:hanging="348"/>
        <w:spacing w:after="0" w:line="227"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grant-date fair value of the RSU awards during the year ended December 31, 2023 computed in accordance with ASC Topic 718 based on the closing stock price on the date of grant. Directors were provided an annual grant on May 23, 2023 which vests in four equal quarterly installments, with the first such installment vesting on August 23, 2023. Ms. Hilu was granted 4,677 RSUs upon her appointment to the Board which vest in four quarterly installments, the first of such installment vesting on April 5, 2023. As of December 31, 2023, the non-employee Directors had the following number of RSU awards unvested: Mr. Fisher 6,569; Mr. Flanagan 6,569; Ms. Hilu 3,941 and Mr. Timm 3,941. In addition, as of December 31, 2023, two of our non-employee Directors who founded the Company and were previously employees had the following number of awards outstanding: Mr. Cruz 12,003 RSUs (inclusive of 9,002 of performance-based RSUs at maximum achievement) and 7,525 options (2,509 which are unvested); and Mr. Jones 12,003 RSUs (inclusive of 9,002 of performance-based RSUs at maximum achievement) and 7,525 options (2,509 which are unvested).</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Centerbridge director nominees, Mr. Gelber and Mr. Litchford do not receive any compensation for their Board service.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Hilu was appointed to the Board on January 5, 2023.</w:t>
      </w:r>
    </w:p>
    <w:p>
      <w:pPr>
        <w:spacing w:after="0" w:line="41" w:lineRule="exact"/>
        <w:rPr>
          <w:rFonts w:ascii="Times New Roman" w:cs="Times New Roman" w:eastAsia="Times New Roman" w:hAnsi="Times New Roman"/>
          <w:sz w:val="14"/>
          <w:szCs w:val="14"/>
          <w:color w:val="auto"/>
        </w:rPr>
      </w:pPr>
    </w:p>
    <w:p>
      <w:pPr>
        <w:ind w:left="640" w:right="69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employee of the Company, Mr. Kotte receives no additional compensation for his Board service. Please see the 2023 Summary Compensation Table for the compensation received by Mr. Kotte with respect to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759"/>
        <w:spacing w:after="0" w:line="266"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we provide the following disclosure regarding executive “compensation actually paid” (“CAP”) and certain Company performance for the fiscal years listed below.</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 Graphical Description</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7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Initial Fixed</w:t>
            </w:r>
          </w:p>
        </w:tc>
        <w:tc>
          <w:tcPr>
            <w:tcW w:w="7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$100</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7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Based On</w:t>
            </w:r>
          </w:p>
        </w:tc>
        <w:tc>
          <w:tcPr>
            <w:tcW w:w="740" w:type="dxa"/>
            <w:vAlign w:val="bottom"/>
          </w:tcPr>
          <w:p>
            <w:pPr>
              <w:spacing w:after="0"/>
              <w:rPr>
                <w:sz w:val="12"/>
                <w:szCs w:val="12"/>
                <w:color w:val="auto"/>
              </w:rPr>
            </w:pPr>
          </w:p>
        </w:tc>
      </w:tr>
      <w:tr>
        <w:trPr>
          <w:trHeight w:val="165"/>
        </w:trPr>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Actually</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Table Total for</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Actually Paid to</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148"/>
        </w:trPr>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Table Total for</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Actually Paid to</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Table Total for</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Paid to</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Non-CEO</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Non-CEO</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Shareholder</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Income</w:t>
            </w:r>
          </w:p>
        </w:tc>
      </w:tr>
      <w:tr>
        <w:trPr>
          <w:trHeight w:val="243"/>
        </w:trPr>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21"/>
                <w:szCs w:val="21"/>
                <w:color w:val="auto"/>
              </w:rPr>
            </w:pPr>
          </w:p>
        </w:tc>
        <w:tc>
          <w:tcPr>
            <w:tcW w:w="8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3"/>
                <w:szCs w:val="13"/>
                <w:b w:val="1"/>
                <w:bCs w:val="1"/>
                <w:color w:val="auto"/>
                <w:w w:val="95"/>
              </w:rPr>
              <w:t>Jones</w:t>
            </w:r>
            <w:r>
              <w:rPr>
                <w:rFonts w:ascii="Times New Roman" w:cs="Times New Roman" w:eastAsia="Times New Roman" w:hAnsi="Times New Roman"/>
                <w:sz w:val="22"/>
                <w:szCs w:val="22"/>
                <w:b w:val="1"/>
                <w:bCs w:val="1"/>
                <w:color w:val="auto"/>
                <w:w w:val="95"/>
                <w:vertAlign w:val="superscript"/>
              </w:rPr>
              <w:t>(1)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64"/>
              <w:spacing w:after="0" w:line="243" w:lineRule="exact"/>
              <w:rPr>
                <w:sz w:val="20"/>
                <w:szCs w:val="20"/>
                <w:color w:val="auto"/>
              </w:rPr>
            </w:pPr>
            <w:r>
              <w:rPr>
                <w:rFonts w:ascii="Times New Roman" w:cs="Times New Roman" w:eastAsia="Times New Roman" w:hAnsi="Times New Roman"/>
                <w:sz w:val="26"/>
                <w:szCs w:val="26"/>
                <w:b w:val="1"/>
                <w:bCs w:val="1"/>
                <w:color w:val="auto"/>
                <w:w w:val="90"/>
                <w:vertAlign w:val="subscript"/>
              </w:rPr>
              <w:t>Jones</w:t>
            </w:r>
            <w:r>
              <w:rPr>
                <w:rFonts w:ascii="Times New Roman" w:cs="Times New Roman" w:eastAsia="Times New Roman" w:hAnsi="Times New Roman"/>
                <w:sz w:val="11"/>
                <w:szCs w:val="11"/>
                <w:b w:val="1"/>
                <w:bCs w:val="1"/>
                <w:color w:val="auto"/>
                <w:w w:val="90"/>
              </w:rPr>
              <w:t>(1)(2)(3)</w:t>
            </w:r>
          </w:p>
        </w:tc>
        <w:tc>
          <w:tcPr>
            <w:tcW w:w="100" w:type="dxa"/>
            <w:vAlign w:val="bottom"/>
          </w:tcPr>
          <w:p>
            <w:pPr>
              <w:spacing w:after="0"/>
              <w:rPr>
                <w:sz w:val="21"/>
                <w:szCs w:val="21"/>
                <w:color w:val="auto"/>
              </w:rPr>
            </w:pPr>
          </w:p>
        </w:tc>
        <w:tc>
          <w:tcPr>
            <w:tcW w:w="8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3"/>
                <w:szCs w:val="13"/>
                <w:b w:val="1"/>
                <w:bCs w:val="1"/>
                <w:color w:val="auto"/>
                <w:w w:val="95"/>
              </w:rPr>
              <w:t>Kotte</w:t>
            </w:r>
            <w:r>
              <w:rPr>
                <w:rFonts w:ascii="Times New Roman" w:cs="Times New Roman" w:eastAsia="Times New Roman" w:hAnsi="Times New Roman"/>
                <w:sz w:val="22"/>
                <w:szCs w:val="22"/>
                <w:b w:val="1"/>
                <w:bCs w:val="1"/>
                <w:color w:val="auto"/>
                <w:w w:val="95"/>
                <w:vertAlign w:val="superscript"/>
              </w:rPr>
              <w:t>(1)</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6"/>
                <w:szCs w:val="26"/>
                <w:b w:val="1"/>
                <w:bCs w:val="1"/>
                <w:color w:val="auto"/>
                <w:w w:val="87"/>
                <w:vertAlign w:val="subscript"/>
              </w:rPr>
              <w:t>Kotte</w:t>
            </w:r>
            <w:r>
              <w:rPr>
                <w:rFonts w:ascii="Times New Roman" w:cs="Times New Roman" w:eastAsia="Times New Roman" w:hAnsi="Times New Roman"/>
                <w:sz w:val="11"/>
                <w:szCs w:val="11"/>
                <w:b w:val="1"/>
                <w:bCs w:val="1"/>
                <w:color w:val="auto"/>
                <w:w w:val="87"/>
              </w:rPr>
              <w:t>(1)(2)(3)</w:t>
            </w:r>
          </w:p>
        </w:tc>
        <w:tc>
          <w:tcPr>
            <w:tcW w:w="120" w:type="dxa"/>
            <w:vAlign w:val="bottom"/>
          </w:tcPr>
          <w:p>
            <w:pPr>
              <w:spacing w:after="0"/>
              <w:rPr>
                <w:sz w:val="21"/>
                <w:szCs w:val="21"/>
                <w:color w:val="auto"/>
              </w:rPr>
            </w:pPr>
          </w:p>
        </w:tc>
        <w:tc>
          <w:tcPr>
            <w:tcW w:w="8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3"/>
                <w:szCs w:val="13"/>
                <w:b w:val="1"/>
                <w:bCs w:val="1"/>
                <w:color w:val="auto"/>
                <w:w w:val="91"/>
              </w:rPr>
              <w:t>NEOs</w:t>
            </w:r>
            <w:r>
              <w:rPr>
                <w:rFonts w:ascii="Times New Roman" w:cs="Times New Roman" w:eastAsia="Times New Roman" w:hAnsi="Times New Roman"/>
                <w:sz w:val="22"/>
                <w:szCs w:val="22"/>
                <w:b w:val="1"/>
                <w:bCs w:val="1"/>
                <w:color w:val="auto"/>
                <w:w w:val="91"/>
                <w:vertAlign w:val="superscript"/>
              </w:rPr>
              <w:t>(4)</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6"/>
                <w:szCs w:val="26"/>
                <w:b w:val="1"/>
                <w:bCs w:val="1"/>
                <w:color w:val="auto"/>
                <w:w w:val="89"/>
                <w:vertAlign w:val="subscript"/>
              </w:rPr>
              <w:t>NEOs</w:t>
            </w:r>
            <w:r>
              <w:rPr>
                <w:rFonts w:ascii="Times New Roman" w:cs="Times New Roman" w:eastAsia="Times New Roman" w:hAnsi="Times New Roman"/>
                <w:sz w:val="11"/>
                <w:szCs w:val="11"/>
                <w:b w:val="1"/>
                <w:bCs w:val="1"/>
                <w:color w:val="auto"/>
                <w:w w:val="89"/>
              </w:rPr>
              <w:t>(2)(3)(4)</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3"/>
                <w:szCs w:val="13"/>
                <w:b w:val="1"/>
                <w:bCs w:val="1"/>
                <w:color w:val="auto"/>
                <w:w w:val="94"/>
              </w:rPr>
              <w:t>Return</w:t>
            </w:r>
            <w:r>
              <w:rPr>
                <w:rFonts w:ascii="Times New Roman" w:cs="Times New Roman" w:eastAsia="Times New Roman" w:hAnsi="Times New Roman"/>
                <w:sz w:val="22"/>
                <w:szCs w:val="22"/>
                <w:b w:val="1"/>
                <w:bCs w:val="1"/>
                <w:color w:val="auto"/>
                <w:w w:val="94"/>
                <w:vertAlign w:val="superscript"/>
              </w:rPr>
              <w:t>(5)</w:t>
            </w:r>
          </w:p>
        </w:tc>
        <w:tc>
          <w:tcPr>
            <w:tcW w:w="120" w:type="dxa"/>
            <w:vAlign w:val="bottom"/>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23"/>
        </w:trPr>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(b)</w:t>
            </w:r>
          </w:p>
        </w:tc>
        <w:tc>
          <w:tcPr>
            <w:tcW w:w="14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(h)</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w:t>
            </w:r>
          </w:p>
        </w:tc>
      </w:tr>
      <w:tr>
        <w:trPr>
          <w:trHeight w:val="54"/>
        </w:trPr>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18"/>
        </w:trPr>
        <w:tc>
          <w:tcPr>
            <w:tcW w:w="6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94"/>
              </w:rPr>
              <w:t>2023</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$5,141,874</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$5,961,359</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$1,794,887</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$ 1,872,627</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$ 6.51</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(63.26)</w:t>
            </w:r>
          </w:p>
        </w:tc>
      </w:tr>
      <w:tr>
        <w:trPr>
          <w:trHeight w:val="270"/>
        </w:trPr>
        <w:tc>
          <w:tcPr>
            <w:tcW w:w="6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w w:val="94"/>
              </w:rPr>
              <w:t>2022</w:t>
            </w:r>
          </w:p>
        </w:tc>
        <w:tc>
          <w:tcPr>
            <w:tcW w:w="1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$2,659,957</w:t>
            </w:r>
          </w:p>
        </w:tc>
        <w:tc>
          <w:tcPr>
            <w:tcW w:w="12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323,579</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$9,206,399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$8,450,786</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$3,769,344</w:t>
            </w:r>
          </w:p>
        </w:tc>
        <w:tc>
          <w:tcPr>
            <w:tcW w:w="100" w:type="dxa"/>
            <w:vAlign w:val="bottom"/>
          </w:tcPr>
          <w:p>
            <w:pPr>
              <w:spacing w:after="0"/>
              <w:rPr>
                <w:sz w:val="23"/>
                <w:szCs w:val="2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$ 2,569,039</w:t>
            </w:r>
          </w:p>
        </w:tc>
        <w:tc>
          <w:tcPr>
            <w:tcW w:w="10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$ 5.10</w:t>
            </w:r>
          </w:p>
        </w:tc>
        <w:tc>
          <w:tcPr>
            <w:tcW w:w="12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$(148.71)</w:t>
            </w:r>
          </w:p>
        </w:tc>
      </w:tr>
      <w:tr>
        <w:trPr>
          <w:trHeight w:val="54"/>
        </w:trPr>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0"/>
        </w:trPr>
        <w:tc>
          <w:tcPr>
            <w:tcW w:w="6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94"/>
              </w:rPr>
              <w:t>2021</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$4,930,844</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$(6,486,965)</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$4,042,886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$(1,688,280)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$(189.36)</w:t>
            </w:r>
          </w:p>
        </w:tc>
      </w:tr>
      <w:tr>
        <w:trPr>
          <w:trHeight w:val="54"/>
        </w:trPr>
        <w:tc>
          <w:tcPr>
            <w:tcW w:w="6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69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Kotte has served as the Chief Executive Officer since June 3, 2022. Mr. Jones served as Chief Executive Officer during 2021 and through June 2, 2022.</w:t>
      </w:r>
    </w:p>
    <w:p>
      <w:pPr>
        <w:ind w:left="640" w:right="51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from, and additions to, total compensation in the Summary Compensation Table by year to calculate Compensation Actually Paid consist of:</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98"/>
        </w:trPr>
        <w:tc>
          <w:tcPr>
            <w:tcW w:w="2120" w:type="dxa"/>
            <w:vAlign w:val="bottom"/>
          </w:tcPr>
          <w:p>
            <w:pPr>
              <w:spacing w:after="0"/>
              <w:rPr>
                <w:sz w:val="8"/>
                <w:szCs w:val="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5"/>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6"/>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Vijay Kotte -</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3"/>
              </w:rPr>
              <w:t>Average Non-</w:t>
            </w: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Clint Jones</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6"/>
                <w:szCs w:val="16"/>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8"/>
              </w:rPr>
              <w:t>Vijay Kotte</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Average Non-</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6"/>
              </w:rPr>
              <w:t>Clint Jones -</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3"/>
              </w:rPr>
              <w:t>Average Non-</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CEO</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CEO NEOs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CEO</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CEO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CEO NEOs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CEO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CEO NEOs</w:t>
            </w:r>
          </w:p>
        </w:tc>
        <w:tc>
          <w:tcPr>
            <w:tcW w:w="0" w:type="dxa"/>
            <w:vAlign w:val="bottom"/>
          </w:tcPr>
          <w:p>
            <w:pPr>
              <w:spacing w:after="0"/>
              <w:rPr>
                <w:sz w:val="1"/>
                <w:szCs w:val="1"/>
                <w:color w:val="auto"/>
              </w:rPr>
            </w:pPr>
          </w:p>
        </w:tc>
      </w:tr>
      <w:tr>
        <w:trPr>
          <w:trHeight w:val="41"/>
        </w:trPr>
        <w:tc>
          <w:tcPr>
            <w:tcW w:w="21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Compensation from Summary</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1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5,141,874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1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1,794,887</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2,659,957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9,206,399</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4"/>
                <w:szCs w:val="4"/>
                <w:color w:val="auto"/>
              </w:rPr>
              <w:t>​   ​</w:t>
            </w:r>
          </w:p>
        </w:tc>
        <w:tc>
          <w:tcPr>
            <w:tcW w:w="1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3,769,344</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4,930,844</w:t>
            </w: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4,042,886</w:t>
            </w:r>
          </w:p>
        </w:tc>
        <w:tc>
          <w:tcPr>
            <w:tcW w:w="0" w:type="dxa"/>
            <w:vAlign w:val="bottom"/>
          </w:tcPr>
          <w:p>
            <w:pPr>
              <w:spacing w:after="0"/>
              <w:rPr>
                <w:sz w:val="1"/>
                <w:szCs w:val="1"/>
                <w:color w:val="auto"/>
              </w:rPr>
            </w:pPr>
          </w:p>
        </w:tc>
      </w:tr>
      <w:tr>
        <w:trPr>
          <w:trHeight w:val="161"/>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Compensation Table</w:t>
            </w:r>
          </w:p>
        </w:tc>
        <w:tc>
          <w:tcPr>
            <w:tcW w:w="140" w:type="dxa"/>
            <w:vAlign w:val="bottom"/>
            <w:shd w:val="clear" w:color="auto" w:fill="CCEEFF"/>
          </w:tcPr>
          <w:p>
            <w:pPr>
              <w:spacing w:after="0"/>
              <w:rPr>
                <w:sz w:val="13"/>
                <w:szCs w:val="13"/>
                <w:color w:val="auto"/>
              </w:rPr>
            </w:pPr>
          </w:p>
        </w:tc>
        <w:tc>
          <w:tcPr>
            <w:tcW w:w="10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Adjustments for Pension</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w:t>
            </w:r>
          </w:p>
        </w:tc>
        <w:tc>
          <w:tcPr>
            <w:tcW w:w="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w:t>
            </w: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 xml:space="preserve">0 </w:t>
            </w:r>
            <w:r>
              <w:rPr>
                <w:rFonts w:ascii="Times New Roman" w:cs="Times New Roman" w:eastAsia="Times New Roman" w:hAnsi="Times New Roman"/>
                <w:sz w:val="3"/>
                <w:szCs w:val="3"/>
                <w:color w:val="auto"/>
              </w:rPr>
              <w:t>​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 xml:space="preserve">0 </w:t>
            </w:r>
            <w:r>
              <w:rPr>
                <w:rFonts w:ascii="Times New Roman" w:cs="Times New Roman" w:eastAsia="Times New Roman" w:hAnsi="Times New Roman"/>
                <w:sz w:val="3"/>
                <w:szCs w:val="3"/>
                <w:color w:val="auto"/>
              </w:rPr>
              <w:t>​   ​</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 xml:space="preserve">0 </w:t>
            </w:r>
            <w:r>
              <w:rPr>
                <w:rFonts w:ascii="Times New Roman" w:cs="Times New Roman" w:eastAsia="Times New Roman" w:hAnsi="Times New Roman"/>
                <w:sz w:val="3"/>
                <w:szCs w:val="3"/>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xml:space="preserve">0 </w:t>
            </w:r>
            <w:r>
              <w:rPr>
                <w:rFonts w:ascii="Times New Roman" w:cs="Times New Roman" w:eastAsia="Times New Roman" w:hAnsi="Times New Roman"/>
                <w:sz w:val="3"/>
                <w:szCs w:val="3"/>
                <w:color w:val="auto"/>
              </w:rPr>
              <w:t>​   ​</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w:t>
            </w:r>
          </w:p>
        </w:tc>
        <w:tc>
          <w:tcPr>
            <w:tcW w:w="0" w:type="dxa"/>
            <w:vAlign w:val="bottom"/>
          </w:tcPr>
          <w:p>
            <w:pPr>
              <w:spacing w:after="0"/>
              <w:rPr>
                <w:sz w:val="1"/>
                <w:szCs w:val="1"/>
                <w:color w:val="auto"/>
              </w:rPr>
            </w:pPr>
          </w:p>
        </w:tc>
      </w:tr>
      <w:tr>
        <w:trPr>
          <w:trHeight w:val="41"/>
        </w:trPr>
        <w:tc>
          <w:tcPr>
            <w:tcW w:w="2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Adjustments for Equity Awards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 for grant date values in</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120" w:type="dxa"/>
            <w:vAlign w:val="bottom"/>
          </w:tcPr>
          <w:p>
            <w:pPr>
              <w:ind w:left="360"/>
              <w:spacing w:after="0" w:line="94" w:lineRule="exact"/>
              <w:rPr>
                <w:sz w:val="20"/>
                <w:szCs w:val="20"/>
                <w:color w:val="auto"/>
              </w:rPr>
            </w:pPr>
            <w:r>
              <w:rPr>
                <w:rFonts w:ascii="Times New Roman" w:cs="Times New Roman" w:eastAsia="Times New Roman" w:hAnsi="Times New Roman"/>
                <w:sz w:val="10"/>
                <w:szCs w:val="10"/>
                <w:color w:val="auto"/>
              </w:rPr>
              <w:t>the Summary Compensation</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1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Table</w:t>
            </w:r>
          </w:p>
        </w:tc>
        <w:tc>
          <w:tcPr>
            <w:tcW w:w="140" w:type="dxa"/>
            <w:vAlign w:val="bottom"/>
          </w:tcPr>
          <w:p>
            <w:pPr>
              <w:spacing w:after="0"/>
              <w:rPr>
                <w:sz w:val="19"/>
                <w:szCs w:val="19"/>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8"/>
              </w:rPr>
              <w:t>(4,216,664)</w:t>
            </w:r>
          </w:p>
        </w:tc>
        <w:tc>
          <w:tcPr>
            <w:tcW w:w="120" w:type="dxa"/>
            <w:vAlign w:val="bottom"/>
          </w:tcPr>
          <w:p>
            <w:pPr>
              <w:spacing w:after="0"/>
              <w:rPr>
                <w:sz w:val="19"/>
                <w:szCs w:val="19"/>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(1,272,675)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(1,500,000)</w:t>
            </w:r>
          </w:p>
        </w:tc>
        <w:tc>
          <w:tcPr>
            <w:tcW w:w="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8"/>
              </w:rPr>
              <w:t>(7,040,812)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(2,655,067)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(4,000,076)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8"/>
              </w:rPr>
              <w:t>(3,139,813)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5143500" cy="351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3511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-933450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-933450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-933450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-933450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-933450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-933450</wp:posOffset>
            </wp:positionV>
            <wp:extent cx="3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82" w:lineRule="exact"/>
        <w:rPr>
          <w:sz w:val="20"/>
          <w:szCs w:val="20"/>
          <w:color w:val="auto"/>
        </w:rPr>
      </w:pPr>
    </w:p>
    <w:p>
      <w:pPr>
        <w:jc w:val="both"/>
        <w:ind w:left="1020" w:right="120" w:hanging="179"/>
        <w:spacing w:after="0" w:line="258" w:lineRule="auto"/>
        <w:rPr>
          <w:sz w:val="20"/>
          <w:szCs w:val="20"/>
          <w:color w:val="auto"/>
        </w:rPr>
      </w:pPr>
      <w:r>
        <w:rPr>
          <w:rFonts w:ascii="Times New Roman" w:cs="Times New Roman" w:eastAsia="Times New Roman" w:hAnsi="Times New Roman"/>
          <w:sz w:val="13"/>
          <w:szCs w:val="13"/>
          <w:color w:val="auto"/>
        </w:rPr>
        <w:t>Year-end fair value of unvested awards granted in the current year</w:t>
      </w:r>
    </w:p>
    <w:p>
      <w:pPr>
        <w:spacing w:after="0" w:line="71" w:lineRule="exact"/>
        <w:rPr>
          <w:sz w:val="20"/>
          <w:szCs w:val="20"/>
          <w:color w:val="auto"/>
        </w:rPr>
      </w:pPr>
    </w:p>
    <w:p>
      <w:pPr>
        <w:ind w:left="1020" w:right="20" w:hanging="179"/>
        <w:spacing w:after="0" w:line="258" w:lineRule="auto"/>
        <w:rPr>
          <w:sz w:val="20"/>
          <w:szCs w:val="20"/>
          <w:color w:val="auto"/>
        </w:rPr>
      </w:pPr>
      <w:r>
        <w:rPr>
          <w:rFonts w:ascii="Times New Roman" w:cs="Times New Roman" w:eastAsia="Times New Roman" w:hAnsi="Times New Roman"/>
          <w:sz w:val="13"/>
          <w:szCs w:val="13"/>
          <w:color w:val="auto"/>
        </w:rPr>
        <w:t>Year-over-year difference of year-end fair values for unvested awards granted in prior years</w:t>
      </w:r>
    </w:p>
    <w:p>
      <w:pPr>
        <w:spacing w:after="0" w:line="71" w:lineRule="exact"/>
        <w:rPr>
          <w:sz w:val="20"/>
          <w:szCs w:val="20"/>
          <w:color w:val="auto"/>
        </w:rPr>
      </w:pPr>
    </w:p>
    <w:p>
      <w:pPr>
        <w:ind w:left="1020" w:right="20" w:hanging="179"/>
        <w:spacing w:after="0" w:line="258" w:lineRule="auto"/>
        <w:rPr>
          <w:sz w:val="20"/>
          <w:szCs w:val="20"/>
          <w:color w:val="auto"/>
        </w:rPr>
      </w:pPr>
      <w:r>
        <w:rPr>
          <w:rFonts w:ascii="Times New Roman" w:cs="Times New Roman" w:eastAsia="Times New Roman" w:hAnsi="Times New Roman"/>
          <w:sz w:val="13"/>
          <w:szCs w:val="13"/>
          <w:color w:val="auto"/>
        </w:rPr>
        <w:t>Fair values at vest date for awards granted and vested in current year</w:t>
      </w:r>
    </w:p>
    <w:p>
      <w:pPr>
        <w:spacing w:after="0" w:line="71" w:lineRule="exact"/>
        <w:rPr>
          <w:sz w:val="20"/>
          <w:szCs w:val="20"/>
          <w:color w:val="auto"/>
        </w:rPr>
      </w:pPr>
    </w:p>
    <w:p>
      <w:pPr>
        <w:ind w:left="1020" w:hanging="179"/>
        <w:spacing w:after="0" w:line="251" w:lineRule="auto"/>
        <w:rPr>
          <w:sz w:val="20"/>
          <w:szCs w:val="20"/>
          <w:color w:val="auto"/>
        </w:rPr>
      </w:pPr>
      <w:r>
        <w:rPr>
          <w:rFonts w:ascii="Times New Roman" w:cs="Times New Roman" w:eastAsia="Times New Roman" w:hAnsi="Times New Roman"/>
          <w:sz w:val="13"/>
          <w:szCs w:val="13"/>
          <w:color w:val="auto"/>
        </w:rPr>
        <w:t>Difference in fair values between prior year-end fair values and vest date fair values for awards granted in prior years</w:t>
      </w:r>
    </w:p>
    <w:p>
      <w:pPr>
        <w:spacing w:after="0" w:line="100" w:lineRule="exact"/>
        <w:rPr>
          <w:sz w:val="20"/>
          <w:szCs w:val="20"/>
          <w:color w:val="auto"/>
        </w:rPr>
      </w:pPr>
    </w:p>
    <w:p>
      <w:pPr>
        <w:ind w:left="660" w:right="360"/>
        <w:spacing w:after="0" w:line="284" w:lineRule="auto"/>
        <w:rPr>
          <w:sz w:val="20"/>
          <w:szCs w:val="20"/>
          <w:color w:val="auto"/>
        </w:rPr>
      </w:pPr>
      <w:r>
        <w:rPr>
          <w:rFonts w:ascii="Times New Roman" w:cs="Times New Roman" w:eastAsia="Times New Roman" w:hAnsi="Times New Roman"/>
          <w:sz w:val="13"/>
          <w:szCs w:val="13"/>
          <w:b w:val="1"/>
          <w:bCs w:val="1"/>
          <w:color w:val="auto"/>
        </w:rPr>
        <w:t>Total Adjustments for Equity Awards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3"/>
                <w:szCs w:val="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3"/>
                <w:szCs w:val="3"/>
                <w:color w:val="auto"/>
              </w:rPr>
            </w:pPr>
          </w:p>
        </w:tc>
        <w:tc>
          <w:tcPr>
            <w:tcW w:w="2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   ​</w:t>
            </w: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4,318,853</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3"/>
                <w:szCs w:val="13"/>
                <w:color w:val="auto"/>
              </w:rPr>
              <w:t>1,098,889</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1,540,987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1,644,212</w:t>
            </w:r>
          </w:p>
        </w:tc>
        <w:tc>
          <w:tcPr>
            <w:tcW w:w="2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1,165,958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527,998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24"/>
                <w:szCs w:val="24"/>
                <w:color w:val="auto"/>
              </w:rPr>
            </w:pPr>
          </w:p>
        </w:tc>
        <w:tc>
          <w:tcPr>
            <w:tcW w:w="2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   ​</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color w:val="auto"/>
              </w:rPr>
              <w:t>319,824​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3"/>
                <w:szCs w:val="13"/>
                <w:color w:val="auto"/>
              </w:rPr>
              <w:t>88,550​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(1,577,870)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(357,255)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(6,163,822)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8"/>
              </w:rPr>
              <w:t>(2,310,343)</w:t>
            </w:r>
          </w:p>
        </w:tc>
        <w:tc>
          <w:tcPr>
            <w:tcW w:w="0" w:type="dxa"/>
            <w:vAlign w:val="bottom"/>
          </w:tcPr>
          <w:p>
            <w:pPr>
              <w:spacing w:after="0"/>
              <w:rPr>
                <w:sz w:val="1"/>
                <w:szCs w:val="1"/>
                <w:color w:val="auto"/>
              </w:rPr>
            </w:pPr>
          </w:p>
        </w:tc>
      </w:tr>
      <w:tr>
        <w:trPr>
          <w:trHeight w:val="335"/>
        </w:trPr>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24"/>
                <w:szCs w:val="24"/>
                <w:color w:val="auto"/>
              </w:rPr>
            </w:pPr>
          </w:p>
        </w:tc>
        <w:tc>
          <w:tcPr>
            <w:tcW w:w="2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   ​</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4,640,987</w:t>
            </w:r>
          </w:p>
        </w:tc>
        <w:tc>
          <w:tcPr>
            <w:tcW w:w="2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818,997</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402"/>
        </w:trPr>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24"/>
                <w:szCs w:val="24"/>
                <w:color w:val="auto"/>
              </w:rPr>
            </w:pPr>
          </w:p>
        </w:tc>
        <w:tc>
          <w:tcPr>
            <w:tcW w:w="2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   ​</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397,472</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162,976</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(799,495)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(172,938)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(1,781,909)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(641,484)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Pr>
          <w:p>
            <w:pPr>
              <w:spacing w:after="0"/>
              <w:rPr>
                <w:sz w:val="21"/>
                <w:szCs w:val="21"/>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(2,336,378)</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21"/>
                <w:szCs w:val="21"/>
                <w:color w:val="auto"/>
              </w:rPr>
            </w:pPr>
          </w:p>
        </w:tc>
        <w:tc>
          <w:tcPr>
            <w:tcW w:w="2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   ​</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(1,200,305)</w:t>
            </w: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(11,417,809)</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(5,731,166)</w:t>
            </w:r>
          </w:p>
        </w:tc>
        <w:tc>
          <w:tcPr>
            <w:tcW w:w="0" w:type="dxa"/>
            <w:vAlign w:val="bottom"/>
          </w:tcPr>
          <w:p>
            <w:pPr>
              <w:spacing w:after="0"/>
              <w:rPr>
                <w:sz w:val="1"/>
                <w:szCs w:val="1"/>
                <w:color w:val="auto"/>
              </w:rPr>
            </w:pPr>
          </w:p>
        </w:tc>
      </w:tr>
      <w:tr>
        <w:trPr>
          <w:trHeight w:val="178"/>
        </w:trPr>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819,485​</w:t>
            </w:r>
          </w:p>
        </w:tc>
        <w:tc>
          <w:tcPr>
            <w:tcW w:w="80" w:type="dxa"/>
            <w:vAlign w:val="bottom"/>
            <w:vMerge w:val="continue"/>
          </w:tcPr>
          <w:p>
            <w:pPr>
              <w:spacing w:after="0"/>
              <w:rPr>
                <w:sz w:val="15"/>
                <w:szCs w:val="15"/>
                <w:color w:val="auto"/>
              </w:rPr>
            </w:pP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77,740​</w:t>
            </w:r>
          </w:p>
        </w:tc>
        <w:tc>
          <w:tcPr>
            <w:tcW w:w="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(755,613)</w:t>
            </w:r>
          </w:p>
        </w:tc>
        <w:tc>
          <w:tcPr>
            <w:tcW w:w="6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vMerge w:val="continue"/>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-1055370</wp:posOffset>
            </wp:positionV>
            <wp:extent cx="5143500" cy="351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35115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-249555</wp:posOffset>
            </wp:positionV>
            <wp:extent cx="5143500" cy="265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26543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2700" w:space="120"/>
            <w:col w:w="6199"/>
          </w:cols>
          <w:pgMar w:left="1440" w:top="263" w:right="1440" w:bottom="1440" w:gutter="0" w:footer="0" w:header="0"/>
          <w:type w:val="continuous"/>
        </w:sectPr>
      </w:pPr>
    </w:p>
    <w:tbl>
      <w:tblPr>
        <w:tblLayout w:type="fixed"/>
        <w:tblInd w:w="660" w:type="dxa"/>
        <w:tblCellMar>
          <w:top w:w="0" w:type="dxa"/>
          <w:left w:w="0" w:type="dxa"/>
          <w:bottom w:w="0" w:type="dxa"/>
          <w:right w:w="0" w:type="dxa"/>
        </w:tblCellMar>
      </w:tblPr>
      <w:tr>
        <w:trPr>
          <w:trHeight w:val="46"/>
        </w:trPr>
        <w:tc>
          <w:tcPr>
            <w:tcW w:w="2000" w:type="dxa"/>
            <w:vAlign w:val="bottom"/>
          </w:tcPr>
          <w:p>
            <w:pPr>
              <w:spacing w:after="0"/>
              <w:rPr>
                <w:sz w:val="3"/>
                <w:szCs w:val="3"/>
                <w:color w:val="auto"/>
              </w:rPr>
            </w:pPr>
          </w:p>
        </w:tc>
        <w:tc>
          <w:tcPr>
            <w:tcW w:w="26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spacing w:after="0"/>
              <w:rPr>
                <w:sz w:val="3"/>
                <w:szCs w:val="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gridSpan w:val="3"/>
          </w:tcPr>
          <w:p>
            <w:pPr>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111"/>
        </w:trPr>
        <w:tc>
          <w:tcPr>
            <w:tcW w:w="2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Compensation Actually Paid (as</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$ 5,961,359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$ 8,450,786</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$ 2,569,039</w:t>
            </w:r>
          </w:p>
        </w:tc>
        <w:tc>
          <w:tcPr>
            <w:tcW w:w="9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calculated)</w:t>
            </w:r>
          </w:p>
        </w:tc>
        <w:tc>
          <w:tcPr>
            <w:tcW w:w="2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$ 1,872,627</w:t>
            </w:r>
          </w:p>
        </w:tc>
        <w:tc>
          <w:tcPr>
            <w:tcW w:w="80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  323,579</w:t>
            </w:r>
          </w:p>
        </w:tc>
        <w:tc>
          <w:tcPr>
            <w:tcW w:w="6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 (6,486,965)</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(1,688,280)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40" w:right="31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assumptions used to calculate compensation actually paid are consistent with the methodology used for financial reporting purposes and, in the case of awards subject to performance-based vesting conditions, are valued based on the probable achievement of the underlying performance goal as of the last day of the applicable year.</w:t>
      </w:r>
    </w:p>
    <w:p>
      <w:pPr>
        <w:spacing w:after="0" w:line="14"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Non-CEO NEOs reflect the average Summary Compensation Table total compensation and average Compensation Actually Paid for the following executives by year:</w:t>
      </w:r>
    </w:p>
    <w:p>
      <w:pPr>
        <w:spacing w:after="0" w:line="27"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Jason Schulz, Michael Hargis</w:t>
      </w:r>
    </w:p>
    <w:p>
      <w:pPr>
        <w:spacing w:after="0" w:line="68"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Shane Cruz, Jason Schulz</w:t>
      </w:r>
    </w:p>
    <w:p>
      <w:pPr>
        <w:spacing w:after="0" w:line="68"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Brandon Cruz, James Sharman, Travis Matthiesen, Vance Johnston, Brian Farley</w:t>
      </w:r>
    </w:p>
    <w:p>
      <w:pPr>
        <w:spacing w:after="0" w:line="41" w:lineRule="exact"/>
        <w:rPr>
          <w:rFonts w:ascii="Times New Roman" w:cs="Times New Roman" w:eastAsia="Times New Roman" w:hAnsi="Times New Roman"/>
          <w:sz w:val="14"/>
          <w:szCs w:val="14"/>
          <w:color w:val="auto"/>
        </w:rPr>
      </w:pPr>
    </w:p>
    <w:p>
      <w:pPr>
        <w:ind w:left="640" w:right="51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rules of the SEC, the comparison assumes $100 was invested on December 31, 2020. Historic stock price performance is not necessarily indicative of future stock price performance.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illustrations below provide a graphical description of CAP (as calculated in accordance with the SEC rules) and the following measures:</w:t>
      </w:r>
    </w:p>
    <w:p>
      <w:pPr>
        <w:spacing w:after="0" w:line="54"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cumulative Total Stockholder Return (“TSR”);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Income</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182880</wp:posOffset>
            </wp:positionV>
            <wp:extent cx="4980305" cy="2940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8030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182880</wp:posOffset>
            </wp:positionV>
            <wp:extent cx="4980305" cy="2940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8030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Relationship Between Pay and Performance</w:t>
      </w:r>
    </w:p>
    <w:p>
      <w:pPr>
        <w:spacing w:after="0" w:line="119"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three-year cumulative period are reflective of the Compensation Committee’s emphasis on “pay-for-performance” as the “Compensation Actually Paid” fluctuated year-over-year, primarily due to the result of our stock performance and our varying levels of achievement against pre-established performance goals under our Annual Program and our share-based compensation programs.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58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vMerge w:val="restart"/>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243"/>
        </w:trPr>
        <w:tc>
          <w:tcPr>
            <w:tcW w:w="368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1"/>
                <w:szCs w:val="21"/>
                <w:color w:val="auto"/>
              </w:rPr>
            </w:pPr>
          </w:p>
        </w:tc>
        <w:tc>
          <w:tcPr>
            <w:tcW w:w="158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23"/>
                <w:szCs w:val="23"/>
                <w:b w:val="1"/>
                <w:bCs w:val="1"/>
                <w:color w:val="auto"/>
                <w:w w:val="99"/>
                <w:vertAlign w:val="superscript"/>
              </w:rPr>
              <w:t>(2)</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rPr>
              <w:t>Plans</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4"/>
                <w:szCs w:val="14"/>
                <w:b w:val="1"/>
                <w:bCs w:val="1"/>
                <w:color w:val="auto"/>
              </w:rPr>
              <w:t xml:space="preserve"> (in thousands)</w:t>
            </w:r>
          </w:p>
        </w:tc>
        <w:tc>
          <w:tcPr>
            <w:tcW w:w="0" w:type="dxa"/>
            <w:vAlign w:val="bottom"/>
          </w:tcPr>
          <w:p>
            <w:pPr>
              <w:spacing w:after="0"/>
              <w:rPr>
                <w:sz w:val="1"/>
                <w:szCs w:val="1"/>
                <w:color w:val="auto"/>
              </w:rPr>
            </w:pPr>
          </w:p>
        </w:tc>
      </w:tr>
      <w:tr>
        <w:trPr>
          <w:trHeight w:val="262"/>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6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3840" w:type="dxa"/>
            <w:vAlign w:val="bottom"/>
            <w:gridSpan w:val="2"/>
            <w:shd w:val="clear" w:color="auto" w:fill="CCEEFF"/>
          </w:tcPr>
          <w:p>
            <w:pPr>
              <w:ind w:left="180"/>
              <w:spacing w:after="0" w:line="324"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9"/>
                <w:szCs w:val="29"/>
                <w:color w:val="auto"/>
                <w:vertAlign w:val="superscript"/>
              </w:rPr>
              <w:t>(4)</w:t>
            </w:r>
          </w:p>
        </w:tc>
        <w:tc>
          <w:tcPr>
            <w:tcW w:w="13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1,508</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$22.72</w:t>
            </w: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5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384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9"/>
                <w:szCs w:val="29"/>
                <w:color w:val="auto"/>
                <w:vertAlign w:val="superscript"/>
              </w:rPr>
              <w:t>(1)</w:t>
            </w:r>
          </w:p>
        </w:tc>
        <w:tc>
          <w:tcPr>
            <w:tcW w:w="1340" w:type="dxa"/>
            <w:vAlign w:val="bottom"/>
          </w:tcPr>
          <w:p>
            <w:pPr>
              <w:jc w:val="right"/>
              <w:ind w:right="382"/>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$11.85</w:t>
            </w:r>
          </w:p>
        </w:tc>
        <w:tc>
          <w:tcPr>
            <w:tcW w:w="140" w:type="dxa"/>
            <w:vAlign w:val="bottom"/>
          </w:tcPr>
          <w:p>
            <w:pPr>
              <w:spacing w:after="0"/>
              <w:rPr>
                <w:sz w:val="24"/>
                <w:szCs w:val="24"/>
                <w:color w:val="auto"/>
              </w:rPr>
            </w:pPr>
          </w:p>
        </w:tc>
        <w:tc>
          <w:tcPr>
            <w:tcW w:w="1520" w:type="dxa"/>
            <w:vAlign w:val="bottom"/>
          </w:tcPr>
          <w:p>
            <w:pPr>
              <w:jc w:val="right"/>
              <w:ind w:right="481"/>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2,428</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54"/>
        </w:trPr>
        <w:tc>
          <w:tcPr>
            <w:tcW w:w="36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-959485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-959485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-959485</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non-voting Profit Units issued by Blizzard Management Feeder, LLC, to employees on behalf of the Company, effective September 13, 2019 in conjunction with the Centerbridge Acquisition. This number also includes shares available for future issuance under the Inducement Plan. See Note 7 of the Audited Financial Statements for a brief description of the material features of the Profits Units and the Inducement Plan.</w:t>
      </w:r>
    </w:p>
    <w:p>
      <w:pPr>
        <w:spacing w:after="0" w:line="14" w:lineRule="exact"/>
        <w:rPr>
          <w:rFonts w:ascii="Times New Roman" w:cs="Times New Roman" w:eastAsia="Times New Roman" w:hAnsi="Times New Roman"/>
          <w:sz w:val="14"/>
          <w:szCs w:val="14"/>
          <w:color w:val="auto"/>
        </w:rPr>
      </w:pPr>
    </w:p>
    <w:p>
      <w:pPr>
        <w:ind w:left="640" w:right="55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does not include shares to be issued in connection with the settlement of RSUs, performance stock units, or employee stock purchase plan (“ESPP”), as such awards do not have an exercise price.</w:t>
      </w: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available for future issuance under our equity incentive plan, the Inducement Plan, and our ESPP.</w:t>
      </w:r>
    </w:p>
    <w:p>
      <w:pPr>
        <w:spacing w:after="0" w:line="41" w:lineRule="exact"/>
        <w:rPr>
          <w:rFonts w:ascii="Times New Roman" w:cs="Times New Roman" w:eastAsia="Times New Roman" w:hAnsi="Times New Roman"/>
          <w:sz w:val="14"/>
          <w:szCs w:val="14"/>
          <w:color w:val="auto"/>
        </w:rPr>
      </w:pPr>
    </w:p>
    <w:p>
      <w:pPr>
        <w:ind w:left="640" w:right="39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available for issuance under the 2020 Incentive Award Plan and our ESPP. See Note 7 of the Audited Financial Statements for a brief description of the material features of the 2020 Incentive Award Plan and our ESPP.</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1300" w:right="14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Class A common stock and our Class B common stock, and (ii) each of our directors (which includes all nominees), each of our NEOs and all directors and executive officers as a group as of April 19, 2024, unless otherwise indicated.</w:t>
      </w:r>
    </w:p>
    <w:p>
      <w:pPr>
        <w:spacing w:after="0" w:line="72" w:lineRule="exact"/>
        <w:rPr>
          <w:sz w:val="20"/>
          <w:szCs w:val="20"/>
          <w:color w:val="auto"/>
        </w:rPr>
      </w:pPr>
    </w:p>
    <w:p>
      <w:pPr>
        <w:ind w:left="1300" w:right="1340"/>
        <w:spacing w:after="0" w:line="253" w:lineRule="auto"/>
        <w:rPr>
          <w:sz w:val="20"/>
          <w:szCs w:val="20"/>
          <w:color w:val="auto"/>
        </w:rPr>
      </w:pPr>
      <w:r>
        <w:rPr>
          <w:rFonts w:ascii="Times New Roman" w:cs="Times New Roman" w:eastAsia="Times New Roman" w:hAnsi="Times New Roman"/>
          <w:sz w:val="18"/>
          <w:szCs w:val="18"/>
          <w:color w:val="auto"/>
        </w:rPr>
        <w:t>As described in “Certain Relationships and Related Person Transactions,” each LLC Interest (other than LLC Interests held by us) is redeemable from time to time at each holder’s option (subject in certain circumstances to time-based vesting requirements) for, at our election (determined solely by at least two or more of our independent directors (within the meaning of the Nasdaq rules) who are disinterested),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solely by at least two or more of our independent directors (within the meaning of the Nasdaq rules) who are disinterested), we may effect a direct exchange of such Class A common stock or such cash, as applicable, for such LLC Interests.</w:t>
      </w:r>
    </w:p>
    <w:p>
      <w:pPr>
        <w:spacing w:after="0" w:line="86" w:lineRule="exact"/>
        <w:rPr>
          <w:sz w:val="20"/>
          <w:szCs w:val="20"/>
          <w:color w:val="auto"/>
        </w:rPr>
      </w:pPr>
    </w:p>
    <w:p>
      <w:pPr>
        <w:ind w:left="1300" w:right="1380"/>
        <w:spacing w:after="0" w:line="256" w:lineRule="auto"/>
        <w:rPr>
          <w:sz w:val="20"/>
          <w:szCs w:val="20"/>
          <w:color w:val="auto"/>
        </w:rPr>
      </w:pPr>
      <w:r>
        <w:rPr>
          <w:rFonts w:ascii="Times New Roman" w:cs="Times New Roman" w:eastAsia="Times New Roman" w:hAnsi="Times New Roman"/>
          <w:sz w:val="18"/>
          <w:szCs w:val="18"/>
          <w:color w:val="auto"/>
        </w:rPr>
        <w:t>The Continuing Equity Owners may, subject to certain exceptions, exercise such redemption right for as long as their LLC Interests remain outstanding. See “Certain Relationships and Related Person Transactions—GoHealth Holdings, LLC Agreement.” In connection with our IPO, we issued to each Continuing Equity Owner, for nominal consideration, one share of Class B common stock for each LLC Interest such Continuing Equity Owner owned. As a result, the number of shares of Class B common stock listed in the table below correlates to the number of LLC Interests Centerbridge and our Founders own as of April 19, 2024.</w:t>
      </w:r>
    </w:p>
    <w:p>
      <w:pPr>
        <w:spacing w:after="0" w:line="79" w:lineRule="exact"/>
        <w:rPr>
          <w:sz w:val="20"/>
          <w:szCs w:val="20"/>
          <w:color w:val="auto"/>
        </w:rPr>
      </w:pPr>
    </w:p>
    <w:p>
      <w:pPr>
        <w:ind w:left="1300" w:right="1360"/>
        <w:spacing w:after="0" w:line="252"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as described in this Proxy Statement is determined under rules issued by the SEC. Under these rules, beneficial ownership includes any shares as to which the individual or entity has sole or shared voting power or investment power. The percentage ownership of each individual or entity as of April 19, 2024 is computed on the basis of 50,000 shares of Series A preferred stock (convertible into 5,421,745 shares of Class A common stock), 9,944,564 shares of our Class A common stock outstanding and 12,781,694 shares of our Class B common stock outstanding. In computing the number of shares beneficially owned by an individual or entity and the percentage ownership of that person, shares of common stock subject to options, or other rights, including the redemption right described above with respect to each LLC Interest, held by such person that are currently exercisable or will become exercisable within 60 days of April 19, 2024, are considered outstanding, although these shares are not considered outstanding for purposes of computing the percentage ownership of any other person. Unless otherwise indicated, the address of each beneficial owner listed below is 222 West Merchandise Mart Plaza, Suite 1750, Chicago, Illinois 60654.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5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2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300" w:type="dxa"/>
            <w:vAlign w:val="bottom"/>
          </w:tcPr>
          <w:p>
            <w:pPr>
              <w:spacing w:after="0"/>
              <w:rPr>
                <w:sz w:val="16"/>
                <w:szCs w:val="16"/>
                <w:color w:val="auto"/>
              </w:rPr>
            </w:pPr>
          </w:p>
        </w:tc>
      </w:tr>
      <w:tr>
        <w:trPr>
          <w:trHeight w:val="149"/>
        </w:trPr>
        <w:tc>
          <w:tcPr>
            <w:tcW w:w="13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520" w:type="dxa"/>
            <w:vAlign w:val="bottom"/>
            <w:gridSpan w:val="3"/>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300" w:type="dxa"/>
            <w:vAlign w:val="bottom"/>
          </w:tcPr>
          <w:p>
            <w:pPr>
              <w:spacing w:after="0"/>
              <w:rPr>
                <w:sz w:val="12"/>
                <w:szCs w:val="12"/>
                <w:color w:val="auto"/>
              </w:rPr>
            </w:pPr>
          </w:p>
        </w:tc>
      </w:tr>
      <w:tr>
        <w:trPr>
          <w:trHeight w:val="243"/>
        </w:trPr>
        <w:tc>
          <w:tcPr>
            <w:tcW w:w="13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21"/>
                <w:szCs w:val="21"/>
                <w:color w:val="auto"/>
              </w:rPr>
            </w:pPr>
          </w:p>
        </w:tc>
        <w:tc>
          <w:tcPr>
            <w:tcW w:w="1520" w:type="dxa"/>
            <w:vAlign w:val="bottom"/>
            <w:tcBorders>
              <w:bottom w:val="single" w:sz="8" w:color="auto"/>
            </w:tcBorders>
            <w:gridSpan w:val="3"/>
          </w:tcPr>
          <w:p>
            <w:pPr>
              <w:ind w:left="100"/>
              <w:spacing w:after="0" w:line="243" w:lineRule="exact"/>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21"/>
                <w:szCs w:val="21"/>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21"/>
                <w:szCs w:val="21"/>
                <w:color w:val="auto"/>
              </w:rPr>
            </w:pPr>
          </w:p>
        </w:tc>
        <w:tc>
          <w:tcPr>
            <w:tcW w:w="6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3"/>
                <w:szCs w:val="23"/>
                <w:b w:val="1"/>
                <w:bCs w:val="1"/>
                <w:color w:val="auto"/>
                <w:w w:val="96"/>
                <w:vertAlign w:val="superscript"/>
              </w:rPr>
              <w:t>(2)</w:t>
            </w:r>
          </w:p>
        </w:tc>
        <w:tc>
          <w:tcPr>
            <w:tcW w:w="1300" w:type="dxa"/>
            <w:vAlign w:val="bottom"/>
          </w:tcPr>
          <w:p>
            <w:pPr>
              <w:spacing w:after="0"/>
              <w:rPr>
                <w:sz w:val="21"/>
                <w:szCs w:val="21"/>
                <w:color w:val="auto"/>
              </w:rPr>
            </w:pPr>
          </w:p>
        </w:tc>
      </w:tr>
      <w:tr>
        <w:trPr>
          <w:trHeight w:val="227"/>
        </w:trPr>
        <w:tc>
          <w:tcPr>
            <w:tcW w:w="1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65"/>
        </w:trPr>
        <w:tc>
          <w:tcPr>
            <w:tcW w:w="1300" w:type="dxa"/>
            <w:vAlign w:val="bottom"/>
          </w:tcPr>
          <w:p>
            <w:pPr>
              <w:spacing w:after="0"/>
              <w:rPr>
                <w:sz w:val="24"/>
                <w:szCs w:val="24"/>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Centerbridge</w:t>
            </w:r>
            <w:r>
              <w:rPr>
                <w:rFonts w:ascii="Times New Roman" w:cs="Times New Roman" w:eastAsia="Times New Roman" w:hAnsi="Times New Roman"/>
                <w:sz w:val="29"/>
                <w:szCs w:val="29"/>
                <w:color w:val="auto"/>
                <w:vertAlign w:val="superscript"/>
              </w:rPr>
              <w:t>(3)</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4,179,850</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5,386,178</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300" w:type="dxa"/>
            <w:vAlign w:val="bottom"/>
          </w:tcPr>
          <w:p>
            <w:pPr>
              <w:spacing w:after="0"/>
              <w:rPr>
                <w:sz w:val="24"/>
                <w:szCs w:val="24"/>
                <w:color w:val="auto"/>
              </w:rPr>
            </w:pPr>
          </w:p>
        </w:tc>
      </w:tr>
      <w:tr>
        <w:trPr>
          <w:trHeight w:val="364"/>
        </w:trPr>
        <w:tc>
          <w:tcPr>
            <w:tcW w:w="1300" w:type="dxa"/>
            <w:vAlign w:val="bottom"/>
          </w:tcPr>
          <w:p>
            <w:pPr>
              <w:spacing w:after="0"/>
              <w:rPr>
                <w:sz w:val="24"/>
                <w:szCs w:val="24"/>
                <w:color w:val="auto"/>
              </w:rPr>
            </w:pPr>
          </w:p>
        </w:tc>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NVX Holdings</w:t>
            </w:r>
            <w:r>
              <w:rPr>
                <w:rFonts w:ascii="Times New Roman" w:cs="Times New Roman" w:eastAsia="Times New Roman" w:hAnsi="Times New Roman"/>
                <w:sz w:val="29"/>
                <w:szCs w:val="29"/>
                <w:color w:val="auto"/>
                <w:vertAlign w:val="superscript"/>
              </w:rPr>
              <w:t>(4)</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53,820</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6,178,532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300" w:type="dxa"/>
            <w:vAlign w:val="bottom"/>
          </w:tcPr>
          <w:p>
            <w:pPr>
              <w:spacing w:after="0"/>
              <w:rPr>
                <w:sz w:val="24"/>
                <w:szCs w:val="24"/>
                <w:color w:val="auto"/>
              </w:rPr>
            </w:pPr>
          </w:p>
        </w:tc>
      </w:tr>
      <w:tr>
        <w:trPr>
          <w:trHeight w:val="255"/>
        </w:trPr>
        <w:tc>
          <w:tcPr>
            <w:tcW w:w="1300" w:type="dxa"/>
            <w:vAlign w:val="bottom"/>
          </w:tcPr>
          <w:p>
            <w:pPr>
              <w:spacing w:after="0"/>
              <w:rPr>
                <w:sz w:val="22"/>
                <w:szCs w:val="22"/>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Blizzard Management Feeder,</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25"/>
        </w:trPr>
        <w:tc>
          <w:tcPr>
            <w:tcW w:w="1300" w:type="dxa"/>
            <w:vAlign w:val="bottom"/>
          </w:tcPr>
          <w:p>
            <w:pPr>
              <w:spacing w:after="0"/>
              <w:rPr>
                <w:sz w:val="24"/>
                <w:szCs w:val="24"/>
                <w:color w:val="auto"/>
              </w:rPr>
            </w:pPr>
          </w:p>
        </w:tc>
        <w:tc>
          <w:tcPr>
            <w:tcW w:w="3080" w:type="dxa"/>
            <w:vAlign w:val="bottom"/>
          </w:tcPr>
          <w:p>
            <w:pPr>
              <w:ind w:left="360"/>
              <w:spacing w:after="0" w:line="324" w:lineRule="exact"/>
              <w:rPr>
                <w:sz w:val="20"/>
                <w:szCs w:val="20"/>
                <w:color w:val="auto"/>
              </w:rPr>
            </w:pPr>
            <w:r>
              <w:rPr>
                <w:rFonts w:ascii="Times New Roman" w:cs="Times New Roman" w:eastAsia="Times New Roman" w:hAnsi="Times New Roman"/>
                <w:sz w:val="35"/>
                <w:szCs w:val="35"/>
                <w:color w:val="auto"/>
                <w:vertAlign w:val="subscript"/>
              </w:rPr>
              <w:t>LLC</w:t>
            </w:r>
            <w:r>
              <w:rPr>
                <w:rFonts w:ascii="Times New Roman" w:cs="Times New Roman" w:eastAsia="Times New Roman" w:hAnsi="Times New Roman"/>
                <w:sz w:val="15"/>
                <w:szCs w:val="15"/>
                <w:color w:val="auto"/>
              </w:rPr>
              <w:t>(5)(6)</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1,158,436</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tcPr>
          <w:p>
            <w:pPr>
              <w:spacing w:after="0"/>
              <w:rPr>
                <w:sz w:val="24"/>
                <w:szCs w:val="24"/>
                <w:color w:val="auto"/>
              </w:rPr>
            </w:pPr>
          </w:p>
        </w:tc>
      </w:tr>
      <w:tr>
        <w:trPr>
          <w:trHeight w:val="255"/>
        </w:trPr>
        <w:tc>
          <w:tcPr>
            <w:tcW w:w="1300" w:type="dxa"/>
            <w:vAlign w:val="bottom"/>
          </w:tcPr>
          <w:p>
            <w:pPr>
              <w:spacing w:after="0"/>
              <w:rPr>
                <w:sz w:val="22"/>
                <w:szCs w:val="22"/>
                <w:color w:val="auto"/>
              </w:rPr>
            </w:pPr>
          </w:p>
        </w:tc>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Anthem Insurance Companies,</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325"/>
        </w:trPr>
        <w:tc>
          <w:tcPr>
            <w:tcW w:w="1300" w:type="dxa"/>
            <w:vAlign w:val="bottom"/>
          </w:tcPr>
          <w:p>
            <w:pPr>
              <w:spacing w:after="0"/>
              <w:rPr>
                <w:sz w:val="24"/>
                <w:szCs w:val="24"/>
                <w:color w:val="auto"/>
              </w:rPr>
            </w:pPr>
          </w:p>
        </w:tc>
        <w:tc>
          <w:tcPr>
            <w:tcW w:w="3080" w:type="dxa"/>
            <w:vAlign w:val="bottom"/>
            <w:shd w:val="clear" w:color="auto" w:fill="CCEEFF"/>
          </w:tcPr>
          <w:p>
            <w:pPr>
              <w:ind w:left="360"/>
              <w:spacing w:after="0" w:line="324" w:lineRule="exact"/>
              <w:rPr>
                <w:sz w:val="20"/>
                <w:szCs w:val="20"/>
                <w:color w:val="auto"/>
              </w:rPr>
            </w:pPr>
            <w:r>
              <w:rPr>
                <w:rFonts w:ascii="Times New Roman" w:cs="Times New Roman" w:eastAsia="Times New Roman" w:hAnsi="Times New Roman"/>
                <w:sz w:val="18"/>
                <w:szCs w:val="18"/>
                <w:color w:val="auto"/>
              </w:rPr>
              <w:t>Inc.</w:t>
            </w:r>
            <w:r>
              <w:rPr>
                <w:rFonts w:ascii="Times New Roman" w:cs="Times New Roman" w:eastAsia="Times New Roman" w:hAnsi="Times New Roman"/>
                <w:sz w:val="29"/>
                <w:szCs w:val="29"/>
                <w:color w:val="auto"/>
                <w:vertAlign w:val="superscript"/>
              </w:rPr>
              <w:t>(7)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35,000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NEOs and Directors</w:t>
            </w: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65"/>
        </w:trPr>
        <w:tc>
          <w:tcPr>
            <w:tcW w:w="1300" w:type="dxa"/>
            <w:vAlign w:val="bottom"/>
          </w:tcPr>
          <w:p>
            <w:pPr>
              <w:spacing w:after="0"/>
              <w:rPr>
                <w:sz w:val="24"/>
                <w:szCs w:val="24"/>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Clinton P. Jones</w:t>
            </w:r>
            <w:r>
              <w:rPr>
                <w:rFonts w:ascii="Times New Roman" w:cs="Times New Roman" w:eastAsia="Times New Roman" w:hAnsi="Times New Roman"/>
                <w:sz w:val="29"/>
                <w:szCs w:val="29"/>
                <w:color w:val="auto"/>
                <w:vertAlign w:val="superscript"/>
              </w:rPr>
              <w:t>(4)(6)(8)</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86,756</w:t>
            </w:r>
          </w:p>
        </w:tc>
        <w:tc>
          <w:tcPr>
            <w:tcW w:w="12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6,386,699</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300" w:type="dxa"/>
            <w:vAlign w:val="bottom"/>
          </w:tcPr>
          <w:p>
            <w:pPr>
              <w:spacing w:after="0"/>
              <w:rPr>
                <w:sz w:val="24"/>
                <w:szCs w:val="24"/>
                <w:color w:val="auto"/>
              </w:rPr>
            </w:pPr>
          </w:p>
        </w:tc>
      </w:tr>
      <w:tr>
        <w:trPr>
          <w:trHeight w:val="364"/>
        </w:trPr>
        <w:tc>
          <w:tcPr>
            <w:tcW w:w="1300" w:type="dxa"/>
            <w:vAlign w:val="bottom"/>
          </w:tcPr>
          <w:p>
            <w:pPr>
              <w:spacing w:after="0"/>
              <w:rPr>
                <w:sz w:val="24"/>
                <w:szCs w:val="24"/>
                <w:color w:val="auto"/>
              </w:rPr>
            </w:pPr>
          </w:p>
        </w:tc>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Vijay Kotte</w:t>
            </w:r>
            <w:r>
              <w:rPr>
                <w:rFonts w:ascii="Times New Roman" w:cs="Times New Roman" w:eastAsia="Times New Roman" w:hAnsi="Times New Roman"/>
                <w:sz w:val="29"/>
                <w:szCs w:val="29"/>
                <w:color w:val="auto"/>
                <w:vertAlign w:val="superscript"/>
              </w:rPr>
              <w:t>(9)</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649,747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tcPr>
          <w:p>
            <w:pPr>
              <w:spacing w:after="0"/>
              <w:rPr>
                <w:sz w:val="24"/>
                <w:szCs w:val="24"/>
                <w:color w:val="auto"/>
              </w:rPr>
            </w:pPr>
          </w:p>
        </w:tc>
      </w:tr>
      <w:tr>
        <w:trPr>
          <w:trHeight w:val="433"/>
        </w:trPr>
        <w:tc>
          <w:tcPr>
            <w:tcW w:w="1300" w:type="dxa"/>
            <w:vAlign w:val="bottom"/>
          </w:tcPr>
          <w:p>
            <w:pPr>
              <w:spacing w:after="0"/>
              <w:rPr>
                <w:sz w:val="24"/>
                <w:szCs w:val="24"/>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Jason Schulz</w:t>
            </w:r>
            <w:r>
              <w:rPr>
                <w:rFonts w:ascii="Times New Roman" w:cs="Times New Roman" w:eastAsia="Times New Roman" w:hAnsi="Times New Roman"/>
                <w:sz w:val="29"/>
                <w:szCs w:val="29"/>
                <w:color w:val="auto"/>
                <w:vertAlign w:val="superscript"/>
              </w:rPr>
              <w:t>(10)</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289,034</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tcPr>
          <w:p>
            <w:pPr>
              <w:spacing w:after="0"/>
              <w:rPr>
                <w:sz w:val="24"/>
                <w:szCs w:val="24"/>
                <w:color w:val="auto"/>
              </w:rPr>
            </w:pPr>
          </w:p>
        </w:tc>
      </w:tr>
      <w:tr>
        <w:trPr>
          <w:trHeight w:val="363"/>
        </w:trPr>
        <w:tc>
          <w:tcPr>
            <w:tcW w:w="1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-2931160</wp:posOffset>
            </wp:positionV>
            <wp:extent cx="342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-2931160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-2931160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-2931160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-2931160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3108960</wp:posOffset>
            </wp:positionH>
            <wp:positionV relativeFrom="paragraph">
              <wp:posOffset>-2931160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-2931160</wp:posOffset>
            </wp:positionV>
            <wp:extent cx="342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7" w:name="page38"/>
    <w:bookmarkEnd w:id="37"/>
    <w:tbl>
      <w:tblPr>
        <w:tblLayout w:type="fixed"/>
        <w:tblInd w:w="300" w:type="dxa"/>
        <w:tblCellMar>
          <w:top w:w="0" w:type="dxa"/>
          <w:left w:w="0" w:type="dxa"/>
          <w:bottom w:w="0" w:type="dxa"/>
          <w:right w:w="0" w:type="dxa"/>
        </w:tblCellMar>
      </w:tblPr>
      <w:tr>
        <w:trPr>
          <w:trHeight w:val="16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399"/>
        </w:trPr>
        <w:tc>
          <w:tcPr>
            <w:tcW w:w="154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5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2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148"/>
        </w:trPr>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2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52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r>
      <w:tr>
        <w:trPr>
          <w:trHeight w:val="243"/>
        </w:trPr>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21"/>
                <w:szCs w:val="21"/>
                <w:color w:val="auto"/>
              </w:rPr>
            </w:pPr>
          </w:p>
        </w:tc>
        <w:tc>
          <w:tcPr>
            <w:tcW w:w="1520" w:type="dxa"/>
            <w:vAlign w:val="bottom"/>
            <w:tcBorders>
              <w:bottom w:val="single" w:sz="8" w:color="auto"/>
            </w:tcBorders>
            <w:gridSpan w:val="3"/>
          </w:tcPr>
          <w:p>
            <w:pPr>
              <w:ind w:left="100"/>
              <w:spacing w:after="0" w:line="243" w:lineRule="exact"/>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21"/>
                <w:szCs w:val="21"/>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21"/>
                <w:szCs w:val="21"/>
                <w:color w:val="auto"/>
              </w:rPr>
            </w:pPr>
          </w:p>
        </w:tc>
        <w:tc>
          <w:tcPr>
            <w:tcW w:w="6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3"/>
                <w:szCs w:val="23"/>
                <w:b w:val="1"/>
                <w:bCs w:val="1"/>
                <w:color w:val="auto"/>
                <w:w w:val="96"/>
                <w:vertAlign w:val="superscript"/>
              </w:rPr>
              <w:t>(2)</w:t>
            </w:r>
          </w:p>
        </w:tc>
      </w:tr>
      <w:tr>
        <w:trPr>
          <w:trHeight w:val="227"/>
        </w:trPr>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51"/>
        </w:trPr>
        <w:tc>
          <w:tcPr>
            <w:tcW w:w="154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r>
      <w:tr>
        <w:trPr>
          <w:trHeight w:val="358"/>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Brandon Cruz</w:t>
            </w:r>
            <w:r>
              <w:rPr>
                <w:rFonts w:ascii="Times New Roman" w:cs="Times New Roman" w:eastAsia="Times New Roman" w:hAnsi="Times New Roman"/>
                <w:sz w:val="29"/>
                <w:szCs w:val="29"/>
                <w:color w:val="auto"/>
                <w:vertAlign w:val="superscript"/>
              </w:rPr>
              <w:t>(4)(6)(11)</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80,136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6,386,699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365"/>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Joseph G. Flanagan</w:t>
            </w:r>
            <w:r>
              <w:rPr>
                <w:rFonts w:ascii="Times New Roman" w:cs="Times New Roman" w:eastAsia="Times New Roman" w:hAnsi="Times New Roman"/>
                <w:sz w:val="29"/>
                <w:szCs w:val="29"/>
                <w:color w:val="auto"/>
                <w:vertAlign w:val="superscript"/>
              </w:rPr>
              <w:t>(12)</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39,867</w:t>
            </w:r>
          </w:p>
        </w:tc>
        <w:tc>
          <w:tcPr>
            <w:tcW w:w="12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2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Karoline Hilu, M.D.</w:t>
            </w:r>
            <w:r>
              <w:rPr>
                <w:rFonts w:ascii="Times New Roman" w:cs="Times New Roman" w:eastAsia="Times New Roman" w:hAnsi="Times New Roman"/>
                <w:sz w:val="29"/>
                <w:szCs w:val="29"/>
                <w:color w:val="auto"/>
                <w:vertAlign w:val="superscript"/>
              </w:rPr>
              <w:t>(13)</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12,559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Jeremy W. Gelber</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54"/>
        </w:trPr>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64"/>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David Fisher</w:t>
            </w:r>
            <w:r>
              <w:rPr>
                <w:rFonts w:ascii="Times New Roman" w:cs="Times New Roman" w:eastAsia="Times New Roman" w:hAnsi="Times New Roman"/>
                <w:sz w:val="29"/>
                <w:szCs w:val="29"/>
                <w:color w:val="auto"/>
                <w:vertAlign w:val="superscript"/>
              </w:rPr>
              <w:t>(14)</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71,882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Christopher Litchford</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54"/>
        </w:trPr>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64"/>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Alexander Timm</w:t>
            </w:r>
            <w:r>
              <w:rPr>
                <w:rFonts w:ascii="Times New Roman" w:cs="Times New Roman" w:eastAsia="Times New Roman" w:hAnsi="Times New Roman"/>
                <w:sz w:val="29"/>
                <w:szCs w:val="29"/>
                <w:color w:val="auto"/>
                <w:vertAlign w:val="superscript"/>
              </w:rPr>
              <w:t>(15)</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23,919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Michael Hargis</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40,787</w:t>
            </w:r>
          </w:p>
        </w:tc>
        <w:tc>
          <w:tcPr>
            <w:tcW w:w="1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48"/>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38"/>
        </w:trPr>
        <w:tc>
          <w:tcPr>
            <w:tcW w:w="3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as a group (12 individuals)</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1,303,780</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6,651,693</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54"/>
        </w:trPr>
        <w:tc>
          <w:tcPr>
            <w:tcW w:w="15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-2125345</wp:posOffset>
            </wp:positionV>
            <wp:extent cx="342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-2125345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-2125345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-2125345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-2125345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-2125345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-2125345</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right="31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beneficial ownership of LLC Interests or Class B shares that may be redeemed for shares of our Class A common stock on a one-for-one basis or cash, as described above. When an LLC Interest is exchanged by a continuing equity owner who holds our Class B common stock, a corresponding share of Class B common stock will be cancelled.</w:t>
      </w:r>
    </w:p>
    <w:p>
      <w:pPr>
        <w:spacing w:after="0" w:line="14"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voting power of our preferred stock, Class A common stock and Class B common stock voting as a single class. The holders of our preferred stock are able to vote along with the Class A common stockholders on an as-converted basis.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15" w:lineRule="exact"/>
        <w:rPr>
          <w:rFonts w:ascii="Times New Roman" w:cs="Times New Roman" w:eastAsia="Times New Roman" w:hAnsi="Times New Roman"/>
          <w:sz w:val="14"/>
          <w:szCs w:val="14"/>
          <w:color w:val="auto"/>
        </w:rPr>
      </w:pPr>
    </w:p>
    <w:p>
      <w:pPr>
        <w:ind w:left="640" w:right="319" w:hanging="348"/>
        <w:spacing w:after="0" w:line="237"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13D/A filed on August 25, 2023. Consists of (i) 2,712,197 shares of Class A common stock held by CB Blizzard Lower Holdings A, L.P., (ii) 1,467,653 shares of Class A common stock held by CB Blizzard Holdings C, L.P., and (iii) 5,386,178 LLC Interests (and associated shares of Class B common stock) held by CB Blizzard Lower Holdings B, L.P. CCP GP is the general partner of CB Blizzard Holdings C, L.P. and may be deemed to share beneficial ownership of the securities held of record by CB Blizzard Holdings C, L.P. CCP GP is also the general partner of Centerbridge Associates, which is the general partner of each of CCP III and CB Blizzard, which are the owners of CB Blizzard Lower Holdings GP A, LLC, which is the general partner of CB Blizzard Lower Holdings A, L.P. As a result, each of CCP GP, Centerbridge Associates, CCP III, CB Blizzard and CB Blizzard Lower Holdings GP A, LLC may be deemed to share beneficial ownership of the Class A Common Stock held by CB Blizzard Lower Holdings A, L.P. CCP GP is also the sole manager of Blizzard Aggregator, which is the owner of CB Blizzard Lower Holdings GP B, LLC, which is the general partner of CB Blizzard Lower Holdings B, L.P. As a result, each of CCP GP, Blizzard Aggregator and CB Blizzard Lower Holdings GP B, LLC may be deemed to share beneficial ownership of the LLC Interests held by CB Blizzard Lower Holdings B, L.P. Jeffrey H. Aronson is the sole director of CCP GP and, as a result, may be deemed to beneficially own the securities held by each of CB Blizzard Lower Holdings A, L.P. and CB Blizzard Lower Holdings B, L.P. However, none of the foregoing should be construed in and of itself as an admission by Mr. Aronson or by any Reporting Person as to beneficial ownership of securities owned by another Reporting Person. In addition, Mr. Aronson expressly disclaims beneficial ownership of the shares of Class A Common Stock held by CB Blizzard Lower Holdings A, L.P., as well as the LLC Interests held by CB Blizzard Lower Holdings B, L.P., except to the extent of any proportionate pecuniary interest therein. The business address of each of the foregoing entities and individuals is c/o Centerbridge Partners, L.P., 375 Park Avenue, 11th Floor, New York, New York 10152.</w:t>
      </w:r>
    </w:p>
    <w:p>
      <w:pPr>
        <w:spacing w:after="0" w:line="24" w:lineRule="exact"/>
        <w:rPr>
          <w:rFonts w:ascii="Times New Roman" w:cs="Times New Roman" w:eastAsia="Times New Roman" w:hAnsi="Times New Roman"/>
          <w:sz w:val="14"/>
          <w:szCs w:val="14"/>
          <w:color w:val="auto"/>
        </w:rPr>
      </w:pPr>
    </w:p>
    <w:p>
      <w:pPr>
        <w:ind w:left="640" w:right="739" w:hanging="348"/>
        <w:spacing w:after="0" w:line="23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13D/A filed on August 25, 2023: consists of (i) 6,178,532 LLC Interests (and associated shares of Class B common stock) held by NVX Holdings, Inc., (ii) 53,820 shares of Class A common stock held by</w:t>
      </w:r>
    </w:p>
    <w:p>
      <w:pPr>
        <w:ind w:left="640" w:right="35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NVX Holdings, Inc., (iii) 2,921 LLC Interests (and associated shares of Class B common stock) held by BCCJ, LLC and (iv) 11,866 shares of Class A common stock held by BCCJ, LLC. Clinton P. Jones and Brandon M. Cruz are the Chief Executive Officer and President of NVX Holdings, respectively, are members of the Board of Managers of BCCJ, LLC, and share voting and investment control over the shares held by NVX Holdings, Inc. and BCCJ, LLC. The business address of each of NVX Holdings, Inc. and BCCJ, LLC are c/o</w:t>
      </w:r>
    </w:p>
    <w:p>
      <w:pPr>
        <w:spacing w:after="0" w:line="1"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NVS Holdings, Inc., 222 West Merchandise Mart Plaza, Suite 1750, Chicago, Illinois 60654.</w:t>
      </w:r>
    </w:p>
    <w:p>
      <w:pPr>
        <w:spacing w:after="0" w:line="25" w:lineRule="exact"/>
        <w:rPr>
          <w:rFonts w:ascii="Times New Roman" w:cs="Times New Roman" w:eastAsia="Times New Roman" w:hAnsi="Times New Roman"/>
          <w:sz w:val="14"/>
          <w:szCs w:val="14"/>
          <w:color w:val="auto"/>
        </w:rPr>
      </w:pPr>
    </w:p>
    <w:p>
      <w:pPr>
        <w:ind w:left="640" w:right="8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1,158,436 LLC Interests (and associated shares of Class B common stock), held by Blizzard Management Feeder, LLC (“Feeder”) and directly held by Feeder for the benefit of Feeder’s members.</w:t>
      </w:r>
    </w:p>
    <w:p>
      <w:pPr>
        <w:ind w:left="640" w:right="439" w:hanging="348"/>
        <w:spacing w:after="0" w:line="226"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members of Feeder directly hold common units of Feeder that correspond to the LLC Interests (and associated shares of Class B common stock) directly held by Feeder for each such member’s benefit and are entitled to (subject to time-based vesting requirements) direct Feeder to (i) initiate a redemption of the LLC Interests as described above and (ii) vote the associated shares of Class B common stock held by Feeder for such member’s benefit on all matters presented to stockholders for a vote generally, including the election of directors. The business address of Feeder is c/o NVX Holdings, Inc., 222 West Merchandise Mart Plaza, Suite 1750, Chicago,</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Illinois 60654.</w:t>
      </w:r>
    </w:p>
    <w:p>
      <w:pPr>
        <w:spacing w:after="0" w:line="25" w:lineRule="exact"/>
        <w:rPr>
          <w:rFonts w:ascii="Times New Roman" w:cs="Times New Roman" w:eastAsia="Times New Roman" w:hAnsi="Times New Roman"/>
          <w:sz w:val="14"/>
          <w:szCs w:val="14"/>
          <w:color w:val="auto"/>
        </w:rPr>
      </w:pPr>
    </w:p>
    <w:p>
      <w:pPr>
        <w:ind w:left="640" w:right="559" w:hanging="348"/>
        <w:spacing w:after="0" w:line="23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Anthem Insurance Companies, Inc. (“Anthem”) currently holds 35,000 shares of preferred stock (“Anthem’s Preferred Stock”) which is convertible into Class A common stock of the Company. As of the Record Date, Anthem’s Preferred Stock would be convertible into 3,795,222 shares of Class A common stock. However, pursuant to the Certificate of Designations of Series A Convertible Perpetual Preferred Stock, Anthem’s voting rights shall not exceed 9.99% of the issued and outstanding shares with voting rights. Accordingly, in order to prevent exceeding the voting cap, Anthem’s Preferred Stock is currently convertible into 2,704,063 shares of Class A common stock and 1,091,159 is convertible into Series A-1 Convertible Non-Voting Perpetual Preferred Stock.</w:t>
      </w:r>
    </w:p>
    <w:p>
      <w:pPr>
        <w:spacing w:after="0" w:line="15" w:lineRule="exact"/>
        <w:rPr>
          <w:rFonts w:ascii="Times New Roman" w:cs="Times New Roman" w:eastAsia="Times New Roman" w:hAnsi="Times New Roman"/>
          <w:sz w:val="14"/>
          <w:szCs w:val="14"/>
          <w:color w:val="auto"/>
        </w:rPr>
      </w:pPr>
    </w:p>
    <w:p>
      <w:pPr>
        <w:ind w:left="640" w:right="35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208,167 LLC Interests (and associated shares of Class B common stock) directly held by Feeder for the benefit of Mr. Jones. Also includes (i) 6,925 Class A common shares and (ii) 7,525 stock options, each directly owned by Mr. Jones. Also includes the numbers discussed in Footnote 4 for NVX Holdings, Inc. and BCCJ, LLC due to Mr. Jones’ affiliation with such entities.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527,526 shares of Class A common stock, (ii) 74,999 stock options, and (iii) 47,222 stock options vesting within 60 days of April 19, 2024, each directly owned by Mr. Kotte.</w:t>
      </w:r>
    </w:p>
    <w:p>
      <w:pPr>
        <w:ind w:left="640" w:right="3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250,146 shares of Class A common stock, (ii) 22,221 stock options. and (iii) 16,667 stock options vesting within 60 days of April 19, 2024, each directly owned by Mr. Schulz.</w:t>
      </w:r>
    </w:p>
    <w:p>
      <w:pPr>
        <w:ind w:left="640" w:right="399" w:hanging="348"/>
        <w:spacing w:after="0" w:line="24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208,167 LLC Interests (and associated shares of Class B common stock) directly held by Feeder for the benefit of Mr. Cruz. Also includes (i) 6,925 shares of Class A common stock and (ii) 7,525 stock options, each directly owned by Mr. Cruz. Also includes the numbers discussed in Footnote 4 for NVX Holdings, Inc. and BCCJ, LLC due to Mr. Cruz’s affiliation with such entities.</w:t>
      </w:r>
    </w:p>
    <w:p>
      <w:pPr>
        <w:spacing w:after="0" w:line="14" w:lineRule="exact"/>
        <w:rPr>
          <w:rFonts w:ascii="Times New Roman" w:cs="Times New Roman" w:eastAsia="Times New Roman" w:hAnsi="Times New Roman"/>
          <w:sz w:val="14"/>
          <w:szCs w:val="14"/>
          <w:color w:val="auto"/>
        </w:rPr>
      </w:pPr>
    </w:p>
    <w:p>
      <w:pPr>
        <w:ind w:left="640" w:right="41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36,582 shares of Class A common stock, (ii) 4,966 LLC Interests (and associated shares of Class B common stock) directly held by Feeder for the benefit of Mr. Flanagan, and (iii) 3,285 restricted stock units vesting within 60 days of April 19, 2024.</w:t>
      </w: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10,588 shares of Class A common stock and (ii) 1,971 restricted stock units vesting within 60 days of April 19,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68,597 shares of Class A common stock and (ii) 3,285 restricted stock units vesting within 60 days of April 19, 2024.</w:t>
      </w:r>
    </w:p>
    <w:p>
      <w:pPr>
        <w:spacing w:after="0" w:line="41" w:lineRule="exact"/>
        <w:rPr>
          <w:rFonts w:ascii="Times New Roman" w:cs="Times New Roman" w:eastAsia="Times New Roman" w:hAnsi="Times New Roman"/>
          <w:sz w:val="14"/>
          <w:szCs w:val="14"/>
          <w:color w:val="auto"/>
        </w:rPr>
      </w:pPr>
    </w:p>
    <w:p>
      <w:pPr>
        <w:ind w:left="640" w:right="41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21,948 shares of Class A common stock, (ii) 4,966 LLC Interests (and associated shares of Class B common stock) directly held by Feeder for the benefit of Mr. Timm, and (iii) 1,971 restricted stock units vesting within 60 days of April 19, 2024.</w:t>
      </w:r>
    </w:p>
    <w:p>
      <w:pPr>
        <w:spacing w:after="0" w:line="1"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all persons who beneficially own more than 10% of a registered class of the Company’s equity securities to file with the SEC initial reports of ownership and reports of changes in ownership of common stock and other equity securities of the Company.</w:t>
      </w:r>
    </w:p>
    <w:p>
      <w:pPr>
        <w:spacing w:after="0" w:line="68"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To the Company’s knowledge, based solely on a review of copies of Section 16 filings filed electronically with the SEC and, as applicable, information provided to the Company by individual directors, executive officers, and the beneficial owners of more than 10% of the Company’s equity securities, all Section 16(a) filing requirements were complied with on a timely basis with the exception of (i) the Form 3 filed on October 10, 2023 on behalf of Mike Hargis to report his appointment to Chief Operating Officer on September 29, 2023, (ii) the Form 3 filed on February 20, 2024 on behalf of Brad Burd to report his appointment to Chief Legal Officer on February 9, 2024, and</w:t>
      </w:r>
    </w:p>
    <w:p>
      <w:pPr>
        <w:spacing w:after="0" w:line="5" w:lineRule="exact"/>
        <w:rPr>
          <w:sz w:val="20"/>
          <w:szCs w:val="20"/>
          <w:color w:val="auto"/>
        </w:rPr>
      </w:pPr>
    </w:p>
    <w:p>
      <w:pPr>
        <w:ind w:left="300" w:right="699" w:hanging="8"/>
        <w:spacing w:after="0" w:line="260" w:lineRule="auto"/>
        <w:tabs>
          <w:tab w:leader="none" w:pos="6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4 filed on February 20, 2024 on behalf of Brad Burd to report shares withheld by the Company to satisfy tax withholding obligations on February 11, 2024.</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setting forth the policies and procedures for the review and approval or ratification of related person transactions.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Chief Legal Officer by both the related person and the person at the Company responsible for such potential related person transaction. If our legal department determines that a transaction or relationship is a related person transaction requiring compliance with the policy, our Chief Legal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96"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following are certain current transactions, arrangements and relationships with our directors, executive officers and stockholders owning 5% or more of our outstanding common stock, or any member of the immediate family of any of the foregoing persons, other than equity and other compensation, termination, change in control and other arrangements, which are described under “Executive and Director Compensation.”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Related Party Employment Relationships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We employed Shane E. Cruz, brother of Brandon M. Cruz, Co-Chairman of our Board of Directors, as our Chief Strategy Officer until his termination on June 30, 2023 (the “Separation Date”). Prior to his appointment as Chief Strategy Officer in 2022, Mr. Cruz served as our Chief Operating Officer beginning in 2020 and Chief Technology Officer of GoHealth beginning in 2014. We established Mr. Cruz’s compensation in accordance with our employment and compensation practices applicable to employees with equivalent qualifications and responsibilities holding similar positions. In his capacity as Chief Strategy Officer, Mr. Cruz received approximately $1,259,033 in fiscal year 2023 and $3,486,984 in fiscal year 2022, each including equity awards measured at grant date fair value. Further, in connection with Mr. Cruz’s termination, we entered into a separation agreement with Mr. Cruz in July 2023 to memorialize the benefits under Mr. Cruz’s Amended &amp; Restated Employment Agreement with the Company, dated August 1, 2022, and provide for (i) a continuation of base salary for a two-(2) year period following the Separation Date, (ii) a cash bonus for 2023 at 100% of the targeted bonus, (iii) acceleration of any unvested LLC profits interests granted to Mr. Cruz prior to the 2020 initial public offering, (iv) acceleration of any unvested equity awards issued by the Company that would have vested within the 24-month period beginning on the Separation Date had Mr. Cruz remained employed by the Company, and (v) up to 24 months of COBRA premium reimbursement following the Separation Date. The separation benefits are subject to Mr. Cruz’s continued compliance with applicable restrictive covenants.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Agreements Involving our Founders</w:t>
      </w:r>
    </w:p>
    <w:p>
      <w:pPr>
        <w:spacing w:after="0" w:line="121" w:lineRule="exact"/>
        <w:rPr>
          <w:sz w:val="20"/>
          <w:szCs w:val="20"/>
          <w:color w:val="auto"/>
        </w:rPr>
      </w:pPr>
    </w:p>
    <w:p>
      <w:pPr>
        <w:ind w:left="300" w:right="479"/>
        <w:spacing w:after="0" w:line="253" w:lineRule="auto"/>
        <w:rPr>
          <w:sz w:val="20"/>
          <w:szCs w:val="20"/>
          <w:color w:val="auto"/>
        </w:rPr>
      </w:pPr>
      <w:r>
        <w:rPr>
          <w:rFonts w:ascii="Times New Roman" w:cs="Times New Roman" w:eastAsia="Times New Roman" w:hAnsi="Times New Roman"/>
          <w:sz w:val="18"/>
          <w:szCs w:val="18"/>
          <w:color w:val="auto"/>
        </w:rPr>
        <w:t>We have entered into various lease agreements (as amended and restated, the “RPT Leases”) with Wilson Tech 5, LLC, 214 W Huron LLC, 220 W Huron Street Holdings LLC and 215 W Superior LLC, each of which are controlled by our Founders, to lease our corporate offices at 214 West Huron Street, Chicago, Illinois, 220 West Huron Street, Chicago, Illinois, 215 West Superior Street, Chicago, Illinois, and a site in Lindon, Utah. Our lease agreement with Wilson Tech 5, LLC expires ten years after the May 12, 2020 commencement date; our lease agreement with 214 W Huron LLC expires on July 31, 2024; our lease agreements with 220 W Huron Street Holdings LLC expire on May 31, 2024 and July 31, 2024; and our lease agreement with 215 W Superior LLC expires on December 31, 2030. In addition to the lease payments, we are also required to pay operating expenses, maintenance and utilities under the terms of the RPT Leases. For the year ended December 31, 2023, we made aggregate lease payments of $6 million under the RPT Leases. For the year ended December 31, 2022, we made aggregate lease payments of $3.9 million under the RPT Leases. Assuming none of the RPT Leases are terminated early, the remaining amounts due under the RPT Leases in aggregate are expected to be approximately $45.7 million.</w:t>
      </w:r>
    </w:p>
    <w:p>
      <w:pPr>
        <w:spacing w:after="0" w:line="79"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On January 1, 2020, we entered into a non-exclusive aircraft dry lease agreement with N157BC, LLC, an entity wholly-owned and controlled by our Founders, which we amended and restated on May 29, 2020. The agreement allows us to use an aircraft owned by N157BC, LLC for our business and on an as-needed basis.</w:t>
      </w:r>
    </w:p>
    <w:p>
      <w:pPr>
        <w:spacing w:after="0" w:line="68"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agreement has no set term and is terminable without cause by either party upon 30 days’ prior written notice. Under the agreement, we are required to pay $6,036.94 per flight hour for use of the aircraft. For the year ended December 31, 2023, the Company recorded no expense under this lease. For the year ended December 31, 2022, we made payments totaling $622,000 under this agreement.</w:t>
      </w:r>
    </w:p>
    <w:p>
      <w:pPr>
        <w:spacing w:after="0" w:line="72"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On March 2, 2018, we entered into an agreement with Rank Me Media, LLC, an entity wholly-owned and controlled by Patrick Cruz, brother to each of Brandon M. Cruz, our Co-Chairman of the Board, and Shane E. Cruz, our then Chief Strategy Officer, to provide search engine optimization consulting services. This agreement had an initial term of six months and after the expiration of such period, automatically renews one month each month unless terminated by either party with a 30-day prior written notice. Under the agreement, we are required to pay a monthly flat fee retainer of $6,000 per month. For the years ended December 31, 2023 and December 31, 2022, we made payments each year totaling $72,000 under this agreement.</w:t>
      </w:r>
    </w:p>
    <w:p>
      <w:pPr>
        <w:spacing w:after="0" w:line="8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Anthem Insurance Companies, Inc., an owner of our Series A Preferred Stock (see “Security Ownership of Certain Beneficial Owners and Management”), is a wholly-owned subsidiary of Elevance Health, Inc. (“Elevance”). Elevance is the owner of health plan partners with which we enter into contractual agency relationships. Our health plan partners are responsible for paying our commissions and, for these purposes, act as our customers. Health plans owned by Elevance accounted for approximately $142.3 million or 19% of our net revenues for the twelve months ended December 31, 2023, and approximately $142.9 million or 23% of our net revenues for the twelve months ended December 31, 2022.</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On July 15, 2020, we entered into a Tax Receivable Agreement with GoHealth Holdings, LLC, Continuing Equity Owners and the Blocker Shareholders that provides for the payment by GoHealth, Inc. to the Continuing Equity Owners and the Blocker Shareholders of 85% of the amount of certain tax benefits, if any, that GoHealth, Inc. actually realizes, or in some circumstances is deemed to realize as a result of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 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 transferees, without such person becoming a party to the Tax Receivable Agreement and agreeing to succeed to the applicable Continuing Equity Owner’s or Blocker Shareholders’ interest therein. During the fourth quarter of 2023, we paid $185,779 to the Continuing Equity Owners and Blocker Shareholders related to fiscal year 2022 under the Tax Receivable Agreement. Additionally, we made 2023 tax distributions totaling $144,516 to several current and former employees, including certain executive officers, as well as other partners related to state taxable income allocated to such persons.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GoHealth Holdings, LLC Agreement</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On July 15, 2020, we and the Continuing Equity Owners entered into GoHealth Holdings, LLC’s Second Amended and Restated Limited Liability Company Agreement (the “GoHealth Holdings, LLC Agreement”).</w:t>
      </w:r>
    </w:p>
    <w:p>
      <w:pPr>
        <w:spacing w:after="0" w:line="50" w:lineRule="exact"/>
        <w:rPr>
          <w:sz w:val="20"/>
          <w:szCs w:val="20"/>
          <w:color w:val="auto"/>
        </w:rPr>
      </w:pPr>
    </w:p>
    <w:p>
      <w:pPr>
        <w:ind w:left="1000" w:right="359" w:hanging="348"/>
        <w:spacing w:after="0" w:line="255"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Appointment as Managing Member</w:t>
      </w:r>
      <w:r>
        <w:rPr>
          <w:rFonts w:ascii="Times New Roman" w:cs="Times New Roman" w:eastAsia="Times New Roman" w:hAnsi="Times New Roman"/>
          <w:sz w:val="18"/>
          <w:szCs w:val="18"/>
          <w:color w:val="auto"/>
        </w:rPr>
        <w:t>. Under the GoHealth Holdings, LLC Agreement, we became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and the sole manager of GoHealth Holdings, LLC. As the sole manager, we are able to control all of the day-to-day business affairs and decision-making of GoHealth Holdings, LLC without the approval of any other member. As such, we, through our officers and directors, are responsible for all operational and administrative decisions of GoHealth Holdings, LLC and daily management of GoHealth Holdings, LLC’s business. Pursuant to the terms of the GoHealth Holdings, LLC Agreement, we cannot be removed or replaced as the sole manager of GoHealth Holdings, LLC except by our resignation, which may be given at any time by written notice to the members.</w:t>
      </w:r>
    </w:p>
    <w:p>
      <w:pPr>
        <w:spacing w:after="0" w:line="76" w:lineRule="exact"/>
        <w:rPr>
          <w:rFonts w:ascii="Times New Roman" w:cs="Times New Roman" w:eastAsia="Times New Roman" w:hAnsi="Times New Roman"/>
          <w:sz w:val="18"/>
          <w:szCs w:val="18"/>
          <w:color w:val="auto"/>
        </w:rPr>
      </w:pPr>
    </w:p>
    <w:p>
      <w:pPr>
        <w:ind w:left="1000" w:right="339" w:hanging="348"/>
        <w:spacing w:after="0" w:line="259"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Compensation, Fees and Expenses</w:t>
      </w:r>
      <w:r>
        <w:rPr>
          <w:rFonts w:ascii="Times New Roman" w:cs="Times New Roman" w:eastAsia="Times New Roman" w:hAnsi="Times New Roman"/>
          <w:sz w:val="18"/>
          <w:szCs w:val="18"/>
          <w:color w:val="auto"/>
        </w:rPr>
        <w:t>. We are not entitled to compensation for our services as the manager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GoHealth Holdings, LLC. We are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7"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Distributions</w:t>
      </w:r>
      <w:r>
        <w:rPr>
          <w:rFonts w:ascii="Times New Roman" w:cs="Times New Roman" w:eastAsia="Times New Roman" w:hAnsi="Times New Roman"/>
          <w:sz w:val="17"/>
          <w:szCs w:val="17"/>
          <w:color w:val="auto"/>
        </w:rPr>
        <w:t>. The GoHealth Holdings, LLC Agreement requires “tax distributions,” as that term is used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agreement, to be made by GoHealth Holdings, LLC to its members on a pro rata basis, except to the extent such distributions would render GoHealth Holdings, LLC insolvent or are otherwise prohibited by law, our Credit Facilities or any of our future debt agreements. Tax 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 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During 2020, we made tax distributions to certain executive officers to account for delinquent tax distributions related to taxable income allocated to such persons for 2020. The GoHealth Holdings, LLC Agreement also allows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294" w:lineRule="exact"/>
        <w:rPr>
          <w:rFonts w:ascii="Times New Roman" w:cs="Times New Roman" w:eastAsia="Times New Roman" w:hAnsi="Times New Roman"/>
          <w:sz w:val="17"/>
          <w:szCs w:val="17"/>
          <w:color w:val="auto"/>
        </w:rPr>
      </w:pPr>
    </w:p>
    <w:p>
      <w:pPr>
        <w:ind w:left="1000" w:right="319" w:hanging="348"/>
        <w:spacing w:after="0" w:line="259"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The GoHealth Holdings, LLC Agreement generally does not permit transfers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Interests by members, except for transfers to permitted transferees, transfers pursuant to the participation right described below and other limited exceptions. The GoHealth Holdings, LLC Agreement may impose additional restrictions on transfers (including redemptions described below with respect to each common unit) that are necessary or advisable so that GoHealth Holdings, LLC is not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61" w:lineRule="auto"/>
        <w:rPr>
          <w:sz w:val="20"/>
          <w:szCs w:val="20"/>
          <w:color w:val="auto"/>
        </w:rPr>
      </w:pPr>
      <w:r>
        <w:rPr>
          <w:rFonts w:ascii="Times New Roman" w:cs="Times New Roman" w:eastAsia="Times New Roman" w:hAnsi="Times New Roman"/>
          <w:sz w:val="18"/>
          <w:szCs w:val="18"/>
          <w:color w:val="auto"/>
        </w:rPr>
        <w:t>treated as a “publicly-traded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72"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color w:val="auto"/>
        </w:rPr>
        <w:t>The GoHealth Holdings, LLC Agreement provides a redemption right to the Continuing Equity Owners which entitles them to have their LLC Interests redeemed (subject in certain circumstances to time-based vesting requirements) for, at our election (determined by at least two of our independent directors (within the meaning of the Nasdaq rules) who are disinterested),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by at least two of our independent directors (within the meaning of the Nasdaq rules) who are disinterested), we may effect a direct exchange by GoHealth, Inc. of such Class A common stock or such cash, as applicable, for such LLC Interests. The Continuing Equity Owners may exercise such redemption right, subject to certain exceptions, for as long as their LLC Interests remain outstanding. In connection with the exercise of the redemption or exchange of LLC Interests</w:t>
      </w:r>
    </w:p>
    <w:p>
      <w:pPr>
        <w:spacing w:after="0" w:line="2" w:lineRule="exact"/>
        <w:rPr>
          <w:sz w:val="20"/>
          <w:szCs w:val="20"/>
          <w:color w:val="auto"/>
        </w:rPr>
      </w:pPr>
    </w:p>
    <w:p>
      <w:pPr>
        <w:ind w:left="540" w:hanging="248"/>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Equity Owners will be required to surrender a number of shares of our Class B common stock</w:t>
      </w:r>
    </w:p>
    <w:p>
      <w:pPr>
        <w:spacing w:after="0" w:line="9" w:lineRule="exact"/>
        <w:rPr>
          <w:rFonts w:ascii="Times New Roman" w:cs="Times New Roman" w:eastAsia="Times New Roman" w:hAnsi="Times New Roman"/>
          <w:sz w:val="18"/>
          <w:szCs w:val="18"/>
          <w:color w:val="auto"/>
        </w:rPr>
      </w:pPr>
    </w:p>
    <w:p>
      <w:pPr>
        <w:ind w:left="300" w:right="3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such redeeming or exchanging Continuing Equity Owner, and therefore, will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8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Except as otherwise determined by us, the 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 (2) GoHealth Holdings, LLC at all times maintains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Pursuant to the Stockholders Agreement, (i) Centerbridge has the right to designate that number of individuals, which, assuming all such individuals are successfully elected as Directors, when taken together with any incumbent Centerbridge Director (as defined below) not standing for election in such election, would result in there being two Directors, or the “Centerbridge Directors,” who will be Centerbridge Directors for as long as Centerbridge directly or indirectly, beneficially owns, in the aggregate, at least 10%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10% but at least 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 Director not standing for election in such election, would result in there being one Centerbridge Director. In addition, (i) Centerbridge has the right to designate that number of individuals who satisfy the independence requirements specified in the Stockholders Agreement, which, assuming all such individuals are successfully elected as Directors, when taken together with any incumbent Centerbridge-Designated Independent Director (as defined below) not standing for election in such election, would result in there being two Directors, or the “Centerbridge-Designated Independent Directors,” who will be Centerbridge-Designated Independent Directors for as long as Centerbridge directly or indirectly, beneficially owns, in the aggregate, at least 20%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20% but at least 15%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39"/>
        <w:spacing w:after="0" w:line="266" w:lineRule="auto"/>
        <w:rPr>
          <w:sz w:val="20"/>
          <w:szCs w:val="20"/>
          <w:color w:val="auto"/>
        </w:rPr>
      </w:pPr>
      <w:r>
        <w:rPr>
          <w:rFonts w:ascii="Times New Roman" w:cs="Times New Roman" w:eastAsia="Times New Roman" w:hAnsi="Times New Roman"/>
          <w:sz w:val="18"/>
          <w:szCs w:val="18"/>
          <w:color w:val="auto"/>
        </w:rPr>
        <w:t>such individuals are successfully elected as Directors, when taken together with any incumbent Centerbridge-Designated Independent Director not standing for election in such election, would result in there being one Centerbridge-Designated Independent Director.</w:t>
      </w:r>
    </w:p>
    <w:p>
      <w:pPr>
        <w:spacing w:after="0" w:line="68"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Pursuant to the Stockholders Agreement, (i) NVX Holdings has the right to designate that number of individuals, which, assuming all such individuals are successfully elected as Directors, when taken together with any incumbent Founders Director (as defined below) not standing for election in such election, would result in there being two Directors, or the “Founders Directors,” who will be the Founders Directors for as long as NVX Holdings directly or indirectly, beneficially owns, in the aggregate, 10% or more of our Class A common stock (assuming that all outstanding LLC Interests are redeemed for newly-issued shares of our class A common stock on a one-for-one basis), and (ii) if at any time, NVX Holdings directly or indirectly, beneficially owns, in the aggregate less than 10% but at least 5% of our Class A common stock (assuming that all outstanding LLC Interests are redeemed for newly-issued shares of our class A common stock on a one-for-one basis), NVX Holdings has the right to designate for nomination that number of individuals, which, assuming all such individuals are successfully elected as Directors, when taken together with any incumbent Founders Directors not standing for election in such election, would result in there being one Founders Director. In addition, (i) NVX Holdings has the right to designate that number of individuals who satisfy the independence requirements specified in the Stockholders Agreement, which, assuming all such individuals are successfully elected as Directors, when taken together with any incumbent Founders-Designated Independent Director (as defined below)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(assuming that all outstanding LLC Interests in GoHealth Holdings, LLC are redeemed for newly-issued shares of our Class A common stock on a one-for-one basis), and (ii) if at any time, NVX Holdings directly or indirectly, beneficially owns, in the aggregate, less than 20% but at least 15% of our Class A common stock (assuming that all outstanding LLC Interests in GoHealth Holdings, LLC are redeemed for newly-issued shares of our Class A common stock on a one-for-one basis), NVX Holdings will have the right to designate for nomination that number of individuals, which, assuming all such individuals are successfully elected as Directors, when taken together with any incumbent Founders-Designated Independent Director not standing for election in such election, would result in there being one Founder-Designated Independent Director. Additionally, pursuant to the Stockholders Agreement, each of Centerbridge and NVX Holdings has the right to appoint one board observer so long as Centerbridge or NVX Holdings, respectively, beneficially own, directly or indirectly, at least 5% of our Class A common stock (assuming that all outstanding LLC Interests in GoHealth Holdings, LLC are redeemed for newly-issued shares of our Class A common stock on a one-for-one basis).</w:t>
      </w:r>
    </w:p>
    <w:p>
      <w:pPr>
        <w:spacing w:after="0" w:line="94"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Each of Centerbridge and NVX Holdings have also agreed to vote, or cause to vote, all of their outstanding shares of our Class A common stock and Class B common stock at any annual or special meeting of stockholders in which directors are elected, so as to cause the election of the Centerbridge Directors, the Centerbridge-Designated Independent Directors, the Founders Directors and the Founders-Designated Independent Directors. Additionally, pursuant to the Stockholders Agreement, we shall take all commercially reasonable actions to cause (1) the Board of Directors to be comprised of at least nine directors or such other number of directors as our Board of Directors may determine; (2) the individuals designated in accordance with the terms of the Stockholders Agreement to be included in the slate of nominees to be elected at the next annual or special meeting of our stockholders at which directors are to be elected and at each annual meeting of our stockholders thereafter at which a director’s term expires; and (3)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w:t>
      </w:r>
    </w:p>
    <w:p>
      <w:pPr>
        <w:spacing w:after="0" w:line="74"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In addition, the Stockholders Agreement provides that for as long as Centerbridge or NVX Holdings, respectively, beneficially owns, directly or indirectly, in the aggregate, 15% or more of all issued and outstanding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72" w:lineRule="exact"/>
        <w:rPr>
          <w:sz w:val="20"/>
          <w:szCs w:val="20"/>
          <w:color w:val="auto"/>
        </w:rPr>
      </w:pPr>
    </w:p>
    <w:p>
      <w:pPr>
        <w:ind w:left="1000" w:right="39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in which any “person” or “group” acquires, directly or indirectly, in excess of fifty percent (50%) of then outstanding shares of capital stock of the Company, GoHealth Holdings, LLC or any of their respective subsidiaries or has the direct or indirect power to elect a majority of the members of our Board;</w:t>
      </w:r>
    </w:p>
    <w:p>
      <w:pPr>
        <w:spacing w:after="0" w:line="71"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substantially all of the property and assets of the Company and its subsidiaries, taken as a whole;</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disposition by the Company or any of its subsidiaries of assets, persons, equity interests or businesses, or entry into any joint venture by the Company, where the aggregate consideration is greater than $50.0 million in any single transaction or series of related transactions;</w:t>
      </w:r>
    </w:p>
    <w:p>
      <w:pPr>
        <w:spacing w:after="0" w:line="67" w:lineRule="exact"/>
        <w:rPr>
          <w:rFonts w:ascii="Times New Roman" w:cs="Times New Roman" w:eastAsia="Times New Roman" w:hAnsi="Times New Roman"/>
          <w:sz w:val="18"/>
          <w:szCs w:val="18"/>
          <w:color w:val="auto"/>
        </w:rPr>
      </w:pPr>
    </w:p>
    <w:p>
      <w:pPr>
        <w:ind w:left="1000" w:right="165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new class or series of capital stock or equity securities of the Company, GoHealth Holdings, LLC or any of their respective subsidiaries;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additional shares of Class A common stock, Class B common stock, Class C common stock, preferred stock or other equity securities of the Company, GoHealth Holdings, LLC or any of their respective subsidiaries;</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modification of the organizational documents of the Company, GoHealth Holdings, LLC or any of their respective subsidiaries;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the LLC Agreement, any repurchase, redemption or other acquisition of any equity interests or other securities of, or other ownership interests in the Company or any of its subsidiaries;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incurrence of new indebtedness or refinancing of existing indebtedness by us, any guarantee made by the Company or any of its subsidiaries or any grant of any security interest in any of the assets of the Company or any of its subsidiaries, in each case with a value in excess of $25.0 million;</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any material litigation or similar action to which the Company or any subsidiary is a party or could otherwise be bound;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engagement of, or change to, our independent auditor;</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termination (other than a termination for cause) of our Chief Executive Officer; provided, with respect to the hiring of the Chief Executive Officer, such approval shall not be unreasonably withheld if the candidate for Chief Executive Officer has been approved by the Board;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increase, decrease or change in compensation (including equity compensation or other employment terms) with respect to our Chief Executive Officer, President, Chief Financial Officer, Chief Operating Officer or Chief Strategy Officer or (ii) any approval, authorization or implementation of, or any change, amendment or modification to, any employee equity incentive plan, agreement or arrangement of the Company or any of its Subsidiaries;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authorization or commitment to do any of the foregoing.</w:t>
      </w:r>
    </w:p>
    <w:p>
      <w:pPr>
        <w:spacing w:after="0" w:line="117"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addition, the Stockholders Agreement provides that for as long as Centerbridge or NVX Holdings, respectively, beneficially owns, directly or indirectly, in the aggregate, 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79" w:lineRule="exact"/>
        <w:rPr>
          <w:sz w:val="20"/>
          <w:szCs w:val="20"/>
          <w:color w:val="auto"/>
        </w:rPr>
      </w:pPr>
    </w:p>
    <w:p>
      <w:pPr>
        <w:ind w:left="1000" w:right="6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recapitalization, voluntary bankruptcy, liquidation, dissolution or winding-up of the Company, GoHealth Holdings, LLC or any of their respective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resignation, replacement or removal of the Company as the sole manager of GoHealth Holdings, LLC or (ii) appointment of any additional person as a manager of GoHealth Holdings, LLC;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of the size of our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to the primary nature of the Company and its subsidiaries’ business; and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any affiliate, director or officer of the Company or any of its subsidiaries (other than employment arrangements with any such director or officer) involving an amount in excess of $3.0 million.</w:t>
      </w:r>
    </w:p>
    <w:p>
      <w:pPr>
        <w:spacing w:after="0" w:line="68"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Stockholders Agreement will terminate upon the earlier to occur of (i) each of Centerbridge and NVX Holdings cease to own any of our Class A common stock or Class B common stock or (ii) by unanimous consent of us, Centerbridge and NVX Holdings.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 and Insurance</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We have also purchased directors’ and officers’ liability insurance.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you received this Proxy Statement</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You are viewing or have received these proxy materials because GoHealth’s Board of Directors is soliciting your proxy to vote your shares at the Annual Meeting. This Proxy Statement includes information that we are required to provide to you under the rules of the SEC and that is designed to assist you in voting your shares.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As permitted by SEC rules, GoHealth is making this Proxy Statement and its 2023 Annual Report available to its stockholders electronically via the Internet. On or about April 26, 2024 we mailed to our stockholders a Notice of Internet Availability of Proxy Materials (the “Internet Notice”) containing instructions on how to access this Proxy Statement and our 2023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2023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Printed Copies of Our Proxy Materials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If you received printed copies of our proxy materials, then instructions regarding how you can vote are contained on the proxy card included in the materials.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339"/>
        <w:spacing w:after="0" w:line="272" w:lineRule="auto"/>
        <w:rPr>
          <w:sz w:val="20"/>
          <w:szCs w:val="20"/>
          <w:color w:val="auto"/>
        </w:rPr>
      </w:pPr>
      <w:r>
        <w:rPr>
          <w:rFonts w:ascii="Times New Roman" w:cs="Times New Roman" w:eastAsia="Times New Roman" w:hAnsi="Times New Roman"/>
          <w:sz w:val="17"/>
          <w:szCs w:val="17"/>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(“Broadridge”) at 1-866-540-7095 or in writing at Broadridge, Householding Department, 51 Mercedes Way, Edgewood, New York 11717.</w:t>
      </w:r>
    </w:p>
    <w:p>
      <w:pPr>
        <w:spacing w:after="0" w:line="6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2024 ANNUAL MEETING OF STOCKHOLDERS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Record Date for the Annual Meeting is April 19, 2024. You are entitled to vote at the Annual Meeting only if you were a stockholder of record at the close of business on that date, or if you hold a valid proxy for the Annual Meeting. Each outstanding share of Series A preferred stock is entitled to vote with Class A common shares on an as-converted basis subject to the voting caps as described further in the Certificate of Designations. Each outstanding share of Class A common stock and Class B common stock is entitled to one vote for all matters before the Annual Meeting. Holders of Class A common stock and Class B common stock, subject to the GoHealth Holdings, LLC Agreement, vote together as a single class on any matter (including the election of directors and the ratification of our independent registered public accounting firm) that is submitted to a vote of stockholders, unless otherwise required by law or our Amended and Restated Certificate of Incorporation. At the close of business on the Record Date, there were 50,000 Series A preferred shares (convertible into 4,055,936 voting shares), 9,944,564 shares of Class A common stock and 12,781,694 shares of Class B common stock outstanding and entitled to vote at the Annual Meeting. The Class A shares, on an as-converted basis represent 52.8% of voting power of our common stock and Class B shares represent 47.2%.</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jc w:val="both"/>
        <w:ind w:left="300" w:right="319"/>
        <w:spacing w:after="0" w:line="272" w:lineRule="auto"/>
        <w:rPr>
          <w:sz w:val="20"/>
          <w:szCs w:val="20"/>
          <w:color w:val="auto"/>
        </w:rPr>
      </w:pPr>
      <w:r>
        <w:rPr>
          <w:rFonts w:ascii="Times New Roman" w:cs="Times New Roman" w:eastAsia="Times New Roman" w:hAnsi="Times New Roman"/>
          <w:sz w:val="17"/>
          <w:szCs w:val="17"/>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w:t>
      </w:r>
    </w:p>
    <w:p>
      <w:pPr>
        <w:spacing w:after="0" w:line="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As the beneficial owner, you have the right to direct your bank or brokerage firm how to vote your shares, and the bank or brokerage firm is required to vote your shares in accordance with your instructions. If your shares are not registered in your own name and you would like to vote your shares at the Annual Meeting, you should contact your broker or other nominee to obtain your 16-digit control number or otherwise vote through the broker or other nominee.</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online or by proxy, of the holders of a majority of the voting power of the common stock issued and outstanding and entitled to vote on the Record Date will constitute a quorum.</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attend the Annual Meeting?</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GoHealth will hold the Annual Meeting virtually this year. You may attend and participate in the Annual Meeting by visiting the following website: </w:t>
      </w:r>
      <w:r>
        <w:rPr>
          <w:rFonts w:ascii="Times New Roman" w:cs="Times New Roman" w:eastAsia="Times New Roman" w:hAnsi="Times New Roman"/>
          <w:sz w:val="18"/>
          <w:szCs w:val="18"/>
          <w:i w:val="1"/>
          <w:iCs w:val="1"/>
          <w:color w:val="auto"/>
        </w:rPr>
        <w:t>www.virtualshareholdermeeting.com/GOCO2024</w:t>
      </w:r>
      <w:r>
        <w:rPr>
          <w:rFonts w:ascii="Times New Roman" w:cs="Times New Roman" w:eastAsia="Times New Roman" w:hAnsi="Times New Roman"/>
          <w:sz w:val="18"/>
          <w:szCs w:val="18"/>
          <w:color w:val="auto"/>
        </w:rPr>
        <w:t>.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10:00 a.m. Eastern Daylight Time (9:00 a.m. Central Daylight Time). We encourage you to access the Annual Meeting prior to the start time. Online check-in will begin at 9:55 a.m. Eastern Daylight Time (8:55 a.m. Central Daylight Time), and you should allow ample time for the check-in procedures.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left="300" w:right="439"/>
        <w:spacing w:after="0" w:line="312" w:lineRule="auto"/>
        <w:rPr>
          <w:sz w:val="20"/>
          <w:szCs w:val="20"/>
          <w:color w:val="auto"/>
        </w:rPr>
      </w:pPr>
      <w:r>
        <w:rPr>
          <w:rFonts w:ascii="Times New Roman" w:cs="Times New Roman" w:eastAsia="Times New Roman" w:hAnsi="Times New Roman"/>
          <w:sz w:val="17"/>
          <w:szCs w:val="17"/>
          <w:color w:val="auto"/>
        </w:rPr>
        <w:t>If a quorum is not present at the scheduled time of the Annual Meeting, the Chairperson of the Annual Meeting is authorized by our Amended and Restated Bylaws to adjourn the Annual Meeting, without the vote of stockholders.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vote:</w:t>
      </w:r>
    </w:p>
    <w:p>
      <w:pPr>
        <w:spacing w:after="0" w:line="117" w:lineRule="exact"/>
        <w:rPr>
          <w:sz w:val="20"/>
          <w:szCs w:val="20"/>
          <w:color w:val="auto"/>
        </w:rPr>
      </w:pPr>
    </w:p>
    <w:p>
      <w:pPr>
        <w:ind w:left="1000" w:right="999" w:hanging="348"/>
        <w:spacing w:after="0" w:line="284"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before the Annual Meeting—You can vote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by following the instructions on the Internet Notice or proxy card;</w:t>
      </w:r>
    </w:p>
    <w:p>
      <w:pPr>
        <w:spacing w:after="0" w:line="52"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before the Annual Meeting—You can vote by telephone by calling 1-800-690-6903 and following the instructions on the proxy card;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before the Annual Meeting—You can vote by mail by signing, dating and mailing the proxy card, which you may have received by mail; or</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the Annual Meeting—If you attend the Annual Meeting online, you will need the 16-digit control number included in your Internet Notice, on your proxy card or on the instructions that accompanied your proxy materials to vote electronically during the Annual Meeting.</w:t>
      </w:r>
    </w:p>
    <w:p>
      <w:pPr>
        <w:spacing w:after="0" w:line="68" w:lineRule="exact"/>
        <w:rPr>
          <w:sz w:val="20"/>
          <w:szCs w:val="20"/>
          <w:color w:val="auto"/>
        </w:rPr>
      </w:pPr>
    </w:p>
    <w:p>
      <w:pPr>
        <w:ind w:left="300" w:right="439"/>
        <w:spacing w:after="0" w:line="281" w:lineRule="auto"/>
        <w:rPr>
          <w:sz w:val="20"/>
          <w:szCs w:val="20"/>
          <w:color w:val="auto"/>
        </w:rPr>
      </w:pPr>
      <w:r>
        <w:rPr>
          <w:rFonts w:ascii="Times New Roman" w:cs="Times New Roman" w:eastAsia="Times New Roman" w:hAnsi="Times New Roman"/>
          <w:sz w:val="17"/>
          <w:szCs w:val="17"/>
          <w:color w:val="auto"/>
        </w:rPr>
        <w:t>Internet and telephone voting facilities for stockholders of record will be available 24 hours a day and will close at 11:59 p.m. Eastern Daylight Time (10:59 p.m. Central Daylight Time) on June 11, 2024. To participate in the Annual Meeting, including to vote via the Internet or by telephone, you will need the 16-digit control number included on your Internet Notice, on your proxy card or on the instructions that accompanied your proxy materials.</w:t>
      </w:r>
    </w:p>
    <w:p>
      <w:pPr>
        <w:spacing w:after="0" w:line="56" w:lineRule="exact"/>
        <w:rPr>
          <w:sz w:val="20"/>
          <w:szCs w:val="20"/>
          <w:color w:val="auto"/>
        </w:rPr>
      </w:pPr>
    </w:p>
    <w:p>
      <w:pPr>
        <w:jc w:val="both"/>
        <w:ind w:left="300" w:right="679"/>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during the Annual Meeting.</w:t>
      </w:r>
    </w:p>
    <w:p>
      <w:pPr>
        <w:spacing w:after="0" w:line="70"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your shares are held in “street name” through a bank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Yes. If you are a registered stockholder, you may revoke your proxy and change your vote any time before it is voted:</w:t>
      </w:r>
    </w:p>
    <w:p>
      <w:pPr>
        <w:spacing w:after="0" w:line="54"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via the Internet or by telephone;</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Corporate Secretary of GoHealth prior to the Annual Meeting;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Annual Meeting.</w:t>
      </w:r>
    </w:p>
    <w:p>
      <w:pPr>
        <w:spacing w:after="0" w:line="117"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attendance at the Annual Meeting by itself will not revoke your proxy unless you give written notice of revocation to the Corporate Secretary before your proxy is voted or you vote online at the Annual Meeting.</w:t>
      </w:r>
    </w:p>
    <w:p>
      <w:pPr>
        <w:spacing w:after="0" w:line="68"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online at the Annual Meeting using your 16-digit control number or otherwise voting through your bank or broker.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representative of Broadridge, our inspector of election, will tabulate and certify the votes.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 xml:space="preserve">If you submit a proxy but do not indicate any voting instructions, the persons named as proxies will vote in accordance with the recommendations of the Board of Directors. The Board of Directors’ recommendations are indicated on page </w:t>
      </w:r>
      <w:r>
        <w:rPr>
          <w:rFonts w:ascii="Times New Roman" w:cs="Times New Roman" w:eastAsia="Times New Roman" w:hAnsi="Times New Roman"/>
          <w:sz w:val="17"/>
          <w:szCs w:val="17"/>
          <w:u w:val="single" w:color="auto"/>
          <w:color w:val="0000EE"/>
        </w:rPr>
        <w:t>2</w:t>
      </w:r>
      <w:r>
        <w:rPr>
          <w:rFonts w:ascii="Times New Roman" w:cs="Times New Roman" w:eastAsia="Times New Roman" w:hAnsi="Times New Roman"/>
          <w:sz w:val="17"/>
          <w:szCs w:val="17"/>
          <w:color w:val="auto"/>
        </w:rPr>
        <w:t xml:space="preserve"> of this Proxy Statement, as well as with the description of each proposal in this Proxy Statement.</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hold a virtual meeting?</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 xml:space="preserve">A virtual meeting enables increased stockholder attendance and participation because stockholders can participate from any location around the world. It also helps to keep everyone safe and healthy.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www.virtualshareholdermeeting.com/GOCO2024</w:t>
      </w:r>
      <w:r>
        <w:rPr>
          <w:rFonts w:ascii="Times New Roman" w:cs="Times New Roman" w:eastAsia="Times New Roman" w:hAnsi="Times New Roman"/>
          <w:sz w:val="18"/>
          <w:szCs w:val="18"/>
          <w:color w:val="auto"/>
        </w:rPr>
        <w:t>. You also will be able to vote your shares electronically at the Annual Meeting by following the instructions above.</w:t>
      </w:r>
    </w:p>
    <w:p>
      <w:pPr>
        <w:spacing w:after="0" w:line="176" w:lineRule="exact"/>
        <w:rPr>
          <w:sz w:val="20"/>
          <w:szCs w:val="20"/>
          <w:color w:val="auto"/>
        </w:rPr>
      </w:pPr>
    </w:p>
    <w:p>
      <w:pPr>
        <w:ind w:left="300" w:right="939"/>
        <w:spacing w:after="0" w:line="286" w:lineRule="auto"/>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51" w:lineRule="exact"/>
        <w:rPr>
          <w:sz w:val="20"/>
          <w:szCs w:val="20"/>
          <w:color w:val="auto"/>
        </w:rPr>
      </w:pPr>
    </w:p>
    <w:p>
      <w:pPr>
        <w:ind w:left="300" w:right="799"/>
        <w:spacing w:after="0" w:line="266"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meeting website, and the information for assistance will be located on </w:t>
      </w:r>
      <w:r>
        <w:rPr>
          <w:rFonts w:ascii="Times New Roman" w:cs="Times New Roman" w:eastAsia="Times New Roman" w:hAnsi="Times New Roman"/>
          <w:sz w:val="18"/>
          <w:szCs w:val="18"/>
          <w:i w:val="1"/>
          <w:iCs w:val="1"/>
          <w:color w:val="auto"/>
        </w:rPr>
        <w:t>www.virtualshareholdermeeting.com/GOCO2024</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 question and answer session during the Annual Meeting?</w:t>
      </w:r>
    </w:p>
    <w:p>
      <w:pPr>
        <w:spacing w:after="0" w:line="121" w:lineRule="exact"/>
        <w:rPr>
          <w:sz w:val="20"/>
          <w:szCs w:val="20"/>
          <w:color w:val="auto"/>
        </w:rPr>
      </w:pPr>
    </w:p>
    <w:p>
      <w:pPr>
        <w:ind w:left="300" w:right="339"/>
        <w:spacing w:after="0" w:line="274" w:lineRule="auto"/>
        <w:rPr>
          <w:sz w:val="20"/>
          <w:szCs w:val="20"/>
          <w:color w:val="auto"/>
        </w:rPr>
      </w:pPr>
      <w:r>
        <w:rPr>
          <w:rFonts w:ascii="Times New Roman" w:cs="Times New Roman" w:eastAsia="Times New Roman" w:hAnsi="Times New Roman"/>
          <w:sz w:val="17"/>
          <w:szCs w:val="17"/>
          <w:color w:val="auto"/>
        </w:rPr>
        <w:t>As part of the Annual Meeting, we will hold a live Q&amp;A session, during which we intend to answer questions submitted online during or prior to the Annual Meeting that are pertinent to the Company and the Annual Meeting matters, as time permits. Only stockholders that have accessed the Annual Meeting as a stockholder (rather than as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65"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Quarterly Report on Form 10-Q;</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two-question limit;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Chairperson of the Annual Meeting or Corporate Secretary in their reasonable judgment.</w:t>
      </w:r>
    </w:p>
    <w:p>
      <w:pPr>
        <w:spacing w:after="0" w:line="54"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Q&amp;A session will be available in the “Rules of Conduct” available on the Annual Meeting webpage for stockholders that have accessed the Annual Meeting as a stockholder (rather than as a “Guest”) by following the procedures outlined above in “Who can attend the Annual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1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Votes required</w:t>
            </w:r>
          </w:p>
        </w:tc>
        <w:tc>
          <w:tcPr>
            <w:tcW w:w="28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Effect of Votes Withheld /</w:t>
            </w:r>
          </w:p>
        </w:tc>
        <w:tc>
          <w:tcPr>
            <w:tcW w:w="0" w:type="dxa"/>
            <w:vAlign w:val="bottom"/>
          </w:tcPr>
          <w:p>
            <w:pPr>
              <w:spacing w:after="0"/>
              <w:rPr>
                <w:sz w:val="1"/>
                <w:szCs w:val="1"/>
                <w:color w:val="auto"/>
              </w:rPr>
            </w:pPr>
          </w:p>
        </w:tc>
      </w:tr>
      <w:tr>
        <w:trPr>
          <w:trHeight w:val="190"/>
        </w:trPr>
        <w:tc>
          <w:tcPr>
            <w:tcW w:w="2140" w:type="dxa"/>
            <w:vAlign w:val="bottom"/>
            <w:vMerge w:val="continue"/>
          </w:tcPr>
          <w:p>
            <w:pPr>
              <w:spacing w:after="0"/>
              <w:rPr>
                <w:sz w:val="16"/>
                <w:szCs w:val="16"/>
                <w:color w:val="auto"/>
              </w:rPr>
            </w:pPr>
          </w:p>
        </w:tc>
        <w:tc>
          <w:tcPr>
            <w:tcW w:w="3180" w:type="dxa"/>
            <w:vAlign w:val="bottom"/>
            <w:vMerge w:val="continue"/>
          </w:tcPr>
          <w:p>
            <w:pPr>
              <w:spacing w:after="0"/>
              <w:rPr>
                <w:sz w:val="16"/>
                <w:szCs w:val="16"/>
                <w:color w:val="auto"/>
              </w:rPr>
            </w:pPr>
          </w:p>
        </w:tc>
        <w:tc>
          <w:tcPr>
            <w:tcW w:w="28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Abstentions and 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13" w:lineRule="exact"/>
        <w:rPr>
          <w:sz w:val="20"/>
          <w:szCs w:val="20"/>
          <w:color w:val="auto"/>
        </w:rPr>
      </w:pPr>
    </w:p>
    <w:p>
      <w:pPr>
        <w:ind w:left="300"/>
        <w:spacing w:after="0"/>
        <w:tabs>
          <w:tab w:leader="none" w:pos="3140" w:val="left"/>
        </w:tabs>
        <w:rPr>
          <w:sz w:val="20"/>
          <w:szCs w:val="20"/>
          <w:color w:val="auto"/>
        </w:rPr>
      </w:pPr>
      <w:r>
        <w:rPr>
          <w:rFonts w:ascii="Times New Roman" w:cs="Times New Roman" w:eastAsia="Times New Roman" w:hAnsi="Times New Roman"/>
          <w:sz w:val="18"/>
          <w:szCs w:val="18"/>
          <w:color w:val="auto"/>
        </w:rPr>
        <w:t>Proposal 1: Election of Directors</w:t>
      </w:r>
      <w:r>
        <w:rPr>
          <w:sz w:val="20"/>
          <w:szCs w:val="20"/>
          <w:color w:val="auto"/>
        </w:rPr>
        <w:tab/>
      </w:r>
      <w:r>
        <w:rPr>
          <w:rFonts w:ascii="Times New Roman" w:cs="Times New Roman" w:eastAsia="Times New Roman" w:hAnsi="Times New Roman"/>
          <w:sz w:val="17"/>
          <w:szCs w:val="17"/>
          <w:color w:val="auto"/>
        </w:rPr>
        <w:t>The plurality of the votes cast. This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means that the three nominees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receiving the highest number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affirmative “FOR” votes will be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elected as Class I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35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will have no effect.</w:t>
      </w:r>
    </w:p>
    <w:p>
      <w:pPr>
        <w:spacing w:after="0" w:line="802" w:lineRule="exact"/>
        <w:rPr>
          <w:sz w:val="20"/>
          <w:szCs w:val="20"/>
          <w:color w:val="auto"/>
        </w:rPr>
      </w:pPr>
    </w:p>
    <w:p>
      <w:pPr>
        <w:sectPr>
          <w:pgSz w:w="11900" w:h="16838" w:orient="portrait"/>
          <w:cols w:equalWidth="0" w:num="2">
            <w:col w:w="5700" w:space="320"/>
            <w:col w:w="2999"/>
          </w:cols>
          <w:pgMar w:left="1440" w:top="263" w:right="1440" w:bottom="1440" w:gutter="0" w:footer="0" w:header="0"/>
          <w:type w:val="continuous"/>
        </w:sectPr>
      </w:pP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Proposal 2: Ratification of</w:t>
            </w:r>
          </w:p>
        </w:tc>
        <w:tc>
          <w:tcPr>
            <w:tcW w:w="2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Abstentions will have no effect. We</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Appointment of Independent</w:t>
            </w:r>
          </w:p>
        </w:tc>
        <w:tc>
          <w:tcPr>
            <w:tcW w:w="2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a majority of the votes cast.</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 not expect any broker non-votes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Registered Public Accounting Firm</w:t>
            </w:r>
          </w:p>
        </w:tc>
        <w:tc>
          <w:tcPr>
            <w:tcW w:w="28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this proposal since brokers can</w:t>
            </w:r>
          </w:p>
        </w:tc>
      </w:tr>
      <w:tr>
        <w:trPr>
          <w:trHeight w:val="234"/>
        </w:trPr>
        <w:tc>
          <w:tcPr>
            <w:tcW w:w="27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vote with discretion on this proposal.</w:t>
            </w:r>
          </w:p>
        </w:tc>
      </w:tr>
      <w:tr>
        <w:trPr>
          <w:trHeight w:val="6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Proposal 3: Advisory vote to</w:t>
            </w:r>
          </w:p>
        </w:tc>
        <w:tc>
          <w:tcPr>
            <w:tcW w:w="2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Abstentions and broker non-votes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approve the compensation of the</w:t>
            </w:r>
          </w:p>
        </w:tc>
        <w:tc>
          <w:tcPr>
            <w:tcW w:w="2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a majority of the votes cast.</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will have no effect.</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Company’s Named Executive</w:t>
            </w:r>
          </w:p>
        </w:tc>
        <w:tc>
          <w:tcPr>
            <w:tcW w:w="28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Officers (Say-on-Pay Vote)</w:t>
            </w:r>
          </w:p>
        </w:tc>
        <w:tc>
          <w:tcPr>
            <w:tcW w:w="284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“vote withheld” and an “abstention” and how will votes withheld and abstentions be treated?</w:t>
      </w:r>
    </w:p>
    <w:p>
      <w:pPr>
        <w:spacing w:after="0" w:line="121"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proposal regarding the ratification of the appointment of Ernst &amp; Young LLP as our independent registered public accounting firm and Say-on-Pay Vote,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Ernst &amp; Young LLP or the Say-on-Pay Vote.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or Say-on-Pay Vote. Broker non-votes count for purposes of determining whether a quorum is present.</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jc w:val="both"/>
        <w:ind w:left="300" w:right="459"/>
        <w:spacing w:after="0" w:line="261"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2025 Annual Meeting of Stockholders pursuant to Rule 14a-8 under the Exchange Act must submit the proposal to our Corporate Secretary at our offices at 222 West Merchandise Mart Plaza, Suite 1750, Chicago, Illinois 60654 in writing not later than December 27, 2024.</w:t>
      </w:r>
    </w:p>
    <w:p>
      <w:pPr>
        <w:spacing w:after="0" w:line="72"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at the 2025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2025 Annual Meeting of Stockholders no earlier than February 12, 2025 and no later than March 14, 2025. The notice must contain the information required by the Amended and Restated Bylaws, a copy of which is available upon request to our Corporate Secretary. In the event that the date of the 2025 Annual Meeting of Stockholders is more than 30 days before or more than 60 days after June 12, 2025, then our Corporate Secretary must receive such written notice not later than the close of business on the 90th day prior to the 2025 Annual Meeting or, if later, the close of business on the 10th day following the day on which public disclosure of the date of such meeting is first made.</w:t>
      </w:r>
    </w:p>
    <w:p>
      <w:pPr>
        <w:spacing w:after="0" w:line="7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In addition to satisfying the requirements regarding director nominations in our Amended and Restated Bylaws, to comply with the universal proxy rules, stockholders who intend to solicit proxies in support of director nominees other than our nominees must provide notice that sets forth the information required by Rule 14a-19 under the Exchange Act no later than April 14, 2025.</w:t>
      </w:r>
    </w:p>
    <w:p>
      <w:pPr>
        <w:spacing w:after="0" w:line="7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of Directors,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81"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our initial public offering of our Class A common stock in July 2020 (the “IPO”), we effected certain organizational transactions which we refer to as the “Transactions.” As used in this accompanying Proxy Statement, unless otherwise indicated, references to:</w:t>
      </w:r>
    </w:p>
    <w:p>
      <w:pPr>
        <w:spacing w:after="0" w:line="68" w:lineRule="exact"/>
        <w:rPr>
          <w:sz w:val="20"/>
          <w:szCs w:val="20"/>
          <w:color w:val="auto"/>
        </w:rPr>
      </w:pPr>
    </w:p>
    <w:p>
      <w:pPr>
        <w:ind w:left="1000" w:right="439" w:hanging="348"/>
        <w:spacing w:after="0" w:line="25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the “Company,” “GoHealth” and similar references refer: (1) following the consummation of the Transactions, including our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Norvax.</w:t>
      </w:r>
    </w:p>
    <w:p>
      <w:pPr>
        <w:spacing w:after="0" w:line="79"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Company” refers to an entity affiliated with Centerbridge that was an indirect owner of LLC Interests in GoHealth Holdings, LLC prior to the Transactions and is taxable as a corporation for U.S. federal income tax purposes.</w:t>
      </w:r>
    </w:p>
    <w:p>
      <w:pPr>
        <w:spacing w:after="0" w:line="67"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Shareholders” refers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67" w:lineRule="exact"/>
        <w:rPr>
          <w:rFonts w:ascii="Times New Roman" w:cs="Times New Roman" w:eastAsia="Times New Roman" w:hAnsi="Times New Roman"/>
          <w:sz w:val="18"/>
          <w:szCs w:val="18"/>
          <w:color w:val="auto"/>
        </w:rPr>
      </w:pPr>
    </w:p>
    <w:p>
      <w:pPr>
        <w:jc w:val="both"/>
        <w:ind w:left="1000" w:right="59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“Centerbridge” refers to Centerbridge Capital Partners III, L.P.,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71"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“Centerbridge Acquisition” refers to the acquisition, on September 13, 2019, by Centerbridge, indirectly through a subsidiary of GoHealth Holdings, LLC (formerly known as Blizzard Parent, LLC), an entity formed in contemplation of the acquisition, of a 100% interest in Norvax.</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refers, collectively, to Brandon M. Cruz and Clinton P. Jones, our Co-Chairmen of the Board.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77" w:lineRule="auto"/>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“GoHealth Holdings, LLC Agreement” refers to GoHealth Holdings, LLC’s amended and restated limited liability company agreement, dated July 15, 2020, and pursuant to which, among other things, holders of any shares of Class B common stock corresponding to common units which remain subject to vesting conditions in accordance with any applicable equity plan or individual award agreement agreed to abstain from voting any such shares of Class B common stock at any annual or special meeting of stockholders.</w:t>
      </w:r>
    </w:p>
    <w:p>
      <w:pPr>
        <w:spacing w:after="0" w:line="59" w:lineRule="exact"/>
        <w:rPr>
          <w:rFonts w:ascii="Times New Roman" w:cs="Times New Roman" w:eastAsia="Times New Roman" w:hAnsi="Times New Roman"/>
          <w:sz w:val="17"/>
          <w:szCs w:val="17"/>
          <w:color w:val="auto"/>
        </w:rPr>
      </w:pPr>
    </w:p>
    <w:p>
      <w:pPr>
        <w:ind w:left="1000" w:right="105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refers to the common units of GoHealth Holdings, LLC, including those that we purchased with a portion of the net proceeds from our IPO.</w:t>
      </w:r>
    </w:p>
    <w:p>
      <w:pPr>
        <w:spacing w:after="0" w:line="53" w:lineRule="exact"/>
        <w:rPr>
          <w:rFonts w:ascii="Times New Roman" w:cs="Times New Roman" w:eastAsia="Times New Roman" w:hAnsi="Times New Roman"/>
          <w:sz w:val="18"/>
          <w:szCs w:val="18"/>
          <w:color w:val="auto"/>
        </w:rPr>
      </w:pPr>
    </w:p>
    <w:p>
      <w:pPr>
        <w:ind w:left="1000" w:right="147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“Norvax” refers to Norvax, LLC, a Delaware limited liability company and a subsidiary of GoHealth Holdings, LLC.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“NVX Holdings” refers to NVX Holdings, Inc., a Delaware corporation that is controlled by the Founders.</w:t>
      </w:r>
    </w:p>
    <w:p>
      <w:pPr>
        <w:spacing w:after="0" w:line="128" w:lineRule="exact"/>
        <w:rPr>
          <w:rFonts w:ascii="Times New Roman" w:cs="Times New Roman" w:eastAsia="Times New Roman" w:hAnsi="Times New Roman"/>
          <w:sz w:val="17"/>
          <w:szCs w:val="17"/>
          <w:color w:val="auto"/>
        </w:rPr>
      </w:pPr>
    </w:p>
    <w:p>
      <w:pPr>
        <w:ind w:left="1000" w:right="5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refers to our IPO and certain organizational transactions that were effected in connection with our IPO, and the application of the net proceeds therefrom.</w:t>
      </w:r>
    </w:p>
    <w:p>
      <w:pPr>
        <w:spacing w:after="0" w:line="54"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GoHealth, Inc. is a holding company and the sole managing member of GoHealth Holdings, LLC, and its principal asset consists of LLC Interests.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GOHEALTH, INC.’S ANNUAL REPORT ON FORM 10-K</w:t>
      </w:r>
    </w:p>
    <w:p>
      <w:pPr>
        <w:spacing w:after="0" w:line="121" w:lineRule="exact"/>
        <w:rPr>
          <w:sz w:val="20"/>
          <w:szCs w:val="20"/>
          <w:color w:val="auto"/>
        </w:rPr>
      </w:pPr>
    </w:p>
    <w:p>
      <w:pPr>
        <w:ind w:left="300" w:right="779"/>
        <w:spacing w:after="0" w:line="266" w:lineRule="auto"/>
        <w:rPr>
          <w:sz w:val="20"/>
          <w:szCs w:val="20"/>
          <w:color w:val="auto"/>
        </w:rPr>
      </w:pPr>
      <w:r>
        <w:rPr>
          <w:rFonts w:ascii="Times New Roman" w:cs="Times New Roman" w:eastAsia="Times New Roman" w:hAnsi="Times New Roman"/>
          <w:sz w:val="18"/>
          <w:szCs w:val="18"/>
          <w:color w:val="auto"/>
        </w:rPr>
        <w:t>A copy of GoHealth’s Annual Report on Form 10-K for the fiscal year ended December 31, 2023, including financial statements and schedules thereto but not including exhibits, as filed with the SEC, will be sent to any stockholder of record as of April 19, 2024 without charge upon written request addressed to:</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222 West Merchandise Mart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Plaza, Suite 1750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may access this Proxy Statement and our Annual Report on Form 10-K for the fiscal year ended December 31, 2023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You also may access our Annual Report on Form 10-K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300" w:right="359"/>
        <w:spacing w:after="0" w:line="275" w:lineRule="auto"/>
        <w:rPr>
          <w:sz w:val="20"/>
          <w:szCs w:val="20"/>
          <w:color w:val="auto"/>
        </w:rPr>
      </w:pPr>
      <w:r>
        <w:rPr>
          <w:rFonts w:ascii="Times New Roman" w:cs="Times New Roman" w:eastAsia="Times New Roman" w:hAnsi="Times New Roman"/>
          <w:sz w:val="17"/>
          <w:szCs w:val="17"/>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1054100" cy="265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54100" cy="26543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Brad Burd, Chief Legal Officer and Corporate Secretary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26, 2024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3548380</wp:posOffset>
            </wp:positionV>
            <wp:extent cx="2922905" cy="5918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229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52120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214630</wp:posOffset>
            </wp:positionV>
            <wp:extent cx="52120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351790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
      <w:numFmt w:val="bullet"/>
      <w:start w:val="1"/>
    </w:lvl>
  </w:abstractNum>
  <w:abstractNum w:abstractNumId="1">
    <w:nsid w:val="3F2DBA31"/>
    <w:multiLevelType w:val="hybridMultilevel"/>
    <w:lvl w:ilvl="0">
      <w:lvlJc w:val="left"/>
      <w:lvlText w:val="☒"/>
      <w:numFmt w:val="bullet"/>
      <w:start w:val="1"/>
    </w:lvl>
    <w:lvl w:ilvl="1">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lvl w:ilvl="1">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
      <w:numFmt w:val="bullet"/>
      <w:start w:val="1"/>
    </w:lvl>
    <w:lvl w:ilvl="1">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3"/>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9"/>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lowerRoman"/>
      <w:start w:val="3"/>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2024-04-26T13:15:15Z</dcterms:created>
  <dcterms:modified xsi:type="dcterms:W3CDTF">2024-04-26T13:15:15Z</dcterms:modified>
</cp:coreProperties>
</file>