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592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Farley Brian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147955</wp:posOffset>
            </wp:positionV>
            <wp:extent cx="6969760" cy="10756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47,620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47,620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272,109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272,109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272,109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-1646555</wp:posOffset>
            </wp:positionV>
            <wp:extent cx="7034530" cy="16497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64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 which vest as to 25% on the two year anniversary of the grant date, as to 25% on the three year anniversary of the grant date and as to the remainder of the shares on the four year anniversary of the grant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four equal annual installments, with the first such annual installment vesting on July 15,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Clinton P. Jones,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Brian Farley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7672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2020-07-17T15:32:15Z</dcterms:created>
  <dcterms:modified xsi:type="dcterms:W3CDTF">2020-07-17T15:32:15Z</dcterms:modified>
</cp:coreProperties>
</file>