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166370</wp:posOffset>
            </wp:positionV>
            <wp:extent cx="617220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226060</wp:posOffset>
            </wp:positionV>
            <wp:extent cx="617220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3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Washington, DC 20549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jc w:val="center"/>
        <w:ind w:right="-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SCHEDULE 14A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center"/>
        <w:ind w:right="-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 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Proxy Statement Pursuant to Section 14(a) of the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-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Securities Exchange Act of 1934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3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(Amendment No.   )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p>
      <w:pPr>
        <w:spacing w:after="0" w:line="207" w:lineRule="exact"/>
        <w:tabs>
          <w:tab w:leader="none" w:pos="2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113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12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6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§240.14a-12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jc w:val="center"/>
        <w:ind w:right="-2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6"/>
          <w:szCs w:val="36"/>
          <w:b w:val="1"/>
          <w:bCs w:val="1"/>
          <w:color w:val="auto"/>
        </w:rPr>
        <w:t>GoHealth, Inc.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right="-3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 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3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360" w:hanging="356"/>
        <w:spacing w:after="0"/>
        <w:tabs>
          <w:tab w:leader="none" w:pos="36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</w:t>
      </w:r>
    </w:p>
    <w:p>
      <w:pPr>
        <w:spacing w:after="0" w:line="117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1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</w:t>
      </w:r>
    </w:p>
    <w:p>
      <w:pPr>
        <w:spacing w:after="0" w:line="117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1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163195</wp:posOffset>
            </wp:positionV>
            <wp:extent cx="617220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428625</wp:posOffset>
            </wp:positionV>
            <wp:extent cx="6172200" cy="17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222885</wp:posOffset>
            </wp:positionV>
            <wp:extent cx="617220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379"/>
          </w:cols>
          <w:pgMar w:left="1080" w:top="516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88900</wp:posOffset>
            </wp:positionV>
            <wp:extent cx="6172200" cy="76123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7612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88900</wp:posOffset>
            </wp:positionV>
            <wp:extent cx="6172200" cy="788670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7886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2AE8944A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☒"/>
      <w:numFmt w:val="bullet"/>
      <w:start w:val="1"/>
    </w:lvl>
    <w:lvl w:ilvl="1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2025-04-28T08:19:34Z</dcterms:created>
  <dcterms:modified xsi:type="dcterms:W3CDTF">2025-04-28T08:19:34Z</dcterms:modified>
</cp:coreProperties>
</file>