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5232400</wp:posOffset>
            </wp:positionH>
            <wp:positionV relativeFrom="paragraph">
              <wp:posOffset>-579120</wp:posOffset>
            </wp:positionV>
            <wp:extent cx="7620" cy="579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97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-586740</wp:posOffset>
            </wp:positionV>
            <wp:extent cx="7620" cy="587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737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-563245</wp:posOffset>
            </wp:positionV>
            <wp:extent cx="126936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03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30480</wp:posOffset>
            </wp:positionV>
            <wp:extent cx="6974205" cy="1543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54368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5"/>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4"/>
            <w:vMerge w:val="restart"/>
          </w:tcPr>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Cruz Brandon M</w:t>
              </w:r>
              <w:r>
                <w:rPr>
                  <w:rFonts w:ascii="Arial" w:cs="Arial" w:eastAsia="Arial" w:hAnsi="Arial"/>
                  <w:sz w:val="20"/>
                  <w:szCs w:val="20"/>
                  <w:color w:val="0000EE"/>
                </w:rPr>
                <w:t>.</w:t>
              </w:r>
            </w:hyperlink>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4"/>
          </w:tcPr>
          <w:p>
            <w:pPr>
              <w:ind w:left="60"/>
              <w:spacing w:after="0" w:line="99"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GoHealth,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GOCO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12"/>
                <w:szCs w:val="12"/>
                <w:color w:val="auto"/>
              </w:rPr>
            </w:pPr>
          </w:p>
        </w:tc>
        <w:tc>
          <w:tcPr>
            <w:tcW w:w="34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420" w:type="dxa"/>
            <w:vAlign w:val="bottom"/>
            <w:gridSpan w:val="6"/>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20" w:type="dxa"/>
            <w:vAlign w:val="bottom"/>
            <w:gridSpan w:val="6"/>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gridSpan w:val="5"/>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60" w:type="dxa"/>
            <w:vAlign w:val="bottom"/>
            <w:vMerge w:val="restart"/>
          </w:tcPr>
          <w:p>
            <w:pPr>
              <w:ind w:left="140"/>
              <w:spacing w:after="0" w:line="122" w:lineRule="exact"/>
              <w:rPr>
                <w:sz w:val="20"/>
                <w:szCs w:val="20"/>
                <w:color w:val="auto"/>
              </w:rPr>
            </w:pPr>
            <w:r>
              <w:rPr>
                <w:rFonts w:ascii="Arial" w:cs="Arial" w:eastAsia="Arial" w:hAnsi="Arial"/>
                <w:sz w:val="12"/>
                <w:szCs w:val="12"/>
                <w:color w:val="auto"/>
              </w:rPr>
              <w:t>below)</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restart"/>
          </w:tcPr>
          <w:p>
            <w:pPr>
              <w:ind w:left="180"/>
              <w:spacing w:after="0" w:line="122" w:lineRule="exact"/>
              <w:rPr>
                <w:sz w:val="20"/>
                <w:szCs w:val="20"/>
                <w:color w:val="auto"/>
              </w:rPr>
            </w:pPr>
            <w:r>
              <w:rPr>
                <w:rFonts w:ascii="Arial" w:cs="Arial" w:eastAsia="Arial" w:hAnsi="Arial"/>
                <w:sz w:val="12"/>
                <w:szCs w:val="12"/>
                <w:color w:val="auto"/>
              </w:rPr>
              <w:t>below)</w:t>
            </w: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gridSpan w:val="5"/>
            <w:vMerge w:val="continue"/>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gridSpan w:val="5"/>
            <w:vMerge w:val="continue"/>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gridSpan w:val="4"/>
            <w:vMerge w:val="restart"/>
          </w:tcPr>
          <w:p>
            <w:pPr>
              <w:jc w:val="right"/>
              <w:ind w:right="138"/>
              <w:spacing w:after="0"/>
              <w:rPr>
                <w:sz w:val="20"/>
                <w:szCs w:val="20"/>
                <w:color w:val="auto"/>
              </w:rPr>
            </w:pPr>
            <w:r>
              <w:rPr>
                <w:rFonts w:ascii="Arial" w:cs="Arial" w:eastAsia="Arial" w:hAnsi="Arial"/>
                <w:sz w:val="16"/>
                <w:szCs w:val="16"/>
                <w:color w:val="0000FF"/>
              </w:rPr>
              <w:t>Chief Strategy Officer</w:t>
            </w: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4"/>
          </w:tcPr>
          <w:p>
            <w:pPr>
              <w:spacing w:after="0"/>
              <w:rPr>
                <w:sz w:val="20"/>
                <w:szCs w:val="20"/>
                <w:color w:val="auto"/>
              </w:rPr>
            </w:pPr>
            <w:r>
              <w:rPr>
                <w:rFonts w:ascii="Arial" w:cs="Arial" w:eastAsia="Arial" w:hAnsi="Arial"/>
                <w:sz w:val="16"/>
                <w:szCs w:val="16"/>
                <w:color w:val="0000FF"/>
              </w:rPr>
              <w:t>214 WEST HURON ST.</w:t>
            </w:r>
          </w:p>
        </w:tc>
        <w:tc>
          <w:tcPr>
            <w:tcW w:w="1000" w:type="dxa"/>
            <w:vAlign w:val="bottom"/>
          </w:tcPr>
          <w:p>
            <w:pPr>
              <w:spacing w:after="0"/>
              <w:rPr>
                <w:sz w:val="21"/>
                <w:szCs w:val="21"/>
                <w:color w:val="auto"/>
              </w:rPr>
            </w:pPr>
          </w:p>
        </w:tc>
        <w:tc>
          <w:tcPr>
            <w:tcW w:w="1820" w:type="dxa"/>
            <w:vAlign w:val="bottom"/>
            <w:gridSpan w:val="5"/>
          </w:tcPr>
          <w:p>
            <w:pPr>
              <w:ind w:left="460"/>
              <w:spacing w:after="0"/>
              <w:rPr>
                <w:sz w:val="20"/>
                <w:szCs w:val="20"/>
                <w:color w:val="auto"/>
              </w:rPr>
            </w:pPr>
            <w:r>
              <w:rPr>
                <w:rFonts w:ascii="Arial" w:cs="Arial" w:eastAsia="Arial" w:hAnsi="Arial"/>
                <w:sz w:val="16"/>
                <w:szCs w:val="16"/>
                <w:color w:val="0000FF"/>
              </w:rPr>
              <w:t>07/17/2020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20" w:type="dxa"/>
            <w:vAlign w:val="bottom"/>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color w:val="0000FF"/>
              </w:rPr>
              <w:t>CHICAGO</w:t>
            </w:r>
          </w:p>
        </w:tc>
        <w:tc>
          <w:tcPr>
            <w:tcW w:w="1140" w:type="dxa"/>
            <w:vAlign w:val="bottom"/>
            <w:gridSpan w:val="2"/>
            <w:vMerge w:val="restart"/>
          </w:tcPr>
          <w:p>
            <w:pPr>
              <w:ind w:left="40"/>
              <w:spacing w:after="0"/>
              <w:rPr>
                <w:sz w:val="20"/>
                <w:szCs w:val="20"/>
                <w:color w:val="auto"/>
              </w:rPr>
            </w:pPr>
            <w:r>
              <w:rPr>
                <w:rFonts w:ascii="Arial" w:cs="Arial" w:eastAsia="Arial" w:hAnsi="Arial"/>
                <w:sz w:val="16"/>
                <w:szCs w:val="16"/>
                <w:color w:val="0000FF"/>
              </w:rPr>
              <w:t>IL</w:t>
            </w:r>
          </w:p>
        </w:tc>
        <w:tc>
          <w:tcPr>
            <w:tcW w:w="1000" w:type="dxa"/>
            <w:vAlign w:val="bottom"/>
            <w:vMerge w:val="restart"/>
          </w:tcPr>
          <w:p>
            <w:pPr>
              <w:ind w:left="120"/>
              <w:spacing w:after="0"/>
              <w:rPr>
                <w:sz w:val="20"/>
                <w:szCs w:val="20"/>
                <w:color w:val="auto"/>
              </w:rPr>
            </w:pPr>
            <w:r>
              <w:rPr>
                <w:rFonts w:ascii="Arial" w:cs="Arial" w:eastAsia="Arial" w:hAnsi="Arial"/>
                <w:sz w:val="16"/>
                <w:szCs w:val="16"/>
                <w:color w:val="0000FF"/>
              </w:rPr>
              <w:t>60654</w:t>
            </w: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20" w:type="dxa"/>
            <w:vAlign w:val="bottom"/>
            <w:gridSpan w:val="6"/>
            <w:vMerge w:val="continue"/>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2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6"/>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580" w:type="dxa"/>
            <w:vAlign w:val="bottom"/>
            <w:gridSpan w:val="6"/>
            <w:vMerge w:val="continu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960" w:type="dxa"/>
            <w:vAlign w:val="bottom"/>
            <w:gridSpan w:val="9"/>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9"/>
                <w:szCs w:val="9"/>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300" w:type="dxa"/>
            <w:vAlign w:val="bottom"/>
            <w:tcBorders>
              <w:bottom w:val="single" w:sz="8" w:color="2C2C2C"/>
            </w:tcBorders>
            <w:gridSpan w:val="6"/>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6"/>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5"/>
          </w:tcPr>
          <w:p>
            <w:pPr>
              <w:ind w:left="9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7"/>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jc w:val="right"/>
              <w:ind w:right="158"/>
              <w:spacing w:after="0"/>
              <w:rPr>
                <w:sz w:val="20"/>
                <w:szCs w:val="20"/>
                <w:color w:val="auto"/>
              </w:rPr>
            </w:pPr>
            <w:r>
              <w:rPr>
                <w:rFonts w:ascii="Arial" w:cs="Arial" w:eastAsia="Arial" w:hAnsi="Arial"/>
                <w:sz w:val="11"/>
                <w:szCs w:val="11"/>
                <w:b w:val="1"/>
                <w:bCs w:val="1"/>
                <w:color w:val="auto"/>
                <w:w w:val="98"/>
              </w:rPr>
              <w:t>6. Ownership</w:t>
            </w:r>
          </w:p>
        </w:tc>
        <w:tc>
          <w:tcPr>
            <w:tcW w:w="84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60" w:type="dxa"/>
            <w:vAlign w:val="bottom"/>
            <w:gridSpan w:val="5"/>
          </w:tcPr>
          <w:p>
            <w:pPr>
              <w:ind w:left="92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60" w:type="dxa"/>
            <w:vAlign w:val="bottom"/>
            <w:gridSpan w:val="8"/>
          </w:tcPr>
          <w:p>
            <w:pPr>
              <w:ind w:left="60"/>
              <w:spacing w:after="0" w:line="120"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5"/>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60" w:type="dxa"/>
            <w:vAlign w:val="bottom"/>
            <w:gridSpan w:val="5"/>
          </w:tcPr>
          <w:p>
            <w:pPr>
              <w:ind w:left="920"/>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4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(Month/Day/Year)  8)</w:t>
            </w: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5"/>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5"/>
          </w:tcPr>
          <w:p>
            <w:pPr>
              <w:ind w:left="20"/>
              <w:spacing w:after="0"/>
              <w:rPr>
                <w:sz w:val="20"/>
                <w:szCs w:val="20"/>
                <w:color w:val="auto"/>
              </w:rPr>
            </w:pPr>
            <w:r>
              <w:rPr>
                <w:rFonts w:ascii="Arial" w:cs="Arial" w:eastAsia="Arial" w:hAnsi="Arial"/>
                <w:sz w:val="16"/>
                <w:szCs w:val="16"/>
                <w:color w:val="0000FF"/>
              </w:rPr>
              <w:t>By NVX</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5"/>
          </w:tcPr>
          <w:p>
            <w:pPr>
              <w:ind w:left="60"/>
              <w:spacing w:after="0"/>
              <w:rPr>
                <w:sz w:val="20"/>
                <w:szCs w:val="20"/>
                <w:color w:val="auto"/>
              </w:rPr>
            </w:pPr>
            <w:r>
              <w:rPr>
                <w:rFonts w:ascii="Arial" w:cs="Arial" w:eastAsia="Arial" w:hAnsi="Arial"/>
                <w:sz w:val="16"/>
                <w:szCs w:val="16"/>
                <w:color w:val="0000FF"/>
              </w:rPr>
              <w:t>Class B Common Stock</w:t>
            </w:r>
          </w:p>
        </w:tc>
        <w:tc>
          <w:tcPr>
            <w:tcW w:w="1000" w:type="dxa"/>
            <w:vAlign w:val="bottom"/>
          </w:tcPr>
          <w:p>
            <w:pPr>
              <w:spacing w:after="0"/>
              <w:rPr>
                <w:sz w:val="17"/>
                <w:szCs w:val="17"/>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0000FF"/>
                <w:w w:val="89"/>
              </w:rPr>
              <w:t>07/17/2020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120"/>
              <w:spacing w:after="0" w:line="198" w:lineRule="exact"/>
              <w:rPr>
                <w:sz w:val="20"/>
                <w:szCs w:val="20"/>
                <w:color w:val="auto"/>
              </w:rPr>
            </w:pPr>
            <w:r>
              <w:rPr>
                <w:rFonts w:ascii="Arial" w:cs="Arial" w:eastAsia="Arial" w:hAnsi="Arial"/>
                <w:sz w:val="22"/>
                <w:szCs w:val="22"/>
                <w:color w:val="0000FF"/>
                <w:vertAlign w:val="subscript"/>
              </w:rPr>
              <w:t>D</w:t>
            </w:r>
            <w:r>
              <w:rPr>
                <w:rFonts w:ascii="Arial" w:cs="Arial" w:eastAsia="Arial" w:hAnsi="Arial"/>
                <w:sz w:val="10"/>
                <w:szCs w:val="10"/>
                <w:color w:val="008000"/>
              </w:rPr>
              <w:t>(1)</w:t>
            </w:r>
          </w:p>
        </w:tc>
        <w:tc>
          <w:tcPr>
            <w:tcW w:w="1120" w:type="dxa"/>
            <w:vAlign w:val="bottom"/>
            <w:gridSpan w:val="2"/>
          </w:tcPr>
          <w:p>
            <w:pPr>
              <w:jc w:val="right"/>
              <w:ind w:right="182"/>
              <w:spacing w:after="0"/>
              <w:rPr>
                <w:sz w:val="20"/>
                <w:szCs w:val="20"/>
                <w:color w:val="auto"/>
              </w:rPr>
            </w:pPr>
            <w:r>
              <w:rPr>
                <w:rFonts w:ascii="Arial" w:cs="Arial" w:eastAsia="Arial" w:hAnsi="Arial"/>
                <w:sz w:val="16"/>
                <w:szCs w:val="16"/>
                <w:color w:val="0000FF"/>
              </w:rPr>
              <w:t>10,980,939</w:t>
            </w:r>
          </w:p>
        </w:tc>
        <w:tc>
          <w:tcPr>
            <w:tcW w:w="140" w:type="dxa"/>
            <w:vAlign w:val="bottom"/>
          </w:tcPr>
          <w:p>
            <w:pPr>
              <w:ind w:left="20"/>
              <w:spacing w:after="0"/>
              <w:rPr>
                <w:sz w:val="20"/>
                <w:szCs w:val="20"/>
                <w:color w:val="auto"/>
              </w:rPr>
            </w:pPr>
            <w:r>
              <w:rPr>
                <w:rFonts w:ascii="Arial" w:cs="Arial" w:eastAsia="Arial" w:hAnsi="Arial"/>
                <w:sz w:val="16"/>
                <w:szCs w:val="16"/>
                <w:color w:val="0000FF"/>
                <w:w w:val="86"/>
              </w:rPr>
              <w:t>D</w:t>
            </w:r>
          </w:p>
        </w:tc>
        <w:tc>
          <w:tcPr>
            <w:tcW w:w="180" w:type="dxa"/>
            <w:vAlign w:val="bottom"/>
          </w:tcPr>
          <w:p>
            <w:pPr>
              <w:spacing w:after="0"/>
              <w:rPr>
                <w:sz w:val="17"/>
                <w:szCs w:val="17"/>
                <w:color w:val="auto"/>
              </w:rPr>
            </w:pPr>
          </w:p>
        </w:tc>
        <w:tc>
          <w:tcPr>
            <w:tcW w:w="620" w:type="dxa"/>
            <w:vAlign w:val="bottom"/>
            <w:gridSpan w:val="2"/>
          </w:tcPr>
          <w:p>
            <w:pPr>
              <w:jc w:val="right"/>
              <w:ind w:right="4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20" w:type="dxa"/>
            <w:vAlign w:val="bottom"/>
          </w:tcPr>
          <w:p>
            <w:pPr>
              <w:spacing w:after="0"/>
              <w:rPr>
                <w:sz w:val="17"/>
                <w:szCs w:val="17"/>
                <w:color w:val="auto"/>
              </w:rPr>
            </w:pPr>
          </w:p>
        </w:tc>
        <w:tc>
          <w:tcPr>
            <w:tcW w:w="1200" w:type="dxa"/>
            <w:vAlign w:val="bottom"/>
            <w:gridSpan w:val="2"/>
          </w:tcPr>
          <w:p>
            <w:pPr>
              <w:jc w:val="right"/>
              <w:ind w:right="203"/>
              <w:spacing w:after="0"/>
              <w:rPr>
                <w:sz w:val="20"/>
                <w:szCs w:val="20"/>
                <w:color w:val="auto"/>
              </w:rPr>
            </w:pPr>
            <w:r>
              <w:rPr>
                <w:rFonts w:ascii="Arial" w:cs="Arial" w:eastAsia="Arial" w:hAnsi="Arial"/>
                <w:sz w:val="16"/>
                <w:szCs w:val="16"/>
                <w:color w:val="0000FF"/>
              </w:rPr>
              <w:t>92,677,981</w:t>
            </w:r>
          </w:p>
        </w:tc>
        <w:tc>
          <w:tcPr>
            <w:tcW w:w="34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5"/>
          </w:tcPr>
          <w:p>
            <w:pPr>
              <w:ind w:left="20"/>
              <w:spacing w:after="0"/>
              <w:rPr>
                <w:sz w:val="20"/>
                <w:szCs w:val="20"/>
                <w:color w:val="auto"/>
              </w:rPr>
            </w:pPr>
            <w:r>
              <w:rPr>
                <w:rFonts w:ascii="Arial" w:cs="Arial" w:eastAsia="Arial" w:hAnsi="Arial"/>
                <w:sz w:val="16"/>
                <w:szCs w:val="16"/>
                <w:color w:val="0000FF"/>
              </w:rPr>
              <w:t>Holdings,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5"/>
          </w:tcPr>
          <w:p>
            <w:pPr>
              <w:ind w:left="20"/>
              <w:spacing w:after="0"/>
              <w:rPr>
                <w:sz w:val="20"/>
                <w:szCs w:val="20"/>
                <w:color w:val="auto"/>
              </w:rPr>
            </w:pPr>
            <w:r>
              <w:rPr>
                <w:rFonts w:ascii="Arial" w:cs="Arial" w:eastAsia="Arial" w:hAnsi="Arial"/>
                <w:sz w:val="16"/>
                <w:szCs w:val="16"/>
                <w:color w:val="0000FF"/>
              </w:rPr>
              <w:t>Inc</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2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1000" w:type="dxa"/>
            <w:vAlign w:val="bottom"/>
          </w:tcPr>
          <w:p>
            <w:pPr>
              <w:spacing w:after="0"/>
              <w:rPr>
                <w:sz w:val="20"/>
                <w:szCs w:val="20"/>
                <w:color w:val="auto"/>
              </w:rPr>
            </w:pPr>
          </w:p>
        </w:tc>
        <w:tc>
          <w:tcPr>
            <w:tcW w:w="860" w:type="dxa"/>
            <w:vAlign w:val="bottom"/>
            <w:gridSpan w:val="4"/>
            <w:vMerge w:val="restart"/>
          </w:tcPr>
          <w:p>
            <w:pPr>
              <w:jc w:val="right"/>
              <w:ind w:right="60"/>
              <w:spacing w:after="0"/>
              <w:rPr>
                <w:sz w:val="20"/>
                <w:szCs w:val="20"/>
                <w:color w:val="auto"/>
              </w:rPr>
            </w:pPr>
            <w:r>
              <w:rPr>
                <w:rFonts w:ascii="Arial" w:cs="Arial" w:eastAsia="Arial" w:hAnsi="Arial"/>
                <w:sz w:val="16"/>
                <w:szCs w:val="16"/>
                <w:color w:val="0000FF"/>
                <w:w w:val="89"/>
              </w:rPr>
              <w:t>07/17/2020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restart"/>
          </w:tcPr>
          <w:p>
            <w:pPr>
              <w:ind w:left="12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w:t>
            </w:r>
          </w:p>
        </w:tc>
        <w:tc>
          <w:tcPr>
            <w:tcW w:w="1120" w:type="dxa"/>
            <w:vAlign w:val="bottom"/>
            <w:gridSpan w:val="2"/>
            <w:vMerge w:val="restart"/>
          </w:tcPr>
          <w:p>
            <w:pPr>
              <w:jc w:val="right"/>
              <w:ind w:right="362"/>
              <w:spacing w:after="0"/>
              <w:rPr>
                <w:sz w:val="20"/>
                <w:szCs w:val="20"/>
                <w:color w:val="auto"/>
              </w:rPr>
            </w:pPr>
            <w:r>
              <w:rPr>
                <w:rFonts w:ascii="Arial" w:cs="Arial" w:eastAsia="Arial" w:hAnsi="Arial"/>
                <w:sz w:val="16"/>
                <w:szCs w:val="16"/>
                <w:color w:val="0000FF"/>
              </w:rPr>
              <w:t>5,192</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86"/>
              </w:rPr>
              <w:t>D</w:t>
            </w:r>
          </w:p>
        </w:tc>
        <w:tc>
          <w:tcPr>
            <w:tcW w:w="180" w:type="dxa"/>
            <w:vAlign w:val="bottom"/>
          </w:tcPr>
          <w:p>
            <w:pPr>
              <w:spacing w:after="0"/>
              <w:rPr>
                <w:sz w:val="20"/>
                <w:szCs w:val="20"/>
                <w:color w:val="auto"/>
              </w:rPr>
            </w:pPr>
          </w:p>
        </w:tc>
        <w:tc>
          <w:tcPr>
            <w:tcW w:w="620" w:type="dxa"/>
            <w:vAlign w:val="bottom"/>
            <w:gridSpan w:val="2"/>
            <w:vMerge w:val="restart"/>
          </w:tcPr>
          <w:p>
            <w:pPr>
              <w:jc w:val="right"/>
              <w:ind w:right="4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20" w:type="dxa"/>
            <w:vAlign w:val="bottom"/>
          </w:tcPr>
          <w:p>
            <w:pPr>
              <w:spacing w:after="0"/>
              <w:rPr>
                <w:sz w:val="20"/>
                <w:szCs w:val="20"/>
                <w:color w:val="auto"/>
              </w:rPr>
            </w:pPr>
          </w:p>
        </w:tc>
        <w:tc>
          <w:tcPr>
            <w:tcW w:w="1200" w:type="dxa"/>
            <w:vAlign w:val="bottom"/>
            <w:gridSpan w:val="2"/>
            <w:vMerge w:val="restart"/>
          </w:tcPr>
          <w:p>
            <w:pPr>
              <w:jc w:val="right"/>
              <w:ind w:right="343"/>
              <w:spacing w:after="0"/>
              <w:rPr>
                <w:sz w:val="20"/>
                <w:szCs w:val="20"/>
                <w:color w:val="auto"/>
              </w:rPr>
            </w:pPr>
            <w:r>
              <w:rPr>
                <w:rFonts w:ascii="Arial" w:cs="Arial" w:eastAsia="Arial" w:hAnsi="Arial"/>
                <w:sz w:val="16"/>
                <w:szCs w:val="16"/>
                <w:color w:val="0000FF"/>
              </w:rPr>
              <w:t>43,817</w:t>
            </w:r>
          </w:p>
        </w:tc>
        <w:tc>
          <w:tcPr>
            <w:tcW w:w="340" w:type="dxa"/>
            <w:vAlign w:val="bottom"/>
          </w:tcPr>
          <w:p>
            <w:pPr>
              <w:spacing w:after="0"/>
              <w:rPr>
                <w:sz w:val="20"/>
                <w:szCs w:val="20"/>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5"/>
          </w:tcPr>
          <w:p>
            <w:pPr>
              <w:ind w:left="20"/>
              <w:spacing w:after="0"/>
              <w:rPr>
                <w:sz w:val="20"/>
                <w:szCs w:val="20"/>
                <w:color w:val="auto"/>
              </w:rPr>
            </w:pPr>
            <w:r>
              <w:rPr>
                <w:rFonts w:ascii="Arial" w:cs="Arial" w:eastAsia="Arial" w:hAnsi="Arial"/>
                <w:sz w:val="16"/>
                <w:szCs w:val="16"/>
                <w:color w:val="0000FF"/>
              </w:rPr>
              <w:t>By BCCJ,</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40" w:type="dxa"/>
            <w:vAlign w:val="bottom"/>
            <w:gridSpan w:val="5"/>
            <w:vMerge w:val="restart"/>
          </w:tcPr>
          <w:p>
            <w:pPr>
              <w:ind w:left="20"/>
              <w:spacing w:after="0"/>
              <w:rPr>
                <w:sz w:val="20"/>
                <w:szCs w:val="20"/>
                <w:color w:val="auto"/>
              </w:rPr>
            </w:pPr>
            <w:r>
              <w:rPr>
                <w:rFonts w:ascii="Arial" w:cs="Arial" w:eastAsia="Arial" w:hAnsi="Arial"/>
                <w:sz w:val="16"/>
                <w:szCs w:val="16"/>
                <w:color w:val="0000FF"/>
              </w:rPr>
              <w:t>LLC</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7"/>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6"/>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80" w:type="dxa"/>
            <w:vAlign w:val="bottom"/>
            <w:gridSpan w:val="15"/>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w w:val="98"/>
              </w:rPr>
              <w:t>(Instr. 3 and 4)</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3, 4 and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ind w:right="19"/>
              <w:spacing w:after="0" w:line="124"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(3)</w:t>
            </w:r>
          </w:p>
        </w:tc>
        <w:tc>
          <w:tcPr>
            <w:tcW w:w="9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500" w:type="dxa"/>
            <w:vAlign w:val="bottom"/>
          </w:tcPr>
          <w:p>
            <w:pPr>
              <w:jc w:val="center"/>
              <w:ind w:left="42"/>
              <w:spacing w:after="0"/>
              <w:rPr>
                <w:sz w:val="20"/>
                <w:szCs w:val="20"/>
                <w:color w:val="auto"/>
              </w:rPr>
            </w:pPr>
            <w:r>
              <w:rPr>
                <w:rFonts w:ascii="Arial" w:cs="Arial" w:eastAsia="Arial" w:hAnsi="Arial"/>
                <w:sz w:val="12"/>
                <w:szCs w:val="12"/>
                <w:color w:val="0000FF"/>
                <w:w w:val="96"/>
              </w:rPr>
              <w:t>Class A</w:t>
            </w:r>
          </w:p>
        </w:tc>
        <w:tc>
          <w:tcPr>
            <w:tcW w:w="140" w:type="dxa"/>
            <w:vAlign w:val="bottom"/>
          </w:tcPr>
          <w:p>
            <w:pPr>
              <w:spacing w:after="0"/>
              <w:rPr>
                <w:sz w:val="15"/>
                <w:szCs w:val="15"/>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6"/>
                <w:szCs w:val="16"/>
                <w:color w:val="0000FF"/>
                <w:w w:val="89"/>
              </w:rPr>
              <w:t>10,980,939</w:t>
            </w:r>
          </w:p>
        </w:tc>
        <w:tc>
          <w:tcPr>
            <w:tcW w:w="2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19.95</w:t>
            </w:r>
            <w:r>
              <w:rPr>
                <w:rFonts w:ascii="Arial" w:cs="Arial" w:eastAsia="Arial" w:hAnsi="Arial"/>
                <w:sz w:val="20"/>
                <w:szCs w:val="20"/>
                <w:color w:val="008000"/>
                <w:vertAlign w:val="superscript"/>
              </w:rPr>
              <w:t>(3)</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4"/>
          </w:tcPr>
          <w:p>
            <w:pPr>
              <w:ind w:left="40"/>
              <w:spacing w:after="0"/>
              <w:rPr>
                <w:sz w:val="20"/>
                <w:szCs w:val="20"/>
                <w:color w:val="auto"/>
              </w:rPr>
            </w:pPr>
            <w:r>
              <w:rPr>
                <w:rFonts w:ascii="Arial" w:cs="Arial" w:eastAsia="Arial" w:hAnsi="Arial"/>
                <w:sz w:val="12"/>
                <w:szCs w:val="12"/>
                <w:color w:val="0000FF"/>
              </w:rPr>
              <w:t>By NVX</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right"/>
              <w:ind w:right="162"/>
              <w:spacing w:after="0" w:line="136" w:lineRule="exact"/>
              <w:rPr>
                <w:sz w:val="20"/>
                <w:szCs w:val="20"/>
                <w:color w:val="auto"/>
              </w:rPr>
            </w:pPr>
            <w:r>
              <w:rPr>
                <w:rFonts w:ascii="Arial" w:cs="Arial" w:eastAsia="Arial" w:hAnsi="Arial"/>
                <w:sz w:val="12"/>
                <w:szCs w:val="12"/>
                <w:color w:val="0000FF"/>
              </w:rPr>
              <w:t>07/17/2020</w:t>
            </w: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960" w:type="dxa"/>
            <w:vAlign w:val="bottom"/>
            <w:vMerge w:val="restart"/>
          </w:tcPr>
          <w:p>
            <w:pPr>
              <w:jc w:val="right"/>
              <w:ind w:right="44"/>
              <w:spacing w:after="0" w:line="136" w:lineRule="exact"/>
              <w:rPr>
                <w:sz w:val="20"/>
                <w:szCs w:val="20"/>
                <w:color w:val="auto"/>
              </w:rPr>
            </w:pPr>
            <w:r>
              <w:rPr>
                <w:rFonts w:ascii="Arial" w:cs="Arial" w:eastAsia="Arial" w:hAnsi="Arial"/>
                <w:sz w:val="12"/>
                <w:szCs w:val="12"/>
                <w:color w:val="0000FF"/>
              </w:rPr>
              <w:t>10,980,939</w:t>
            </w:r>
          </w:p>
        </w:tc>
        <w:tc>
          <w:tcPr>
            <w:tcW w:w="7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Common</w:t>
            </w:r>
          </w:p>
        </w:tc>
        <w:tc>
          <w:tcPr>
            <w:tcW w:w="8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gridSpan w:val="2"/>
            <w:vMerge w:val="restart"/>
          </w:tcPr>
          <w:p>
            <w:pPr>
              <w:jc w:val="right"/>
              <w:ind w:right="100"/>
              <w:spacing w:after="0" w:line="136" w:lineRule="exact"/>
              <w:rPr>
                <w:sz w:val="20"/>
                <w:szCs w:val="20"/>
                <w:color w:val="auto"/>
              </w:rPr>
            </w:pPr>
            <w:r>
              <w:rPr>
                <w:rFonts w:ascii="Arial" w:cs="Arial" w:eastAsia="Arial" w:hAnsi="Arial"/>
                <w:sz w:val="12"/>
                <w:szCs w:val="12"/>
                <w:color w:val="0000FF"/>
              </w:rPr>
              <w:t>92,677,981</w:t>
            </w:r>
          </w:p>
        </w:tc>
        <w:tc>
          <w:tcPr>
            <w:tcW w:w="580" w:type="dxa"/>
            <w:vAlign w:val="bottom"/>
            <w:vMerge w:val="restart"/>
          </w:tcPr>
          <w:p>
            <w:pPr>
              <w:jc w:val="right"/>
              <w:ind w:right="138"/>
              <w:spacing w:after="0" w:line="136" w:lineRule="exact"/>
              <w:rPr>
                <w:sz w:val="20"/>
                <w:szCs w:val="20"/>
                <w:color w:val="auto"/>
              </w:rPr>
            </w:pPr>
            <w:r>
              <w:rPr>
                <w:rFonts w:ascii="Arial" w:cs="Arial" w:eastAsia="Arial" w:hAnsi="Arial"/>
                <w:sz w:val="12"/>
                <w:szCs w:val="12"/>
                <w:color w:val="0000FF"/>
              </w:rPr>
              <w:t>I</w:t>
            </w:r>
          </w:p>
        </w:tc>
        <w:tc>
          <w:tcPr>
            <w:tcW w:w="140" w:type="dxa"/>
            <w:vAlign w:val="bottom"/>
          </w:tcPr>
          <w:p>
            <w:pPr>
              <w:spacing w:after="0"/>
              <w:rPr>
                <w:sz w:val="5"/>
                <w:szCs w:val="5"/>
                <w:color w:val="auto"/>
              </w:rPr>
            </w:pPr>
          </w:p>
        </w:tc>
        <w:tc>
          <w:tcPr>
            <w:tcW w:w="700" w:type="dxa"/>
            <w:vAlign w:val="bottom"/>
            <w:gridSpan w:val="4"/>
            <w:vMerge w:val="restart"/>
          </w:tcPr>
          <w:p>
            <w:pPr>
              <w:ind w:left="40"/>
              <w:spacing w:after="0" w:line="136" w:lineRule="exact"/>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vMerge w:val="restart"/>
          </w:tcPr>
          <w:p>
            <w:pPr>
              <w:jc w:val="center"/>
              <w:ind w:left="42"/>
              <w:spacing w:after="0"/>
              <w:rPr>
                <w:sz w:val="20"/>
                <w:szCs w:val="20"/>
                <w:color w:val="auto"/>
              </w:rPr>
            </w:pPr>
            <w:r>
              <w:rPr>
                <w:rFonts w:ascii="Arial" w:cs="Arial" w:eastAsia="Arial" w:hAnsi="Arial"/>
                <w:sz w:val="12"/>
                <w:szCs w:val="12"/>
                <w:color w:val="0000FF"/>
                <w:w w:val="93"/>
              </w:rPr>
              <w:t>Stock</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4"/>
            <w:vMerge w:val="restart"/>
          </w:tcPr>
          <w:p>
            <w:pPr>
              <w:ind w:left="40"/>
              <w:spacing w:after="0"/>
              <w:rPr>
                <w:sz w:val="20"/>
                <w:szCs w:val="20"/>
                <w:color w:val="auto"/>
              </w:rPr>
            </w:pPr>
            <w:r>
              <w:rPr>
                <w:rFonts w:ascii="Arial" w:cs="Arial" w:eastAsia="Arial" w:hAnsi="Arial"/>
                <w:sz w:val="12"/>
                <w:szCs w:val="12"/>
                <w:color w:val="0000FF"/>
              </w:rPr>
              <w:t>Inc.</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(3)</w:t>
            </w:r>
          </w:p>
        </w:tc>
        <w:tc>
          <w:tcPr>
            <w:tcW w:w="9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500" w:type="dxa"/>
            <w:vAlign w:val="bottom"/>
          </w:tcPr>
          <w:p>
            <w:pPr>
              <w:jc w:val="center"/>
              <w:ind w:left="42"/>
              <w:spacing w:after="0"/>
              <w:rPr>
                <w:sz w:val="20"/>
                <w:szCs w:val="20"/>
                <w:color w:val="auto"/>
              </w:rPr>
            </w:pPr>
            <w:r>
              <w:rPr>
                <w:rFonts w:ascii="Arial" w:cs="Arial" w:eastAsia="Arial" w:hAnsi="Arial"/>
                <w:sz w:val="12"/>
                <w:szCs w:val="12"/>
                <w:color w:val="0000FF"/>
                <w:w w:val="96"/>
              </w:rPr>
              <w:t>Class A</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vMerge w:val="restart"/>
          </w:tcPr>
          <w:p>
            <w:pPr>
              <w:jc w:val="right"/>
              <w:ind w:right="169"/>
              <w:spacing w:after="0"/>
              <w:rPr>
                <w:sz w:val="20"/>
                <w:szCs w:val="20"/>
                <w:color w:val="auto"/>
              </w:rPr>
            </w:pPr>
            <w:r>
              <w:rPr>
                <w:rFonts w:ascii="Arial" w:cs="Arial" w:eastAsia="Arial" w:hAnsi="Arial"/>
                <w:sz w:val="16"/>
                <w:szCs w:val="16"/>
                <w:color w:val="0000FF"/>
                <w:w w:val="89"/>
              </w:rPr>
              <w:t>5,192</w:t>
            </w:r>
          </w:p>
        </w:tc>
        <w:tc>
          <w:tcPr>
            <w:tcW w:w="2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19.95</w:t>
            </w:r>
            <w:r>
              <w:rPr>
                <w:rFonts w:ascii="Arial" w:cs="Arial" w:eastAsia="Arial" w:hAnsi="Arial"/>
                <w:sz w:val="20"/>
                <w:szCs w:val="20"/>
                <w:color w:val="008000"/>
                <w:vertAlign w:val="superscript"/>
              </w:rPr>
              <w:t>(3)</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4"/>
            <w:vMerge w:val="restart"/>
          </w:tcPr>
          <w:p>
            <w:pPr>
              <w:ind w:left="40"/>
              <w:spacing w:after="0"/>
              <w:rPr>
                <w:sz w:val="20"/>
                <w:szCs w:val="20"/>
                <w:color w:val="auto"/>
              </w:rPr>
            </w:pPr>
            <w:r>
              <w:rPr>
                <w:rFonts w:ascii="Arial" w:cs="Arial" w:eastAsia="Arial" w:hAnsi="Arial"/>
                <w:sz w:val="12"/>
                <w:szCs w:val="12"/>
                <w:color w:val="0000FF"/>
              </w:rPr>
              <w:t>By BCCJ,</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right"/>
              <w:ind w:right="162"/>
              <w:spacing w:after="0" w:line="136" w:lineRule="exact"/>
              <w:rPr>
                <w:sz w:val="20"/>
                <w:szCs w:val="20"/>
                <w:color w:val="auto"/>
              </w:rPr>
            </w:pPr>
            <w:r>
              <w:rPr>
                <w:rFonts w:ascii="Arial" w:cs="Arial" w:eastAsia="Arial" w:hAnsi="Arial"/>
                <w:sz w:val="12"/>
                <w:szCs w:val="12"/>
                <w:color w:val="0000FF"/>
              </w:rPr>
              <w:t>07/17/2020</w:t>
            </w: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960" w:type="dxa"/>
            <w:vAlign w:val="bottom"/>
            <w:vMerge w:val="restart"/>
          </w:tcPr>
          <w:p>
            <w:pPr>
              <w:jc w:val="right"/>
              <w:ind w:right="164"/>
              <w:spacing w:after="0" w:line="136" w:lineRule="exact"/>
              <w:rPr>
                <w:sz w:val="20"/>
                <w:szCs w:val="20"/>
                <w:color w:val="auto"/>
              </w:rPr>
            </w:pPr>
            <w:r>
              <w:rPr>
                <w:rFonts w:ascii="Arial" w:cs="Arial" w:eastAsia="Arial" w:hAnsi="Arial"/>
                <w:sz w:val="12"/>
                <w:szCs w:val="12"/>
                <w:color w:val="0000FF"/>
              </w:rPr>
              <w:t>5,192</w:t>
            </w:r>
          </w:p>
        </w:tc>
        <w:tc>
          <w:tcPr>
            <w:tcW w:w="7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Common</w:t>
            </w:r>
          </w:p>
        </w:tc>
        <w:tc>
          <w:tcPr>
            <w:tcW w:w="1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gridSpan w:val="2"/>
            <w:vMerge w:val="restart"/>
          </w:tcPr>
          <w:p>
            <w:pPr>
              <w:jc w:val="right"/>
              <w:ind w:right="220"/>
              <w:spacing w:after="0" w:line="136" w:lineRule="exact"/>
              <w:rPr>
                <w:sz w:val="20"/>
                <w:szCs w:val="20"/>
                <w:color w:val="auto"/>
              </w:rPr>
            </w:pPr>
            <w:r>
              <w:rPr>
                <w:rFonts w:ascii="Arial" w:cs="Arial" w:eastAsia="Arial" w:hAnsi="Arial"/>
                <w:sz w:val="12"/>
                <w:szCs w:val="12"/>
                <w:color w:val="0000FF"/>
              </w:rPr>
              <w:t>43,817</w:t>
            </w:r>
          </w:p>
        </w:tc>
        <w:tc>
          <w:tcPr>
            <w:tcW w:w="580" w:type="dxa"/>
            <w:vAlign w:val="bottom"/>
            <w:vMerge w:val="restart"/>
          </w:tcPr>
          <w:p>
            <w:pPr>
              <w:jc w:val="right"/>
              <w:ind w:right="138"/>
              <w:spacing w:after="0" w:line="136" w:lineRule="exact"/>
              <w:rPr>
                <w:sz w:val="20"/>
                <w:szCs w:val="20"/>
                <w:color w:val="auto"/>
              </w:rPr>
            </w:pPr>
            <w:r>
              <w:rPr>
                <w:rFonts w:ascii="Arial" w:cs="Arial" w:eastAsia="Arial" w:hAnsi="Arial"/>
                <w:sz w:val="12"/>
                <w:szCs w:val="12"/>
                <w:color w:val="0000FF"/>
              </w:rPr>
              <w:t>I</w:t>
            </w:r>
          </w:p>
        </w:tc>
        <w:tc>
          <w:tcPr>
            <w:tcW w:w="14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4"/>
            <w:vMerge w:val="restart"/>
          </w:tcPr>
          <w:p>
            <w:pPr>
              <w:ind w:left="40"/>
              <w:spacing w:after="0"/>
              <w:rPr>
                <w:sz w:val="20"/>
                <w:szCs w:val="20"/>
                <w:color w:val="auto"/>
              </w:rPr>
            </w:pPr>
            <w:r>
              <w:rPr>
                <w:rFonts w:ascii="Arial" w:cs="Arial" w:eastAsia="Arial" w:hAnsi="Arial"/>
                <w:sz w:val="12"/>
                <w:szCs w:val="12"/>
                <w:color w:val="0000FF"/>
              </w:rPr>
              <w:t>LLC</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vMerge w:val="restart"/>
          </w:tcPr>
          <w:p>
            <w:pPr>
              <w:jc w:val="center"/>
              <w:ind w:left="42"/>
              <w:spacing w:after="0"/>
              <w:rPr>
                <w:sz w:val="20"/>
                <w:szCs w:val="20"/>
                <w:color w:val="auto"/>
              </w:rPr>
            </w:pPr>
            <w:r>
              <w:rPr>
                <w:rFonts w:ascii="Arial" w:cs="Arial" w:eastAsia="Arial" w:hAnsi="Arial"/>
                <w:sz w:val="12"/>
                <w:szCs w:val="12"/>
                <w:color w:val="0000FF"/>
                <w:w w:val="93"/>
              </w:rPr>
              <w:t>Stock</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-3524885</wp:posOffset>
            </wp:positionV>
            <wp:extent cx="7036435" cy="3565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3565525"/>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cancellation for no consideration of Class B Common Stock in connection with the redemption and conversion of the LLC Interests into shares of Class A Common Stock.</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LLC Interests may be redeemed by the Reporting Person at any time on or following the closing of the Initial Public Offering for shares of Class A Common Stock on a 1-to-1 basis.</w:t>
      </w:r>
    </w:p>
    <w:p>
      <w:pPr>
        <w:spacing w:after="0" w:line="47" w:lineRule="exact"/>
        <w:rPr>
          <w:rFonts w:ascii="Arial" w:cs="Arial" w:eastAsia="Arial" w:hAnsi="Arial"/>
          <w:sz w:val="12"/>
          <w:szCs w:val="12"/>
          <w:color w:val="008000"/>
        </w:rPr>
      </w:pPr>
    </w:p>
    <w:p>
      <w:pPr>
        <w:ind w:left="40" w:right="360" w:hanging="4"/>
        <w:spacing w:after="0" w:line="267"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described in the prospectus filed by the Issuer with the Securities and Exchange Commission, upon the closing of the offering, the Issuer redeemed the LLC Interests from the reporting person in exchange for an aggregate consideration of $19.95 per LLC Interest.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4" w:lineRule="auto"/>
        <w:rPr>
          <w:sz w:val="20"/>
          <w:szCs w:val="20"/>
          <w:color w:val="auto"/>
        </w:rPr>
      </w:pPr>
      <w:r>
        <w:rPr>
          <w:rFonts w:ascii="Arial" w:cs="Arial" w:eastAsia="Arial" w:hAnsi="Arial"/>
          <w:sz w:val="16"/>
          <w:szCs w:val="16"/>
          <w:color w:val="0000FF"/>
        </w:rPr>
        <w:t xml:space="preserve">/s/ Clinton P. Jones, Attorney-in- </w:t>
      </w:r>
      <w:r>
        <w:rPr>
          <w:rFonts w:ascii="Arial" w:cs="Arial" w:eastAsia="Arial" w:hAnsi="Arial"/>
          <w:sz w:val="32"/>
          <w:szCs w:val="32"/>
          <w:color w:val="0000FF"/>
          <w:vertAlign w:val="subscript"/>
        </w:rPr>
        <w:t>07/21/2020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354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 for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10382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8225"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0"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5855"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2020-07-21T18:35:58Z</dcterms:created>
  <dcterms:modified xsi:type="dcterms:W3CDTF">2020-07-21T18:35:58Z</dcterms:modified>
</cp:coreProperties>
</file>