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INFORMATION TO BE INCLUDED IN STATEMENTS PURSUANT TO RULES 13d-1(b),(c) AND (d) AND AMENDMENTS THERETO FILED PURSUANT TO 13d-2 UNDER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u w:val="single" w:color="auto"/>
          <w:color w:val="auto"/>
        </w:rPr>
        <w:t>GoHealth, Inc.</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Class A Common Stock, $0.0001 par value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38046W105</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December 31, 2020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766445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8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CUSIP NO. 38046W105</w:t>
            </w:r>
          </w:p>
        </w:tc>
        <w:tc>
          <w:tcPr>
            <w:tcW w:w="686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13G</w:t>
            </w:r>
          </w:p>
        </w:tc>
        <w:tc>
          <w:tcPr>
            <w:tcW w:w="25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8"/>
              </w:rPr>
              <w:t>Page 2 of 9 Pages</w:t>
            </w:r>
          </w:p>
        </w:tc>
        <w:tc>
          <w:tcPr>
            <w:tcW w:w="0" w:type="dxa"/>
            <w:vAlign w:val="bottom"/>
          </w:tcPr>
          <w:p>
            <w:pPr>
              <w:spacing w:after="0"/>
              <w:rPr>
                <w:sz w:val="1"/>
                <w:szCs w:val="1"/>
                <w:color w:val="auto"/>
              </w:rPr>
            </w:pPr>
          </w:p>
        </w:tc>
      </w:tr>
      <w:tr>
        <w:trPr>
          <w:trHeight w:val="445"/>
        </w:trPr>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5"/>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right w:val="single" w:sz="8" w:color="auto"/>
            </w:tcBorders>
          </w:tcPr>
          <w:p>
            <w:pPr>
              <w:spacing w:after="0"/>
              <w:rPr>
                <w:sz w:val="19"/>
                <w:szCs w:val="19"/>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Norwest Equity Partners IX, LP</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right w:val="single" w:sz="8" w:color="auto"/>
            </w:tcBorders>
          </w:tcPr>
          <w:p>
            <w:pPr>
              <w:spacing w:after="0"/>
              <w:rPr>
                <w:sz w:val="19"/>
                <w:szCs w:val="19"/>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right w:val="single" w:sz="8" w:color="auto"/>
            </w:tcBorders>
          </w:tcPr>
          <w:p>
            <w:pPr>
              <w:spacing w:after="0"/>
              <w:rPr>
                <w:sz w:val="19"/>
                <w:szCs w:val="19"/>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40" w:type="dxa"/>
            <w:vAlign w:val="bottom"/>
            <w:tcBorders>
              <w:left w:val="single" w:sz="8" w:color="auto"/>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8020" w:type="dxa"/>
            <w:vAlign w:val="bottom"/>
            <w:tcBorders>
              <w:bottom w:val="single" w:sz="8" w:color="auto"/>
            </w:tcBorders>
            <w:gridSpan w:val="5"/>
          </w:tcPr>
          <w:p>
            <w:pPr>
              <w:spacing w:after="0"/>
              <w:rPr>
                <w:sz w:val="17"/>
                <w:szCs w:val="17"/>
                <w:color w:val="auto"/>
              </w:rPr>
            </w:pPr>
          </w:p>
        </w:tc>
        <w:tc>
          <w:tcPr>
            <w:tcW w:w="2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right w:val="single" w:sz="8" w:color="auto"/>
            </w:tcBorders>
          </w:tcPr>
          <w:p>
            <w:pPr>
              <w:spacing w:after="0"/>
              <w:rPr>
                <w:sz w:val="19"/>
                <w:szCs w:val="19"/>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44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40" w:type="dxa"/>
            <w:vAlign w:val="bottom"/>
            <w:tcBorders>
              <w:left w:val="single" w:sz="8" w:color="auto"/>
            </w:tcBorders>
          </w:tcPr>
          <w:p>
            <w:pPr>
              <w:spacing w:after="0"/>
              <w:rPr>
                <w:sz w:val="16"/>
                <w:szCs w:val="16"/>
                <w:color w:val="auto"/>
              </w:rPr>
            </w:pPr>
          </w:p>
        </w:tc>
        <w:tc>
          <w:tcPr>
            <w:tcW w:w="1000" w:type="dxa"/>
            <w:vAlign w:val="bottom"/>
            <w:tcBorders>
              <w:right w:val="single" w:sz="8" w:color="auto"/>
            </w:tcBorders>
            <w:gridSpan w:val="2"/>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60" w:type="dxa"/>
            <w:vAlign w:val="bottom"/>
          </w:tcPr>
          <w:p>
            <w:pPr>
              <w:spacing w:after="0"/>
              <w:rPr>
                <w:sz w:val="16"/>
                <w:szCs w:val="16"/>
                <w:color w:val="auto"/>
              </w:rPr>
            </w:pPr>
          </w:p>
        </w:tc>
        <w:tc>
          <w:tcPr>
            <w:tcW w:w="26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6"/>
                <w:szCs w:val="16"/>
                <w:color w:val="auto"/>
              </w:rPr>
            </w:pPr>
          </w:p>
        </w:tc>
        <w:tc>
          <w:tcPr>
            <w:tcW w:w="68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2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6"/>
              </w:rPr>
              <w:t>BENEFICIALLY</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29,226,585</w:t>
            </w:r>
          </w:p>
        </w:tc>
        <w:tc>
          <w:tcPr>
            <w:tcW w:w="2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40" w:type="dxa"/>
            <w:vAlign w:val="bottom"/>
            <w:tcBorders>
              <w:left w:val="single" w:sz="8" w:color="auto"/>
            </w:tcBorders>
          </w:tcPr>
          <w:p>
            <w:pPr>
              <w:spacing w:after="0"/>
              <w:rPr>
                <w:sz w:val="15"/>
                <w:szCs w:val="15"/>
                <w:color w:val="auto"/>
              </w:rPr>
            </w:pPr>
          </w:p>
        </w:tc>
        <w:tc>
          <w:tcPr>
            <w:tcW w:w="1000" w:type="dxa"/>
            <w:vAlign w:val="bottom"/>
            <w:tcBorders>
              <w:right w:val="single" w:sz="8" w:color="auto"/>
            </w:tcBorders>
            <w:gridSpan w:val="2"/>
          </w:tcPr>
          <w:p>
            <w:pPr>
              <w:jc w:val="center"/>
              <w:ind w:right="1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Pr>
          <w:p>
            <w:pPr>
              <w:spacing w:after="0"/>
              <w:rPr>
                <w:sz w:val="15"/>
                <w:szCs w:val="15"/>
                <w:color w:val="auto"/>
              </w:rPr>
            </w:pPr>
          </w:p>
        </w:tc>
        <w:tc>
          <w:tcPr>
            <w:tcW w:w="260" w:type="dxa"/>
            <w:vAlign w:val="bottom"/>
            <w:tcBorders>
              <w:right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68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40" w:type="dxa"/>
            <w:vAlign w:val="bottom"/>
            <w:tcBorders>
              <w:left w:val="single" w:sz="8" w:color="auto"/>
            </w:tcBorders>
          </w:tcPr>
          <w:p>
            <w:pPr>
              <w:spacing w:after="0"/>
              <w:rPr>
                <w:sz w:val="2"/>
                <w:szCs w:val="2"/>
                <w:color w:val="auto"/>
              </w:rPr>
            </w:pPr>
          </w:p>
        </w:tc>
        <w:tc>
          <w:tcPr>
            <w:tcW w:w="100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spacing w:after="0"/>
              <w:rPr>
                <w:sz w:val="19"/>
                <w:szCs w:val="19"/>
                <w:color w:val="auto"/>
              </w:rPr>
            </w:pPr>
          </w:p>
        </w:tc>
        <w:tc>
          <w:tcPr>
            <w:tcW w:w="100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29,226,585</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right w:val="single" w:sz="8" w:color="auto"/>
            </w:tcBorders>
          </w:tcPr>
          <w:p>
            <w:pPr>
              <w:spacing w:after="0"/>
              <w:rPr>
                <w:sz w:val="19"/>
                <w:szCs w:val="19"/>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5"/>
              </w:rPr>
              <w:t>AGGREGATE</w:t>
            </w:r>
          </w:p>
        </w:tc>
        <w:tc>
          <w:tcPr>
            <w:tcW w:w="6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29,226,585</w:t>
            </w:r>
          </w:p>
        </w:tc>
        <w:tc>
          <w:tcPr>
            <w:tcW w:w="8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tcBorders>
              <w:right w:val="single" w:sz="8" w:color="auto"/>
            </w:tcBorders>
          </w:tcPr>
          <w:p>
            <w:pPr>
              <w:spacing w:after="0"/>
              <w:rPr>
                <w:sz w:val="19"/>
                <w:szCs w:val="19"/>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tcBorders>
              <w:right w:val="single" w:sz="8" w:color="auto"/>
            </w:tcBorders>
          </w:tcPr>
          <w:p>
            <w:pPr>
              <w:spacing w:after="0"/>
              <w:rPr>
                <w:sz w:val="19"/>
                <w:szCs w:val="19"/>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25.8%</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Borders>
              <w:right w:val="single" w:sz="8" w:color="auto"/>
            </w:tcBorders>
          </w:tcPr>
          <w:p>
            <w:pPr>
              <w:spacing w:after="0"/>
              <w:rPr>
                <w:sz w:val="19"/>
                <w:szCs w:val="19"/>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PN</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18" w:right="31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8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CUSIP NO. 38046W105</w:t>
            </w:r>
          </w:p>
        </w:tc>
        <w:tc>
          <w:tcPr>
            <w:tcW w:w="686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13G</w:t>
            </w:r>
          </w:p>
        </w:tc>
        <w:tc>
          <w:tcPr>
            <w:tcW w:w="25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8"/>
              </w:rPr>
              <w:t>Page 3 of 9 Pages</w:t>
            </w:r>
          </w:p>
        </w:tc>
        <w:tc>
          <w:tcPr>
            <w:tcW w:w="0" w:type="dxa"/>
            <w:vAlign w:val="bottom"/>
          </w:tcPr>
          <w:p>
            <w:pPr>
              <w:spacing w:after="0"/>
              <w:rPr>
                <w:sz w:val="1"/>
                <w:szCs w:val="1"/>
                <w:color w:val="auto"/>
              </w:rPr>
            </w:pPr>
          </w:p>
        </w:tc>
      </w:tr>
      <w:tr>
        <w:trPr>
          <w:trHeight w:val="445"/>
        </w:trPr>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5"/>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right w:val="single" w:sz="8" w:color="auto"/>
            </w:tcBorders>
          </w:tcPr>
          <w:p>
            <w:pPr>
              <w:spacing w:after="0"/>
              <w:rPr>
                <w:sz w:val="19"/>
                <w:szCs w:val="19"/>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Itasca Partners IX, LLC</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right w:val="single" w:sz="8" w:color="auto"/>
            </w:tcBorders>
          </w:tcPr>
          <w:p>
            <w:pPr>
              <w:spacing w:after="0"/>
              <w:rPr>
                <w:sz w:val="19"/>
                <w:szCs w:val="19"/>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right w:val="single" w:sz="8" w:color="auto"/>
            </w:tcBorders>
          </w:tcPr>
          <w:p>
            <w:pPr>
              <w:spacing w:after="0"/>
              <w:rPr>
                <w:sz w:val="19"/>
                <w:szCs w:val="19"/>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40" w:type="dxa"/>
            <w:vAlign w:val="bottom"/>
            <w:tcBorders>
              <w:left w:val="single" w:sz="8" w:color="auto"/>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8020" w:type="dxa"/>
            <w:vAlign w:val="bottom"/>
            <w:tcBorders>
              <w:bottom w:val="single" w:sz="8" w:color="auto"/>
            </w:tcBorders>
            <w:gridSpan w:val="5"/>
          </w:tcPr>
          <w:p>
            <w:pPr>
              <w:spacing w:after="0"/>
              <w:rPr>
                <w:sz w:val="17"/>
                <w:szCs w:val="17"/>
                <w:color w:val="auto"/>
              </w:rPr>
            </w:pPr>
          </w:p>
        </w:tc>
        <w:tc>
          <w:tcPr>
            <w:tcW w:w="2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right w:val="single" w:sz="8" w:color="auto"/>
            </w:tcBorders>
          </w:tcPr>
          <w:p>
            <w:pPr>
              <w:spacing w:after="0"/>
              <w:rPr>
                <w:sz w:val="19"/>
                <w:szCs w:val="19"/>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46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40" w:type="dxa"/>
            <w:vAlign w:val="bottom"/>
            <w:tcBorders>
              <w:left w:val="single" w:sz="8" w:color="auto"/>
            </w:tcBorders>
          </w:tcPr>
          <w:p>
            <w:pPr>
              <w:spacing w:after="0"/>
              <w:rPr>
                <w:sz w:val="16"/>
                <w:szCs w:val="16"/>
                <w:color w:val="auto"/>
              </w:rPr>
            </w:pPr>
          </w:p>
        </w:tc>
        <w:tc>
          <w:tcPr>
            <w:tcW w:w="1020" w:type="dxa"/>
            <w:vAlign w:val="bottom"/>
            <w:tcBorders>
              <w:right w:val="single" w:sz="8" w:color="auto"/>
            </w:tcBorders>
            <w:gridSpan w:val="2"/>
          </w:tcPr>
          <w:p>
            <w:pPr>
              <w:jc w:val="center"/>
              <w:ind w:right="21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40" w:type="dxa"/>
            <w:vAlign w:val="bottom"/>
          </w:tcPr>
          <w:p>
            <w:pPr>
              <w:spacing w:after="0"/>
              <w:rPr>
                <w:sz w:val="16"/>
                <w:szCs w:val="16"/>
                <w:color w:val="auto"/>
              </w:rPr>
            </w:pPr>
          </w:p>
        </w:tc>
        <w:tc>
          <w:tcPr>
            <w:tcW w:w="28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6"/>
                <w:szCs w:val="16"/>
                <w:color w:val="auto"/>
              </w:rPr>
            </w:pPr>
          </w:p>
        </w:tc>
        <w:tc>
          <w:tcPr>
            <w:tcW w:w="68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2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7"/>
              </w:rPr>
              <w:t>BENEFICIALLY</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29,226,585</w:t>
            </w:r>
          </w:p>
        </w:tc>
        <w:tc>
          <w:tcPr>
            <w:tcW w:w="2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4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jc w:val="center"/>
              <w:ind w:right="2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0" w:type="dxa"/>
            <w:vAlign w:val="bottom"/>
          </w:tcPr>
          <w:p>
            <w:pPr>
              <w:spacing w:after="0"/>
              <w:rPr>
                <w:sz w:val="15"/>
                <w:szCs w:val="15"/>
                <w:color w:val="auto"/>
              </w:rPr>
            </w:pPr>
          </w:p>
        </w:tc>
        <w:tc>
          <w:tcPr>
            <w:tcW w:w="280" w:type="dxa"/>
            <w:vAlign w:val="bottom"/>
            <w:tcBorders>
              <w:right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5"/>
                <w:szCs w:val="15"/>
                <w:color w:val="auto"/>
              </w:rPr>
            </w:pPr>
          </w:p>
        </w:tc>
        <w:tc>
          <w:tcPr>
            <w:tcW w:w="686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8"/>
              </w:rPr>
              <w:t>REPORTING</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8"/>
              </w:rPr>
              <w:t>PERSON</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40" w:type="dxa"/>
            <w:vAlign w:val="bottom"/>
            <w:tcBorders>
              <w:left w:val="single" w:sz="8" w:color="auto"/>
            </w:tcBorders>
          </w:tcPr>
          <w:p>
            <w:pPr>
              <w:spacing w:after="0"/>
              <w:rPr>
                <w:sz w:val="2"/>
                <w:szCs w:val="2"/>
                <w:color w:val="auto"/>
              </w:rPr>
            </w:pPr>
          </w:p>
        </w:tc>
        <w:tc>
          <w:tcPr>
            <w:tcW w:w="1020" w:type="dxa"/>
            <w:vAlign w:val="bottom"/>
            <w:tcBorders>
              <w:right w:val="single" w:sz="8" w:color="auto"/>
            </w:tcBorders>
            <w:gridSpan w:val="2"/>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WITH</w:t>
            </w: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29,226,585</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right w:val="single" w:sz="8" w:color="auto"/>
            </w:tcBorders>
          </w:tcPr>
          <w:p>
            <w:pPr>
              <w:spacing w:after="0"/>
              <w:rPr>
                <w:sz w:val="19"/>
                <w:szCs w:val="19"/>
                <w:color w:val="auto"/>
              </w:rPr>
            </w:pP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7"/>
              </w:rPr>
              <w:t>AGGREGATE</w:t>
            </w: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29,226,585</w:t>
            </w: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tcBorders>
              <w:right w:val="single" w:sz="8" w:color="auto"/>
            </w:tcBorders>
          </w:tcPr>
          <w:p>
            <w:pPr>
              <w:spacing w:after="0"/>
              <w:rPr>
                <w:sz w:val="19"/>
                <w:szCs w:val="19"/>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tcBorders>
              <w:right w:val="single" w:sz="8" w:color="auto"/>
            </w:tcBorders>
          </w:tcPr>
          <w:p>
            <w:pPr>
              <w:spacing w:after="0"/>
              <w:rPr>
                <w:sz w:val="19"/>
                <w:szCs w:val="19"/>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25.8%</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Borders>
              <w:right w:val="single" w:sz="8" w:color="auto"/>
            </w:tcBorders>
          </w:tcPr>
          <w:p>
            <w:pPr>
              <w:spacing w:after="0"/>
              <w:rPr>
                <w:sz w:val="19"/>
                <w:szCs w:val="19"/>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PN</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18" w:right="31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CUSIP NO. 38046W105</w:t>
            </w:r>
          </w:p>
        </w:tc>
        <w:tc>
          <w:tcPr>
            <w:tcW w:w="686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13G</w:t>
            </w:r>
          </w:p>
        </w:tc>
        <w:tc>
          <w:tcPr>
            <w:tcW w:w="25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8"/>
              </w:rPr>
              <w:t>Page 4 of 9 Pages</w:t>
            </w:r>
          </w:p>
        </w:tc>
        <w:tc>
          <w:tcPr>
            <w:tcW w:w="0" w:type="dxa"/>
            <w:vAlign w:val="bottom"/>
          </w:tcPr>
          <w:p>
            <w:pPr>
              <w:spacing w:after="0"/>
              <w:rPr>
                <w:sz w:val="1"/>
                <w:szCs w:val="1"/>
                <w:color w:val="auto"/>
              </w:rPr>
            </w:pPr>
          </w:p>
        </w:tc>
      </w:tr>
      <w:tr>
        <w:trPr>
          <w:trHeight w:val="446"/>
        </w:trPr>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4"/>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right w:val="single" w:sz="8" w:color="auto"/>
            </w:tcBorders>
          </w:tcPr>
          <w:p>
            <w:pPr>
              <w:spacing w:after="0"/>
              <w:rPr>
                <w:sz w:val="19"/>
                <w:szCs w:val="19"/>
                <w:color w:val="auto"/>
              </w:rPr>
            </w:pPr>
          </w:p>
        </w:tc>
        <w:tc>
          <w:tcPr>
            <w:tcW w:w="80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Norwest Venture Capital Management, Inc</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right w:val="single" w:sz="8" w:color="auto"/>
            </w:tcBorders>
          </w:tcPr>
          <w:p>
            <w:pPr>
              <w:spacing w:after="0"/>
              <w:rPr>
                <w:sz w:val="19"/>
                <w:szCs w:val="19"/>
                <w:color w:val="auto"/>
              </w:rPr>
            </w:pPr>
          </w:p>
        </w:tc>
        <w:tc>
          <w:tcPr>
            <w:tcW w:w="80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right w:val="single" w:sz="8" w:color="auto"/>
            </w:tcBorders>
          </w:tcPr>
          <w:p>
            <w:pPr>
              <w:spacing w:after="0"/>
              <w:rPr>
                <w:sz w:val="19"/>
                <w:szCs w:val="19"/>
                <w:color w:val="auto"/>
              </w:rPr>
            </w:pPr>
          </w:p>
        </w:tc>
        <w:tc>
          <w:tcPr>
            <w:tcW w:w="80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40" w:type="dxa"/>
            <w:vAlign w:val="bottom"/>
            <w:tcBorders>
              <w:left w:val="single" w:sz="8" w:color="auto"/>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8020" w:type="dxa"/>
            <w:vAlign w:val="bottom"/>
            <w:tcBorders>
              <w:bottom w:val="single" w:sz="8" w:color="auto"/>
            </w:tcBorders>
            <w:gridSpan w:val="4"/>
          </w:tcPr>
          <w:p>
            <w:pPr>
              <w:spacing w:after="0"/>
              <w:rPr>
                <w:sz w:val="17"/>
                <w:szCs w:val="17"/>
                <w:color w:val="auto"/>
              </w:rPr>
            </w:pPr>
          </w:p>
        </w:tc>
        <w:tc>
          <w:tcPr>
            <w:tcW w:w="2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right w:val="single" w:sz="8" w:color="auto"/>
            </w:tcBorders>
          </w:tcPr>
          <w:p>
            <w:pPr>
              <w:spacing w:after="0"/>
              <w:rPr>
                <w:sz w:val="19"/>
                <w:szCs w:val="19"/>
                <w:color w:val="auto"/>
              </w:rPr>
            </w:pPr>
          </w:p>
        </w:tc>
        <w:tc>
          <w:tcPr>
            <w:tcW w:w="80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Minnesota</w:t>
            </w: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46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40" w:type="dxa"/>
            <w:vAlign w:val="bottom"/>
            <w:tcBorders>
              <w:left w:val="single" w:sz="8" w:color="auto"/>
            </w:tcBorders>
          </w:tcPr>
          <w:p>
            <w:pPr>
              <w:spacing w:after="0"/>
              <w:rPr>
                <w:sz w:val="16"/>
                <w:szCs w:val="16"/>
                <w:color w:val="auto"/>
              </w:rPr>
            </w:pPr>
          </w:p>
        </w:tc>
        <w:tc>
          <w:tcPr>
            <w:tcW w:w="1020" w:type="dxa"/>
            <w:vAlign w:val="bottom"/>
            <w:tcBorders>
              <w:right w:val="single" w:sz="8" w:color="auto"/>
            </w:tcBorders>
            <w:gridSpan w:val="2"/>
          </w:tcPr>
          <w:p>
            <w:pPr>
              <w:jc w:val="center"/>
              <w:ind w:right="21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6"/>
                <w:szCs w:val="16"/>
                <w:color w:val="auto"/>
              </w:rPr>
            </w:pPr>
          </w:p>
        </w:tc>
        <w:tc>
          <w:tcPr>
            <w:tcW w:w="68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2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7"/>
              </w:rPr>
              <w:t>BENEFICIALLY</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29,226,585</w:t>
            </w:r>
          </w:p>
        </w:tc>
        <w:tc>
          <w:tcPr>
            <w:tcW w:w="2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4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jc w:val="center"/>
              <w:ind w:right="2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20" w:type="dxa"/>
            <w:vAlign w:val="bottom"/>
            <w:tcBorders>
              <w:right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5"/>
                <w:szCs w:val="15"/>
                <w:color w:val="auto"/>
              </w:rPr>
            </w:pPr>
          </w:p>
        </w:tc>
        <w:tc>
          <w:tcPr>
            <w:tcW w:w="686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40" w:type="dxa"/>
            <w:vAlign w:val="bottom"/>
            <w:tcBorders>
              <w:left w:val="single" w:sz="8" w:color="auto"/>
            </w:tcBorders>
          </w:tcPr>
          <w:p>
            <w:pPr>
              <w:spacing w:after="0"/>
              <w:rPr>
                <w:sz w:val="2"/>
                <w:szCs w:val="2"/>
                <w:color w:val="auto"/>
              </w:rPr>
            </w:pPr>
          </w:p>
        </w:tc>
        <w:tc>
          <w:tcPr>
            <w:tcW w:w="1020" w:type="dxa"/>
            <w:vAlign w:val="bottom"/>
            <w:tcBorders>
              <w:right w:val="single" w:sz="8" w:color="auto"/>
            </w:tcBorders>
            <w:gridSpan w:val="2"/>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gridSpan w:val="2"/>
            <w:vMerge w:val="continue"/>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29,226,585</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7"/>
              </w:rPr>
              <w:t>AGGREGATE</w:t>
            </w: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29,226,585</w:t>
            </w: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tcBorders>
              <w:right w:val="single" w:sz="8" w:color="auto"/>
            </w:tcBorders>
          </w:tcPr>
          <w:p>
            <w:pPr>
              <w:spacing w:after="0"/>
              <w:rPr>
                <w:sz w:val="19"/>
                <w:szCs w:val="19"/>
                <w:color w:val="auto"/>
              </w:rPr>
            </w:pPr>
          </w:p>
        </w:tc>
        <w:tc>
          <w:tcPr>
            <w:tcW w:w="80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tcBorders>
              <w:right w:val="single" w:sz="8" w:color="auto"/>
            </w:tcBorders>
          </w:tcPr>
          <w:p>
            <w:pPr>
              <w:spacing w:after="0"/>
              <w:rPr>
                <w:sz w:val="19"/>
                <w:szCs w:val="19"/>
                <w:color w:val="auto"/>
              </w:rPr>
            </w:pPr>
          </w:p>
        </w:tc>
        <w:tc>
          <w:tcPr>
            <w:tcW w:w="80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25.8%</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Borders>
              <w:right w:val="single" w:sz="8" w:color="auto"/>
            </w:tcBorders>
          </w:tcPr>
          <w:p>
            <w:pPr>
              <w:spacing w:after="0"/>
              <w:rPr>
                <w:sz w:val="19"/>
                <w:szCs w:val="19"/>
                <w:color w:val="auto"/>
              </w:rPr>
            </w:pPr>
          </w:p>
        </w:tc>
        <w:tc>
          <w:tcPr>
            <w:tcW w:w="80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02" w:right="31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CUSIP NO. 38046W105</w:t>
            </w:r>
          </w:p>
        </w:tc>
        <w:tc>
          <w:tcPr>
            <w:tcW w:w="686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13G</w:t>
            </w:r>
          </w:p>
        </w:tc>
        <w:tc>
          <w:tcPr>
            <w:tcW w:w="25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8"/>
              </w:rPr>
              <w:t>Page 5 of 9 Pages</w:t>
            </w:r>
          </w:p>
        </w:tc>
        <w:tc>
          <w:tcPr>
            <w:tcW w:w="0" w:type="dxa"/>
            <w:vAlign w:val="bottom"/>
          </w:tcPr>
          <w:p>
            <w:pPr>
              <w:spacing w:after="0"/>
              <w:rPr>
                <w:sz w:val="1"/>
                <w:szCs w:val="1"/>
                <w:color w:val="auto"/>
              </w:rPr>
            </w:pPr>
          </w:p>
        </w:tc>
      </w:tr>
      <w:tr>
        <w:trPr>
          <w:trHeight w:val="445"/>
        </w:trPr>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4"/>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right w:val="single" w:sz="8" w:color="auto"/>
            </w:tcBorders>
          </w:tcPr>
          <w:p>
            <w:pPr>
              <w:spacing w:after="0"/>
              <w:rPr>
                <w:sz w:val="19"/>
                <w:szCs w:val="19"/>
                <w:color w:val="auto"/>
              </w:rPr>
            </w:pPr>
          </w:p>
        </w:tc>
        <w:tc>
          <w:tcPr>
            <w:tcW w:w="80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Timothy C. DeVries</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right w:val="single" w:sz="8" w:color="auto"/>
            </w:tcBorders>
          </w:tcPr>
          <w:p>
            <w:pPr>
              <w:spacing w:after="0"/>
              <w:rPr>
                <w:sz w:val="19"/>
                <w:szCs w:val="19"/>
                <w:color w:val="auto"/>
              </w:rPr>
            </w:pPr>
          </w:p>
        </w:tc>
        <w:tc>
          <w:tcPr>
            <w:tcW w:w="80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right w:val="single" w:sz="8" w:color="auto"/>
            </w:tcBorders>
          </w:tcPr>
          <w:p>
            <w:pPr>
              <w:spacing w:after="0"/>
              <w:rPr>
                <w:sz w:val="19"/>
                <w:szCs w:val="19"/>
                <w:color w:val="auto"/>
              </w:rPr>
            </w:pPr>
          </w:p>
        </w:tc>
        <w:tc>
          <w:tcPr>
            <w:tcW w:w="80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40" w:type="dxa"/>
            <w:vAlign w:val="bottom"/>
            <w:tcBorders>
              <w:left w:val="single" w:sz="8" w:color="auto"/>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8020" w:type="dxa"/>
            <w:vAlign w:val="bottom"/>
            <w:tcBorders>
              <w:bottom w:val="single" w:sz="8" w:color="auto"/>
            </w:tcBorders>
            <w:gridSpan w:val="4"/>
          </w:tcPr>
          <w:p>
            <w:pPr>
              <w:spacing w:after="0"/>
              <w:rPr>
                <w:sz w:val="17"/>
                <w:szCs w:val="17"/>
                <w:color w:val="auto"/>
              </w:rPr>
            </w:pPr>
          </w:p>
        </w:tc>
        <w:tc>
          <w:tcPr>
            <w:tcW w:w="2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right w:val="single" w:sz="8" w:color="auto"/>
            </w:tcBorders>
          </w:tcPr>
          <w:p>
            <w:pPr>
              <w:spacing w:after="0"/>
              <w:rPr>
                <w:sz w:val="19"/>
                <w:szCs w:val="19"/>
                <w:color w:val="auto"/>
              </w:rPr>
            </w:pPr>
          </w:p>
        </w:tc>
        <w:tc>
          <w:tcPr>
            <w:tcW w:w="80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46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40" w:type="dxa"/>
            <w:vAlign w:val="bottom"/>
            <w:tcBorders>
              <w:left w:val="single" w:sz="8" w:color="auto"/>
            </w:tcBorders>
          </w:tcPr>
          <w:p>
            <w:pPr>
              <w:spacing w:after="0"/>
              <w:rPr>
                <w:sz w:val="16"/>
                <w:szCs w:val="16"/>
                <w:color w:val="auto"/>
              </w:rPr>
            </w:pPr>
          </w:p>
        </w:tc>
        <w:tc>
          <w:tcPr>
            <w:tcW w:w="1020" w:type="dxa"/>
            <w:vAlign w:val="bottom"/>
            <w:tcBorders>
              <w:right w:val="single" w:sz="8" w:color="auto"/>
            </w:tcBorders>
            <w:gridSpan w:val="2"/>
          </w:tcPr>
          <w:p>
            <w:pPr>
              <w:jc w:val="center"/>
              <w:ind w:right="21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6"/>
                <w:szCs w:val="16"/>
                <w:color w:val="auto"/>
              </w:rPr>
            </w:pPr>
          </w:p>
        </w:tc>
        <w:tc>
          <w:tcPr>
            <w:tcW w:w="68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2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7"/>
              </w:rPr>
              <w:t>BENEFICIALLY</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29,226,585</w:t>
            </w:r>
          </w:p>
        </w:tc>
        <w:tc>
          <w:tcPr>
            <w:tcW w:w="2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4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jc w:val="center"/>
              <w:ind w:right="2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20" w:type="dxa"/>
            <w:vAlign w:val="bottom"/>
            <w:tcBorders>
              <w:right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5"/>
                <w:szCs w:val="15"/>
                <w:color w:val="auto"/>
              </w:rPr>
            </w:pPr>
          </w:p>
        </w:tc>
        <w:tc>
          <w:tcPr>
            <w:tcW w:w="686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40" w:type="dxa"/>
            <w:vAlign w:val="bottom"/>
            <w:tcBorders>
              <w:left w:val="single" w:sz="8" w:color="auto"/>
            </w:tcBorders>
          </w:tcPr>
          <w:p>
            <w:pPr>
              <w:spacing w:after="0"/>
              <w:rPr>
                <w:sz w:val="2"/>
                <w:szCs w:val="2"/>
                <w:color w:val="auto"/>
              </w:rPr>
            </w:pPr>
          </w:p>
        </w:tc>
        <w:tc>
          <w:tcPr>
            <w:tcW w:w="1020" w:type="dxa"/>
            <w:vAlign w:val="bottom"/>
            <w:tcBorders>
              <w:right w:val="single" w:sz="8" w:color="auto"/>
            </w:tcBorders>
            <w:gridSpan w:val="2"/>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gridSpan w:val="2"/>
            <w:vMerge w:val="continue"/>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29,226,585</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7"/>
              </w:rPr>
              <w:t>AGGREGATE</w:t>
            </w: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29,226,585</w:t>
            </w: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tcBorders>
              <w:right w:val="single" w:sz="8" w:color="auto"/>
            </w:tcBorders>
          </w:tcPr>
          <w:p>
            <w:pPr>
              <w:spacing w:after="0"/>
              <w:rPr>
                <w:sz w:val="19"/>
                <w:szCs w:val="19"/>
                <w:color w:val="auto"/>
              </w:rPr>
            </w:pPr>
          </w:p>
        </w:tc>
        <w:tc>
          <w:tcPr>
            <w:tcW w:w="80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tcBorders>
              <w:right w:val="single" w:sz="8" w:color="auto"/>
            </w:tcBorders>
          </w:tcPr>
          <w:p>
            <w:pPr>
              <w:spacing w:after="0"/>
              <w:rPr>
                <w:sz w:val="19"/>
                <w:szCs w:val="19"/>
                <w:color w:val="auto"/>
              </w:rPr>
            </w:pPr>
          </w:p>
        </w:tc>
        <w:tc>
          <w:tcPr>
            <w:tcW w:w="80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25.8%</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Borders>
              <w:right w:val="single" w:sz="8" w:color="auto"/>
            </w:tcBorders>
          </w:tcPr>
          <w:p>
            <w:pPr>
              <w:spacing w:after="0"/>
              <w:rPr>
                <w:sz w:val="19"/>
                <w:szCs w:val="19"/>
                <w:color w:val="auto"/>
              </w:rPr>
            </w:pPr>
          </w:p>
        </w:tc>
        <w:tc>
          <w:tcPr>
            <w:tcW w:w="80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02" w:right="319" w:bottom="1440" w:gutter="0" w:footer="0" w:header="0"/>
        </w:sectPr>
      </w:pPr>
    </w:p>
    <w:bookmarkStart w:id="5" w:name="page6"/>
    <w:bookmarkEnd w:id="5"/>
    <w:p>
      <w:pPr>
        <w:ind w:left="20"/>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t>CUSIP NO. 38046W105</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6 of 9 Pages</w:t>
      </w:r>
    </w:p>
    <w:p>
      <w:pPr>
        <w:spacing w:after="0" w:line="239"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7"/>
          <w:szCs w:val="17"/>
          <w:color w:val="auto"/>
        </w:rPr>
        <w:t>Name of Issuer:</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GoHealth, Inc.</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1(b)</w:t>
      </w:r>
      <w:r>
        <w:rPr>
          <w:sz w:val="20"/>
          <w:szCs w:val="20"/>
          <w:color w:val="auto"/>
        </w:rPr>
        <w:tab/>
      </w:r>
      <w:r>
        <w:rPr>
          <w:rFonts w:ascii="Times New Roman" w:cs="Times New Roman" w:eastAsia="Times New Roman" w:hAnsi="Times New Roman"/>
          <w:sz w:val="17"/>
          <w:szCs w:val="17"/>
          <w:color w:val="auto"/>
        </w:rPr>
        <w:t>Address of Issuer’s Principal Executive Offices: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1214 West Huron St.</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207"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2(a)</w:t>
      </w:r>
      <w:r>
        <w:rPr>
          <w:sz w:val="20"/>
          <w:szCs w:val="20"/>
          <w:color w:val="auto"/>
        </w:rPr>
        <w:tab/>
      </w:r>
      <w:r>
        <w:rPr>
          <w:rFonts w:ascii="Times New Roman" w:cs="Times New Roman" w:eastAsia="Times New Roman" w:hAnsi="Times New Roman"/>
          <w:sz w:val="17"/>
          <w:szCs w:val="17"/>
          <w:color w:val="auto"/>
        </w:rPr>
        <w:t>Name of Person Filing:</w:t>
      </w:r>
    </w:p>
    <w:p>
      <w:pPr>
        <w:spacing w:after="0" w:line="225" w:lineRule="exact"/>
        <w:rPr>
          <w:sz w:val="20"/>
          <w:szCs w:val="20"/>
          <w:color w:val="auto"/>
        </w:rPr>
      </w:pPr>
    </w:p>
    <w:p>
      <w:pPr>
        <w:ind w:left="920" w:right="680"/>
        <w:spacing w:after="0" w:line="282" w:lineRule="auto"/>
        <w:rPr>
          <w:sz w:val="20"/>
          <w:szCs w:val="20"/>
          <w:color w:val="auto"/>
        </w:rPr>
      </w:pPr>
      <w:r>
        <w:rPr>
          <w:rFonts w:ascii="Times New Roman" w:cs="Times New Roman" w:eastAsia="Times New Roman" w:hAnsi="Times New Roman"/>
          <w:sz w:val="18"/>
          <w:szCs w:val="18"/>
          <w:color w:val="auto"/>
        </w:rPr>
        <w:t>Each of the following is hereinafter individually referred to as a “Reporting Person” and collectively as the “Reporting Persons.” This statement is filed on behalf of:</w:t>
      </w:r>
    </w:p>
    <w:p>
      <w:pPr>
        <w:spacing w:after="0" w:line="162" w:lineRule="exact"/>
        <w:rPr>
          <w:sz w:val="20"/>
          <w:szCs w:val="20"/>
          <w:color w:val="auto"/>
        </w:rPr>
      </w:pPr>
    </w:p>
    <w:p>
      <w:pPr>
        <w:ind w:left="1260" w:hanging="343"/>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Norwest Equity Partners IX, LP (“NEP IX”);</w:t>
      </w:r>
    </w:p>
    <w:p>
      <w:pPr>
        <w:spacing w:after="0" w:line="27" w:lineRule="exact"/>
        <w:rPr>
          <w:rFonts w:ascii="Times New Roman" w:cs="Times New Roman" w:eastAsia="Times New Roman" w:hAnsi="Times New Roman"/>
          <w:sz w:val="18"/>
          <w:szCs w:val="18"/>
          <w:color w:val="auto"/>
        </w:rPr>
      </w:pPr>
    </w:p>
    <w:p>
      <w:pPr>
        <w:ind w:left="1260" w:hanging="343"/>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Itasca Partners IX, LLC (“Itasca IX”);</w:t>
      </w:r>
    </w:p>
    <w:p>
      <w:pPr>
        <w:spacing w:after="0" w:line="9" w:lineRule="exact"/>
        <w:rPr>
          <w:rFonts w:ascii="Times New Roman" w:cs="Times New Roman" w:eastAsia="Times New Roman" w:hAnsi="Times New Roman"/>
          <w:sz w:val="18"/>
          <w:szCs w:val="18"/>
          <w:color w:val="auto"/>
        </w:rPr>
      </w:pPr>
    </w:p>
    <w:p>
      <w:pPr>
        <w:ind w:left="1260" w:hanging="343"/>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Norwest Venture Capital Management, Inc (“NVC”); and</w:t>
      </w:r>
    </w:p>
    <w:p>
      <w:pPr>
        <w:spacing w:after="0" w:line="9" w:lineRule="exact"/>
        <w:rPr>
          <w:rFonts w:ascii="Times New Roman" w:cs="Times New Roman" w:eastAsia="Times New Roman" w:hAnsi="Times New Roman"/>
          <w:sz w:val="18"/>
          <w:szCs w:val="18"/>
          <w:color w:val="auto"/>
        </w:rPr>
      </w:pPr>
    </w:p>
    <w:p>
      <w:pPr>
        <w:ind w:left="1260" w:hanging="343"/>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C. DeVries.</w:t>
      </w:r>
    </w:p>
    <w:p>
      <w:pPr>
        <w:spacing w:after="0" w:line="207"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2(b)</w:t>
      </w:r>
      <w:r>
        <w:rPr>
          <w:sz w:val="20"/>
          <w:szCs w:val="20"/>
          <w:color w:val="auto"/>
        </w:rPr>
        <w:tab/>
      </w:r>
      <w:r>
        <w:rPr>
          <w:rFonts w:ascii="Times New Roman" w:cs="Times New Roman" w:eastAsia="Times New Roman" w:hAnsi="Times New Roman"/>
          <w:sz w:val="17"/>
          <w:szCs w:val="17"/>
          <w:color w:val="auto"/>
        </w:rPr>
        <w:t>Address of Principal Business Office or, if None, Residence:</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principal business of the Reporting Persons is 3600 IDS Center, 80 South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Minneapolis, Minnesota 55402.</w:t>
      </w:r>
    </w:p>
    <w:p>
      <w:pPr>
        <w:spacing w:after="0" w:line="135"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color w:val="auto"/>
        </w:rPr>
        <w:t>Item 2(c)</w:t>
      </w:r>
      <w:r>
        <w:rPr>
          <w:sz w:val="20"/>
          <w:szCs w:val="20"/>
          <w:color w:val="auto"/>
        </w:rPr>
        <w:tab/>
      </w:r>
      <w:r>
        <w:rPr>
          <w:rFonts w:ascii="Times New Roman" w:cs="Times New Roman" w:eastAsia="Times New Roman" w:hAnsi="Times New Roman"/>
          <w:sz w:val="17"/>
          <w:szCs w:val="17"/>
          <w:color w:val="auto"/>
        </w:rPr>
        <w:t>Citizenship or Place of Organization:</w:t>
      </w:r>
    </w:p>
    <w:p>
      <w:pPr>
        <w:spacing w:after="0" w:line="225" w:lineRule="exact"/>
        <w:rPr>
          <w:sz w:val="20"/>
          <w:szCs w:val="20"/>
          <w:color w:val="auto"/>
        </w:rPr>
      </w:pPr>
    </w:p>
    <w:p>
      <w:pPr>
        <w:ind w:left="1260" w:hanging="343"/>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Norwest Equity Partners IX, LP: Delaware</w:t>
      </w:r>
    </w:p>
    <w:p>
      <w:pPr>
        <w:spacing w:after="0" w:line="27" w:lineRule="exact"/>
        <w:rPr>
          <w:rFonts w:ascii="Times New Roman" w:cs="Times New Roman" w:eastAsia="Times New Roman" w:hAnsi="Times New Roman"/>
          <w:sz w:val="18"/>
          <w:szCs w:val="18"/>
          <w:color w:val="auto"/>
        </w:rPr>
      </w:pPr>
    </w:p>
    <w:p>
      <w:pPr>
        <w:ind w:left="1260" w:hanging="343"/>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Itasca Partners IX, LLC: Delaware</w:t>
      </w:r>
    </w:p>
    <w:p>
      <w:pPr>
        <w:spacing w:after="0" w:line="9" w:lineRule="exact"/>
        <w:rPr>
          <w:rFonts w:ascii="Times New Roman" w:cs="Times New Roman" w:eastAsia="Times New Roman" w:hAnsi="Times New Roman"/>
          <w:sz w:val="18"/>
          <w:szCs w:val="18"/>
          <w:color w:val="auto"/>
        </w:rPr>
      </w:pPr>
    </w:p>
    <w:p>
      <w:pPr>
        <w:ind w:left="1260" w:hanging="343"/>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Norwest Venture Capital Management, Inc: Minnesota</w:t>
      </w:r>
    </w:p>
    <w:p>
      <w:pPr>
        <w:spacing w:after="0" w:line="9" w:lineRule="exact"/>
        <w:rPr>
          <w:rFonts w:ascii="Times New Roman" w:cs="Times New Roman" w:eastAsia="Times New Roman" w:hAnsi="Times New Roman"/>
          <w:sz w:val="18"/>
          <w:szCs w:val="18"/>
          <w:color w:val="auto"/>
        </w:rPr>
      </w:pPr>
    </w:p>
    <w:p>
      <w:pPr>
        <w:ind w:left="1260" w:hanging="343"/>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C. DeVries: United States of America</w:t>
      </w:r>
    </w:p>
    <w:p>
      <w:pPr>
        <w:spacing w:after="0" w:line="20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2(d)</w:t>
      </w:r>
      <w:r>
        <w:rPr>
          <w:sz w:val="20"/>
          <w:szCs w:val="20"/>
          <w:color w:val="auto"/>
        </w:rPr>
        <w:tab/>
      </w:r>
      <w:r>
        <w:rPr>
          <w:rFonts w:ascii="Times New Roman" w:cs="Times New Roman" w:eastAsia="Times New Roman" w:hAnsi="Times New Roman"/>
          <w:sz w:val="17"/>
          <w:szCs w:val="17"/>
          <w:color w:val="auto"/>
        </w:rPr>
        <w:t>Title of Class of Securities: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Class A Common Stock</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2(e)</w:t>
        <w:tab/>
        <w:t>CUSIP Number:</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38046W105</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If This Statement is Filed Pursuant to Rule 13d-1(b), or 13d-2(b) or (c), Check Whether the Person Filing is a:</w:t>
      </w:r>
    </w:p>
    <w:p>
      <w:pPr>
        <w:spacing w:after="0" w:line="196" w:lineRule="exact"/>
        <w:rPr>
          <w:sz w:val="20"/>
          <w:szCs w:val="20"/>
          <w:color w:val="auto"/>
        </w:rPr>
      </w:pPr>
    </w:p>
    <w:p>
      <w:pPr>
        <w:ind w:left="1260" w:hanging="348"/>
        <w:spacing w:after="0" w:line="207" w:lineRule="exact"/>
        <w:tabs>
          <w:tab w:leader="none" w:pos="12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w:t>
      </w:r>
    </w:p>
    <w:p>
      <w:pPr>
        <w:spacing w:after="0" w:line="57" w:lineRule="exact"/>
        <w:rPr>
          <w:rFonts w:ascii="Times New Roman" w:cs="Times New Roman" w:eastAsia="Times New Roman" w:hAnsi="Times New Roman"/>
          <w:sz w:val="18"/>
          <w:szCs w:val="18"/>
          <w:color w:val="auto"/>
        </w:rPr>
      </w:pPr>
    </w:p>
    <w:p>
      <w:pPr>
        <w:ind w:left="1260" w:hanging="348"/>
        <w:spacing w:after="0" w:line="207" w:lineRule="exact"/>
        <w:tabs>
          <w:tab w:leader="none" w:pos="12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w:t>
      </w:r>
    </w:p>
    <w:p>
      <w:pPr>
        <w:spacing w:after="0" w:line="9" w:lineRule="exact"/>
        <w:rPr>
          <w:rFonts w:ascii="Times New Roman" w:cs="Times New Roman" w:eastAsia="Times New Roman" w:hAnsi="Times New Roman"/>
          <w:sz w:val="18"/>
          <w:szCs w:val="18"/>
          <w:color w:val="auto"/>
        </w:rPr>
      </w:pPr>
    </w:p>
    <w:p>
      <w:pPr>
        <w:ind w:left="1260" w:hanging="348"/>
        <w:spacing w:after="0" w:line="207" w:lineRule="exact"/>
        <w:tabs>
          <w:tab w:leader="none" w:pos="12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w:t>
      </w:r>
    </w:p>
    <w:p>
      <w:pPr>
        <w:spacing w:after="0" w:line="9" w:lineRule="exact"/>
        <w:rPr>
          <w:rFonts w:ascii="Times New Roman" w:cs="Times New Roman" w:eastAsia="Times New Roman" w:hAnsi="Times New Roman"/>
          <w:sz w:val="18"/>
          <w:szCs w:val="18"/>
          <w:color w:val="auto"/>
        </w:rPr>
      </w:pPr>
    </w:p>
    <w:p>
      <w:pPr>
        <w:ind w:left="1260" w:hanging="348"/>
        <w:spacing w:after="0" w:line="207" w:lineRule="exact"/>
        <w:tabs>
          <w:tab w:leader="none" w:pos="12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pacing w:after="0" w:line="9" w:lineRule="exact"/>
        <w:rPr>
          <w:rFonts w:ascii="Times New Roman" w:cs="Times New Roman" w:eastAsia="Times New Roman" w:hAnsi="Times New Roman"/>
          <w:sz w:val="18"/>
          <w:szCs w:val="18"/>
          <w:color w:val="auto"/>
        </w:rPr>
      </w:pPr>
    </w:p>
    <w:p>
      <w:pPr>
        <w:ind w:left="1260" w:hanging="348"/>
        <w:spacing w:after="0" w:line="207" w:lineRule="exact"/>
        <w:tabs>
          <w:tab w:leader="none" w:pos="12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Adviser registered under Section 203 of the Investment Advisers Act of 1940: see Rule 13d-1(b)(1)(ii)(E)</w:t>
      </w:r>
    </w:p>
    <w:p>
      <w:pPr>
        <w:spacing w:after="0" w:line="9" w:lineRule="exact"/>
        <w:rPr>
          <w:rFonts w:ascii="Times New Roman" w:cs="Times New Roman" w:eastAsia="Times New Roman" w:hAnsi="Times New Roman"/>
          <w:sz w:val="18"/>
          <w:szCs w:val="18"/>
          <w:color w:val="auto"/>
        </w:rPr>
      </w:pPr>
    </w:p>
    <w:p>
      <w:pPr>
        <w:ind w:left="1580" w:right="60" w:hanging="668"/>
        <w:spacing w:after="0" w:line="215" w:lineRule="exact"/>
        <w:tabs>
          <w:tab w:leader="none" w:pos="1243"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 Benefit Plan, Pension Fund which is subject to the provisions of the Employee Retirement Income Security Act of 1974 or Endowment Fund; see Rule 13d-1(b)(1)(ii)(F)</w:t>
      </w:r>
    </w:p>
    <w:p>
      <w:pPr>
        <w:ind w:left="1260" w:hanging="348"/>
        <w:spacing w:after="0" w:line="207" w:lineRule="exact"/>
        <w:tabs>
          <w:tab w:leader="none" w:pos="12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Parent holding company, in accordance with Rule 13d-1(b)(1)(ii)(G).</w:t>
      </w:r>
    </w:p>
    <w:p>
      <w:pPr>
        <w:spacing w:after="0" w:line="10" w:lineRule="exact"/>
        <w:rPr>
          <w:rFonts w:ascii="Times New Roman" w:cs="Times New Roman" w:eastAsia="Times New Roman" w:hAnsi="Times New Roman"/>
          <w:sz w:val="18"/>
          <w:szCs w:val="18"/>
          <w:color w:val="auto"/>
        </w:rPr>
      </w:pPr>
    </w:p>
    <w:p>
      <w:pPr>
        <w:ind w:left="1260" w:hanging="348"/>
        <w:spacing w:after="0" w:line="207" w:lineRule="exact"/>
        <w:tabs>
          <w:tab w:leader="none" w:pos="12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Savings Association as defined in Section 3(b) of the Federal Deposit Insurance Act.</w:t>
      </w:r>
    </w:p>
    <w:p>
      <w:pPr>
        <w:spacing w:after="0" w:line="9" w:lineRule="exact"/>
        <w:rPr>
          <w:rFonts w:ascii="Times New Roman" w:cs="Times New Roman" w:eastAsia="Times New Roman" w:hAnsi="Times New Roman"/>
          <w:sz w:val="18"/>
          <w:szCs w:val="18"/>
          <w:color w:val="auto"/>
        </w:rPr>
      </w:pPr>
    </w:p>
    <w:p>
      <w:pPr>
        <w:ind w:left="1580" w:hanging="668"/>
        <w:spacing w:after="0" w:line="215" w:lineRule="exact"/>
        <w:tabs>
          <w:tab w:leader="none" w:pos="1243"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Church Plan that is excluded from the definition of an investment company under Section 3(c)(14) of the Investment Company Act of 1940.</w:t>
      </w:r>
    </w:p>
    <w:p>
      <w:pPr>
        <w:ind w:left="1260" w:hanging="348"/>
        <w:spacing w:after="0" w:line="207" w:lineRule="exact"/>
        <w:tabs>
          <w:tab w:leader="none" w:pos="12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Non-U.S. institution in accordance with Rule 240.13d-1(b)(1)(ii)(J). If filing as a non-U.S. institution in accordance with Rule</w:t>
      </w:r>
    </w:p>
    <w:p>
      <w:pPr>
        <w:spacing w:after="0" w:line="1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240.13d-1(b)(1)(ii)(J), please specify the type of institution:</w:t>
      </w:r>
    </w:p>
    <w:p>
      <w:pPr>
        <w:spacing w:after="0" w:line="2" w:lineRule="exact"/>
        <w:rPr>
          <w:sz w:val="20"/>
          <w:szCs w:val="20"/>
          <w:color w:val="auto"/>
        </w:rPr>
      </w:pPr>
    </w:p>
    <w:p>
      <w:pPr>
        <w:ind w:left="920"/>
        <w:spacing w:after="0" w:line="207" w:lineRule="exact"/>
        <w:tabs>
          <w:tab w:leader="none" w:pos="1560" w:val="left"/>
        </w:tabs>
        <w:rPr>
          <w:sz w:val="20"/>
          <w:szCs w:val="20"/>
          <w:color w:val="auto"/>
        </w:rPr>
      </w:pPr>
      <w:r>
        <w:rPr>
          <w:rFonts w:ascii="Times New Roman" w:cs="Times New Roman" w:eastAsia="Times New Roman" w:hAnsi="Times New Roman"/>
          <w:sz w:val="18"/>
          <w:szCs w:val="18"/>
          <w:color w:val="auto"/>
        </w:rPr>
        <w:t xml:space="preserve">(k)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 w:name="page7"/>
    <w:bookmarkEnd w:id="6"/>
    <w:p>
      <w:pPr>
        <w:ind w:left="20"/>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t>CUSIP NO. 38046W105</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7 of 9 Pages</w:t>
      </w:r>
    </w:p>
    <w:p>
      <w:pPr>
        <w:spacing w:after="0" w:line="239" w:lineRule="exact"/>
        <w:rPr>
          <w:sz w:val="20"/>
          <w:szCs w:val="20"/>
          <w:color w:val="auto"/>
        </w:rPr>
      </w:pPr>
    </w:p>
    <w:p>
      <w:pPr>
        <w:ind w:left="920" w:right="80" w:hanging="904"/>
        <w:spacing w:after="0" w:line="258" w:lineRule="auto"/>
        <w:tabs>
          <w:tab w:leader="none" w:pos="9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 The ownership information represented below represents ownership of Class A Common Stock of the Issuer (the “Common Stock”) as of December 31, 2020 based on 84,182,961 of the Common Stock outstanding as of November 6, 2020 as reported in the quarterly report on Form 10-Q filed with the Securities and Exchange Commission on November 13, 2020 and assumes the redemption of 29,226,585 LLC Interests held of record by Norwest Equity Partners IX, LLC. The LLC Interests may be redeemed at any time for shares of the Common Stock on a one-to-one basis.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82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5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of class:</w:t>
            </w:r>
          </w:p>
        </w:tc>
        <w:tc>
          <w:tcPr>
            <w:tcW w:w="15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Sole power to</w:t>
            </w:r>
          </w:p>
        </w:tc>
        <w:tc>
          <w:tcPr>
            <w:tcW w:w="15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Shared power to</w:t>
            </w:r>
          </w:p>
        </w:tc>
        <w:tc>
          <w:tcPr>
            <w:tcW w:w="15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Sole power to</w:t>
            </w:r>
          </w:p>
        </w:tc>
        <w:tc>
          <w:tcPr>
            <w:tcW w:w="15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Shared power to</w:t>
            </w:r>
          </w:p>
        </w:tc>
      </w:tr>
      <w:tr>
        <w:trPr>
          <w:trHeight w:val="216"/>
        </w:trPr>
        <w:tc>
          <w:tcPr>
            <w:tcW w:w="700" w:type="dxa"/>
            <w:vAlign w:val="bottom"/>
            <w:tcBorders>
              <w:lef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vote or to direct</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vote or to direct</w:t>
            </w:r>
          </w:p>
        </w:tc>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dispose or to</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dispose or to</w:t>
            </w:r>
          </w:p>
        </w:tc>
      </w:tr>
      <w:tr>
        <w:trPr>
          <w:trHeight w:val="216"/>
        </w:trPr>
        <w:tc>
          <w:tcPr>
            <w:tcW w:w="700" w:type="dxa"/>
            <w:vAlign w:val="bottom"/>
            <w:tcBorders>
              <w:lef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the vote:</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the vote:</w:t>
            </w:r>
          </w:p>
        </w:tc>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direct the</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direct the</w:t>
            </w:r>
          </w:p>
        </w:tc>
      </w:tr>
      <w:tr>
        <w:trPr>
          <w:trHeight w:val="238"/>
        </w:trPr>
        <w:tc>
          <w:tcPr>
            <w:tcW w:w="700" w:type="dxa"/>
            <w:vAlign w:val="bottom"/>
            <w:tcBorders>
              <w:left w:val="single" w:sz="8" w:color="auto"/>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disposition of :</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disposition of:</w:t>
            </w:r>
          </w:p>
        </w:tc>
      </w:tr>
      <w:tr>
        <w:trPr>
          <w:trHeight w:val="191"/>
        </w:trPr>
        <w:tc>
          <w:tcPr>
            <w:tcW w:w="1820" w:type="dxa"/>
            <w:vAlign w:val="bottom"/>
            <w:tcBorders>
              <w:left w:val="single" w:sz="8" w:color="auto"/>
              <w:right w:val="single" w:sz="8" w:color="auto"/>
            </w:tcBorders>
            <w:gridSpan w:val="2"/>
            <w:shd w:val="clear" w:color="auto" w:fill="CCEEFF"/>
          </w:tcPr>
          <w:p>
            <w:pPr>
              <w:ind w:left="120"/>
              <w:spacing w:after="0" w:line="191" w:lineRule="exact"/>
              <w:rPr>
                <w:sz w:val="20"/>
                <w:szCs w:val="20"/>
                <w:color w:val="auto"/>
              </w:rPr>
            </w:pPr>
            <w:r>
              <w:rPr>
                <w:rFonts w:ascii="Times New Roman" w:cs="Times New Roman" w:eastAsia="Times New Roman" w:hAnsi="Times New Roman"/>
                <w:sz w:val="18"/>
                <w:szCs w:val="18"/>
                <w:color w:val="auto"/>
              </w:rPr>
              <w:t>Norwest Equity</w:t>
            </w:r>
          </w:p>
        </w:tc>
        <w:tc>
          <w:tcPr>
            <w:tcW w:w="1580" w:type="dxa"/>
            <w:vAlign w:val="bottom"/>
            <w:tcBorders>
              <w:right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29,226,585</w:t>
            </w:r>
          </w:p>
        </w:tc>
        <w:tc>
          <w:tcPr>
            <w:tcW w:w="1580" w:type="dxa"/>
            <w:vAlign w:val="bottom"/>
            <w:tcBorders>
              <w:right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25.8%</w:t>
            </w:r>
          </w:p>
        </w:tc>
        <w:tc>
          <w:tcPr>
            <w:tcW w:w="1560" w:type="dxa"/>
            <w:vAlign w:val="bottom"/>
            <w:tcBorders>
              <w:right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right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29,226,585</w:t>
            </w:r>
          </w:p>
        </w:tc>
        <w:tc>
          <w:tcPr>
            <w:tcW w:w="1560" w:type="dxa"/>
            <w:vAlign w:val="bottom"/>
            <w:tcBorders>
              <w:right w:val="single" w:sz="8" w:color="auto"/>
            </w:tcBorders>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right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29,226,585</w:t>
            </w:r>
          </w:p>
        </w:tc>
      </w:tr>
      <w:tr>
        <w:trPr>
          <w:trHeight w:val="234"/>
        </w:trPr>
        <w:tc>
          <w:tcPr>
            <w:tcW w:w="182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Partners IX, LP</w:t>
            </w:r>
          </w:p>
        </w:tc>
        <w:tc>
          <w:tcPr>
            <w:tcW w:w="1580" w:type="dxa"/>
            <w:vAlign w:val="bottom"/>
            <w:tcBorders>
              <w:bottom w:val="single" w:sz="8" w:color="auto"/>
              <w:right w:val="single" w:sz="8" w:color="auto"/>
            </w:tcBorders>
            <w:shd w:val="clear" w:color="auto" w:fill="CCEEFF"/>
          </w:tcPr>
          <w:p>
            <w:pPr>
              <w:spacing w:after="0"/>
              <w:rPr>
                <w:sz w:val="20"/>
                <w:szCs w:val="20"/>
                <w:color w:val="auto"/>
              </w:rPr>
            </w:pPr>
          </w:p>
        </w:tc>
        <w:tc>
          <w:tcPr>
            <w:tcW w:w="1580" w:type="dxa"/>
            <w:vAlign w:val="bottom"/>
            <w:tcBorders>
              <w:bottom w:val="single" w:sz="8" w:color="auto"/>
              <w:right w:val="single" w:sz="8" w:color="auto"/>
            </w:tcBorders>
            <w:shd w:val="clear" w:color="auto" w:fill="CCEEFF"/>
          </w:tcPr>
          <w:p>
            <w:pPr>
              <w:spacing w:after="0"/>
              <w:rPr>
                <w:sz w:val="20"/>
                <w:szCs w:val="20"/>
                <w:color w:val="auto"/>
              </w:rPr>
            </w:pPr>
          </w:p>
        </w:tc>
        <w:tc>
          <w:tcPr>
            <w:tcW w:w="1560" w:type="dxa"/>
            <w:vAlign w:val="bottom"/>
            <w:tcBorders>
              <w:bottom w:val="single" w:sz="8" w:color="auto"/>
              <w:right w:val="single" w:sz="8" w:color="auto"/>
            </w:tcBorders>
            <w:shd w:val="clear" w:color="auto" w:fill="CCEEFF"/>
          </w:tcPr>
          <w:p>
            <w:pPr>
              <w:spacing w:after="0"/>
              <w:rPr>
                <w:sz w:val="20"/>
                <w:szCs w:val="20"/>
                <w:color w:val="auto"/>
              </w:rPr>
            </w:pPr>
          </w:p>
        </w:tc>
        <w:tc>
          <w:tcPr>
            <w:tcW w:w="1580" w:type="dxa"/>
            <w:vAlign w:val="bottom"/>
            <w:tcBorders>
              <w:bottom w:val="single" w:sz="8" w:color="auto"/>
              <w:right w:val="single" w:sz="8" w:color="auto"/>
            </w:tcBorders>
            <w:shd w:val="clear" w:color="auto" w:fill="CCEEFF"/>
          </w:tcPr>
          <w:p>
            <w:pPr>
              <w:spacing w:after="0"/>
              <w:rPr>
                <w:sz w:val="20"/>
                <w:szCs w:val="20"/>
                <w:color w:val="auto"/>
              </w:rPr>
            </w:pPr>
          </w:p>
        </w:tc>
        <w:tc>
          <w:tcPr>
            <w:tcW w:w="1560" w:type="dxa"/>
            <w:vAlign w:val="bottom"/>
            <w:tcBorders>
              <w:bottom w:val="single" w:sz="8" w:color="auto"/>
              <w:right w:val="single" w:sz="8" w:color="auto"/>
            </w:tcBorders>
            <w:shd w:val="clear" w:color="auto" w:fill="CCEEFF"/>
          </w:tcPr>
          <w:p>
            <w:pPr>
              <w:spacing w:after="0"/>
              <w:rPr>
                <w:sz w:val="20"/>
                <w:szCs w:val="20"/>
                <w:color w:val="auto"/>
              </w:rPr>
            </w:pPr>
          </w:p>
        </w:tc>
        <w:tc>
          <w:tcPr>
            <w:tcW w:w="15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1"/>
        </w:trPr>
        <w:tc>
          <w:tcPr>
            <w:tcW w:w="1820" w:type="dxa"/>
            <w:vAlign w:val="bottom"/>
            <w:tcBorders>
              <w:left w:val="single" w:sz="8" w:color="auto"/>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Itasca Partners IX,</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29,226,585</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25.8%</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29,226,585</w:t>
            </w:r>
          </w:p>
        </w:tc>
        <w:tc>
          <w:tcPr>
            <w:tcW w:w="15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29,226,585</w:t>
            </w:r>
          </w:p>
        </w:tc>
      </w:tr>
      <w:tr>
        <w:trPr>
          <w:trHeight w:val="234"/>
        </w:trPr>
        <w:tc>
          <w:tcPr>
            <w:tcW w:w="7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LLC</w:t>
            </w:r>
          </w:p>
        </w:tc>
        <w:tc>
          <w:tcPr>
            <w:tcW w:w="112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191"/>
        </w:trPr>
        <w:tc>
          <w:tcPr>
            <w:tcW w:w="1820" w:type="dxa"/>
            <w:vAlign w:val="bottom"/>
            <w:tcBorders>
              <w:left w:val="single" w:sz="8" w:color="auto"/>
              <w:right w:val="single" w:sz="8" w:color="auto"/>
            </w:tcBorders>
            <w:gridSpan w:val="2"/>
            <w:shd w:val="clear" w:color="auto" w:fill="CCEEFF"/>
          </w:tcPr>
          <w:p>
            <w:pPr>
              <w:ind w:left="120"/>
              <w:spacing w:after="0" w:line="191" w:lineRule="exact"/>
              <w:rPr>
                <w:sz w:val="20"/>
                <w:szCs w:val="20"/>
                <w:color w:val="auto"/>
              </w:rPr>
            </w:pPr>
            <w:r>
              <w:rPr>
                <w:rFonts w:ascii="Times New Roman" w:cs="Times New Roman" w:eastAsia="Times New Roman" w:hAnsi="Times New Roman"/>
                <w:sz w:val="18"/>
                <w:szCs w:val="18"/>
                <w:color w:val="auto"/>
              </w:rPr>
              <w:t>Norwest Venture</w:t>
            </w:r>
          </w:p>
        </w:tc>
        <w:tc>
          <w:tcPr>
            <w:tcW w:w="1580" w:type="dxa"/>
            <w:vAlign w:val="bottom"/>
            <w:tcBorders>
              <w:right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29,226,585</w:t>
            </w:r>
          </w:p>
        </w:tc>
        <w:tc>
          <w:tcPr>
            <w:tcW w:w="1580" w:type="dxa"/>
            <w:vAlign w:val="bottom"/>
            <w:tcBorders>
              <w:right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25.8%</w:t>
            </w:r>
          </w:p>
        </w:tc>
        <w:tc>
          <w:tcPr>
            <w:tcW w:w="1560" w:type="dxa"/>
            <w:vAlign w:val="bottom"/>
            <w:tcBorders>
              <w:right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right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29,226,585</w:t>
            </w:r>
          </w:p>
        </w:tc>
        <w:tc>
          <w:tcPr>
            <w:tcW w:w="1560" w:type="dxa"/>
            <w:vAlign w:val="bottom"/>
            <w:tcBorders>
              <w:right w:val="single" w:sz="8" w:color="auto"/>
            </w:tcBorders>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right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29,226,585</w:t>
            </w:r>
          </w:p>
        </w:tc>
      </w:tr>
      <w:tr>
        <w:trPr>
          <w:trHeight w:val="216"/>
        </w:trPr>
        <w:tc>
          <w:tcPr>
            <w:tcW w:w="1820" w:type="dxa"/>
            <w:vAlign w:val="bottom"/>
            <w:tcBorders>
              <w:left w:val="single" w:sz="8" w:color="auto"/>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Management,</w:t>
            </w:r>
          </w:p>
        </w:tc>
        <w:tc>
          <w:tcPr>
            <w:tcW w:w="1580" w:type="dxa"/>
            <w:vAlign w:val="bottom"/>
            <w:tcBorders>
              <w:right w:val="single" w:sz="8" w:color="auto"/>
            </w:tcBorders>
            <w:shd w:val="clear" w:color="auto" w:fill="CCEEFF"/>
          </w:tcPr>
          <w:p>
            <w:pPr>
              <w:spacing w:after="0"/>
              <w:rPr>
                <w:sz w:val="18"/>
                <w:szCs w:val="18"/>
                <w:color w:val="auto"/>
              </w:rPr>
            </w:pPr>
          </w:p>
        </w:tc>
        <w:tc>
          <w:tcPr>
            <w:tcW w:w="1580" w:type="dxa"/>
            <w:vAlign w:val="bottom"/>
            <w:tcBorders>
              <w:right w:val="single" w:sz="8" w:color="auto"/>
            </w:tcBorders>
            <w:shd w:val="clear" w:color="auto" w:fill="CCEEFF"/>
          </w:tcPr>
          <w:p>
            <w:pPr>
              <w:spacing w:after="0"/>
              <w:rPr>
                <w:sz w:val="18"/>
                <w:szCs w:val="18"/>
                <w:color w:val="auto"/>
              </w:rPr>
            </w:pPr>
          </w:p>
        </w:tc>
        <w:tc>
          <w:tcPr>
            <w:tcW w:w="1560" w:type="dxa"/>
            <w:vAlign w:val="bottom"/>
            <w:tcBorders>
              <w:right w:val="single" w:sz="8" w:color="auto"/>
            </w:tcBorders>
            <w:shd w:val="clear" w:color="auto" w:fill="CCEEFF"/>
          </w:tcPr>
          <w:p>
            <w:pPr>
              <w:spacing w:after="0"/>
              <w:rPr>
                <w:sz w:val="18"/>
                <w:szCs w:val="18"/>
                <w:color w:val="auto"/>
              </w:rPr>
            </w:pPr>
          </w:p>
        </w:tc>
        <w:tc>
          <w:tcPr>
            <w:tcW w:w="1580" w:type="dxa"/>
            <w:vAlign w:val="bottom"/>
            <w:tcBorders>
              <w:right w:val="single" w:sz="8" w:color="auto"/>
            </w:tcBorders>
            <w:shd w:val="clear" w:color="auto" w:fill="CCEEFF"/>
          </w:tcPr>
          <w:p>
            <w:pPr>
              <w:spacing w:after="0"/>
              <w:rPr>
                <w:sz w:val="18"/>
                <w:szCs w:val="18"/>
                <w:color w:val="auto"/>
              </w:rPr>
            </w:pPr>
          </w:p>
        </w:tc>
        <w:tc>
          <w:tcPr>
            <w:tcW w:w="1560" w:type="dxa"/>
            <w:vAlign w:val="bottom"/>
            <w:tcBorders>
              <w:right w:val="single" w:sz="8" w:color="auto"/>
            </w:tcBorders>
            <w:shd w:val="clear" w:color="auto" w:fill="CCEEFF"/>
          </w:tcPr>
          <w:p>
            <w:pPr>
              <w:spacing w:after="0"/>
              <w:rPr>
                <w:sz w:val="18"/>
                <w:szCs w:val="18"/>
                <w:color w:val="auto"/>
              </w:rPr>
            </w:pPr>
          </w:p>
        </w:tc>
        <w:tc>
          <w:tcPr>
            <w:tcW w:w="1560" w:type="dxa"/>
            <w:vAlign w:val="bottom"/>
            <w:tcBorders>
              <w:right w:val="single" w:sz="8" w:color="auto"/>
            </w:tcBorders>
            <w:shd w:val="clear" w:color="auto" w:fill="CCEEFF"/>
          </w:tcPr>
          <w:p>
            <w:pPr>
              <w:spacing w:after="0"/>
              <w:rPr>
                <w:sz w:val="18"/>
                <w:szCs w:val="18"/>
                <w:color w:val="auto"/>
              </w:rPr>
            </w:pPr>
          </w:p>
        </w:tc>
      </w:tr>
      <w:tr>
        <w:trPr>
          <w:trHeight w:val="234"/>
        </w:trPr>
        <w:tc>
          <w:tcPr>
            <w:tcW w:w="70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w:t>
            </w: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1580" w:type="dxa"/>
            <w:vAlign w:val="bottom"/>
            <w:tcBorders>
              <w:bottom w:val="single" w:sz="8" w:color="auto"/>
              <w:right w:val="single" w:sz="8" w:color="auto"/>
            </w:tcBorders>
            <w:shd w:val="clear" w:color="auto" w:fill="CCEEFF"/>
          </w:tcPr>
          <w:p>
            <w:pPr>
              <w:spacing w:after="0"/>
              <w:rPr>
                <w:sz w:val="20"/>
                <w:szCs w:val="20"/>
                <w:color w:val="auto"/>
              </w:rPr>
            </w:pPr>
          </w:p>
        </w:tc>
        <w:tc>
          <w:tcPr>
            <w:tcW w:w="1580" w:type="dxa"/>
            <w:vAlign w:val="bottom"/>
            <w:tcBorders>
              <w:bottom w:val="single" w:sz="8" w:color="auto"/>
              <w:right w:val="single" w:sz="8" w:color="auto"/>
            </w:tcBorders>
            <w:shd w:val="clear" w:color="auto" w:fill="CCEEFF"/>
          </w:tcPr>
          <w:p>
            <w:pPr>
              <w:spacing w:after="0"/>
              <w:rPr>
                <w:sz w:val="20"/>
                <w:szCs w:val="20"/>
                <w:color w:val="auto"/>
              </w:rPr>
            </w:pPr>
          </w:p>
        </w:tc>
        <w:tc>
          <w:tcPr>
            <w:tcW w:w="1560" w:type="dxa"/>
            <w:vAlign w:val="bottom"/>
            <w:tcBorders>
              <w:bottom w:val="single" w:sz="8" w:color="auto"/>
              <w:right w:val="single" w:sz="8" w:color="auto"/>
            </w:tcBorders>
            <w:shd w:val="clear" w:color="auto" w:fill="CCEEFF"/>
          </w:tcPr>
          <w:p>
            <w:pPr>
              <w:spacing w:after="0"/>
              <w:rPr>
                <w:sz w:val="20"/>
                <w:szCs w:val="20"/>
                <w:color w:val="auto"/>
              </w:rPr>
            </w:pPr>
          </w:p>
        </w:tc>
        <w:tc>
          <w:tcPr>
            <w:tcW w:w="1580" w:type="dxa"/>
            <w:vAlign w:val="bottom"/>
            <w:tcBorders>
              <w:bottom w:val="single" w:sz="8" w:color="auto"/>
              <w:right w:val="single" w:sz="8" w:color="auto"/>
            </w:tcBorders>
            <w:shd w:val="clear" w:color="auto" w:fill="CCEEFF"/>
          </w:tcPr>
          <w:p>
            <w:pPr>
              <w:spacing w:after="0"/>
              <w:rPr>
                <w:sz w:val="20"/>
                <w:szCs w:val="20"/>
                <w:color w:val="auto"/>
              </w:rPr>
            </w:pPr>
          </w:p>
        </w:tc>
        <w:tc>
          <w:tcPr>
            <w:tcW w:w="1560" w:type="dxa"/>
            <w:vAlign w:val="bottom"/>
            <w:tcBorders>
              <w:bottom w:val="single" w:sz="8" w:color="auto"/>
              <w:right w:val="single" w:sz="8" w:color="auto"/>
            </w:tcBorders>
            <w:shd w:val="clear" w:color="auto" w:fill="CCEEFF"/>
          </w:tcPr>
          <w:p>
            <w:pPr>
              <w:spacing w:after="0"/>
              <w:rPr>
                <w:sz w:val="20"/>
                <w:szCs w:val="20"/>
                <w:color w:val="auto"/>
              </w:rPr>
            </w:pPr>
          </w:p>
        </w:tc>
        <w:tc>
          <w:tcPr>
            <w:tcW w:w="15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09"/>
        </w:trPr>
        <w:tc>
          <w:tcPr>
            <w:tcW w:w="182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Timothy C. DeVries</w:t>
            </w:r>
          </w:p>
        </w:tc>
        <w:tc>
          <w:tcPr>
            <w:tcW w:w="1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29,226,585</w:t>
            </w:r>
          </w:p>
        </w:tc>
        <w:tc>
          <w:tcPr>
            <w:tcW w:w="1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25.8%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29,226,585</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29,226,585</w:t>
            </w:r>
          </w:p>
        </w:tc>
      </w:tr>
      <w:tr>
        <w:trPr>
          <w:trHeight w:val="426"/>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4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Ownership of Five Percent or Less of a Class:</w:t>
            </w:r>
          </w:p>
        </w:tc>
        <w:tc>
          <w:tcPr>
            <w:tcW w:w="1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198" w:lineRule="exact"/>
        <w:rPr>
          <w:sz w:val="20"/>
          <w:szCs w:val="20"/>
          <w:color w:val="auto"/>
        </w:rPr>
      </w:pPr>
    </w:p>
    <w:p>
      <w:pPr>
        <w:ind w:left="920" w:right="32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beneficial owners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920" w:right="20" w:hanging="904"/>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color w:val="auto"/>
        </w:rPr>
        <w:t>Identification and Classification of Members of the Group:</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color w:val="auto"/>
        </w:rPr>
        <w:t>Notice of Dissolution of Group:</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7" w:name="page8"/>
    <w:bookmarkEnd w:id="7"/>
    <w:p>
      <w:pPr>
        <w:ind w:left="20"/>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t>CUSIP NO. 38046W105</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8 of 9 Pages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2021</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NORWEST EQUITY PARTNERS IX,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ITASCA PARTNERS IX, LLC, as general partner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Norwest Venture Capital Management,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Brian Allingham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708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8" w:name="page9"/>
    <w:bookmarkEnd w:id="8"/>
    <w:p>
      <w:pPr>
        <w:ind w:left="20"/>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t>CUSIP NO. 38046W105</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9 of 9 Pages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 – JOINT FILING AGREEMENT</w:t>
      </w:r>
    </w:p>
    <w:p>
      <w:pPr>
        <w:spacing w:after="0" w:line="22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this Schedule 13G to which this Agreement is attached shall be filed by Norwest Equity Partners IX, LP on its own behalf and on behalf of (a) Itasca Partners IX, LLC, a Delaware limited liability company, (c) Norwest Venture Capital Management, Inc, a Minnesota corporation, and (d) Timothy C. DeVries.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9, 2021</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NORWEST EQUITY PARTNERS IX,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ITASCA PARTNERS IX, LLC, as general partner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Norwest Venture Capital Management,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Brian Allingham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7089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Senior Vice President</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Itasca Partners IX,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Norwest Venture Capital Management,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Brian Allingham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7089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0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7"/>
          <w:szCs w:val="17"/>
          <w:color w:val="auto"/>
        </w:rPr>
        <w:t>Senior Vice President</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Norwest Venture Capital Management,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Brian Allingham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7089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Senior Vice President</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Timothy C.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9229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Timothy C.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2021-02-09T16:06:36Z</dcterms:created>
  <dcterms:modified xsi:type="dcterms:W3CDTF">2021-02-09T16:06:36Z</dcterms:modified>
</cp:coreProperties>
</file>