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August 19, 2025</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center"/>
        <w:rPr>
          <w:rFonts w:ascii="Arial;sans-serif" w:hAnsi="Arial;sans-serif"/>
          <w:b/>
          <w:color w:val="000000"/>
          <w:sz w:val="44"/>
        </w:rPr>
      </w:pPr>
      <w:r>
        <w:rPr>
          <w:rFonts w:ascii="Arial;sans-serif" w:hAnsi="Arial;sans-serif"/>
          <w:b/>
          <w:color w:val="000000"/>
          <w:sz w:val="44"/>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8098" w:type="dxa"/>
        <w:jc w:val="left"/>
        <w:tblInd w:w="0" w:type="dxa"/>
        <w:tblLayout w:type="fixed"/>
        <w:tblCellMar>
          <w:top w:w="28" w:type="dxa"/>
          <w:left w:w="28" w:type="dxa"/>
          <w:bottom w:w="28" w:type="dxa"/>
          <w:right w:w="28" w:type="dxa"/>
        </w:tblCellMar>
      </w:tblPr>
      <w:tblGrid>
        <w:gridCol w:w="623"/>
        <w:gridCol w:w="550"/>
        <w:gridCol w:w="550"/>
        <w:gridCol w:w="550"/>
        <w:gridCol w:w="550"/>
        <w:gridCol w:w="566"/>
        <w:gridCol w:w="682"/>
        <w:gridCol w:w="682"/>
        <w:gridCol w:w="690"/>
        <w:gridCol w:w="773"/>
        <w:gridCol w:w="773"/>
        <w:gridCol w:w="1109"/>
      </w:tblGrid>
      <w:tr>
        <w:trPr/>
        <w:tc>
          <w:tcPr>
            <w:tcW w:w="62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3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001-39390</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33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222 W Merchandise Mart Plaza, Suite 1750</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7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Director Appointments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August 19, 2025, the Board of Directors (the “Board”) of GoHealth, Inc. (the “Company”) appointed Mark Weinsten as a Class II director of the Board, effective immediately. Mr. Weinsten currently serves as a managing director in BRG Corporate Finance where, among other services, he develops business plans and restructuring strategies; evaluates and negotiates strategic transactions; and implements revenue and liquidity improvement programs. Mr. Weinsten will serve with a term expiring at the Company’s annual meeting of stockholders to be held in 2028 and until his successor is duly elected and qualified or his earlier death, disqualification, resignation or removal.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Mr. Weinsten will be entitled to receive a monthly cash retainer of $25,000 for his service on the Board, which will be pro-rated for his first partial month of service. He will also be reimbursed for certain expenses incurred by him in connection with his service on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19, 2025, the Board also appointed Bao Truong as a Class III director of the Board, effective immediately. Mr. Truong currently serves as a senior managing director of Centerbridge Partners, L.P. (“Centerbridge”) where he oversees investments in a range of sectors across the firm’s private equity and credit business. Mr. Truong will serve with a term expiring at the Company’s annual meeting of stockholders to be held in 2026, and until his successor is duly elected and qualified or his earlier death, disqualification, resignation or removal. Mr. Truong was appointed to the Transformation Committee of the Board, the Compensation Committee of the Board and the Nominating and Corporate Governance Committee of the Board.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a Centerbridge employee, Mr. Truong will not receive compensation for service on the Board.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connection with their appointments, the Company and each of Messrs. Weinsten and Truong have entered into the Company’s standard indemnification agreement for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Messrs. Weinsten and Truong were nominated to the Board as designees of Centerbridge pursuant to the terms of the Stockholders Agreement, dated as of July 15, 2020, by and among the Company and the persons and entities listed on the schedules attached thereto (the “Stockholders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Except for any transactions involving Centerbridge described in the Company’s proxy statement relating to its 2025 annual meeting of stockholders, there are no transactions between the Company and Mr. Truong that would be required to be reported under Item 404(a) of Regulation S-K. With respect to Mr. Weinsten, there are no transactions between the Company and Mr. Weinsten that would be required to be reported under Item 404(a)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Director Resignations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19, 2025, Jeremy W. Gelber and Abhiraj Modi, members of the Board, resigned from the Board. Messrs. Gelber and Modi were nominated to the Board as designees of Centerbridge pursuant to the terms of the Stockholders Agreement. Their resignations were not the result of any disagreement with the Company on any matter relating to the Company’s operations, policies or practices.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exhibits are included herewith:</w:t>
      </w:r>
    </w:p>
    <w:p>
      <w:pPr>
        <w:pStyle w:val="TextBody"/>
        <w:bidi w:val="0"/>
        <w:spacing w:before="0" w:after="0"/>
        <w:jc w:val="left"/>
        <w:rPr/>
      </w:pPr>
      <w:r>
        <w:rPr/>
      </w:r>
    </w:p>
    <w:tbl>
      <w:tblPr>
        <w:tblW w:w="6746"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1454"/>
        <w:gridCol w:w="1454"/>
        <w:gridCol w:w="2071"/>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ind w:left="0" w:right="0" w:hanging="26"/>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68" w:before="0" w:after="283"/>
              <w:ind w:left="0" w:right="0" w:hanging="53"/>
              <w:jc w:val="left"/>
              <w:rPr>
                <w:rFonts w:ascii="Arial;sans-serif" w:hAnsi="Arial;sans-serif"/>
                <w:b/>
                <w:color w:val="000000"/>
                <w:sz w:val="18"/>
              </w:rPr>
            </w:pPr>
            <w:r>
              <w:rPr>
                <w:rFonts w:ascii="Arial;sans-serif" w:hAnsi="Arial;sans-serif"/>
                <w:b/>
                <w:color w:val="000000"/>
                <w:sz w:val="18"/>
              </w:rPr>
              <w:t>Description</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98"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250"/>
        <w:gridCol w:w="250"/>
        <w:gridCol w:w="250"/>
        <w:gridCol w:w="685"/>
        <w:gridCol w:w="685"/>
        <w:gridCol w:w="98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GOHEALTH,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19, 2025</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Brendan Shanahan</w:t>
              <w:br/>
              <w:t>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888</Words>
  <Characters>4986</Characters>
  <CharactersWithSpaces>5807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