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42"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15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11/29/2022</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3,833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10.7674</w:t>
            </w:r>
            <w:r>
              <w:rPr>
                <w:rFonts w:ascii="Times New Roman" w:cs="Times New Roman" w:eastAsia="Times New Roman" w:hAnsi="Times New Roman"/>
                <w:sz w:val="22"/>
                <w:szCs w:val="22"/>
                <w:color w:val="008000"/>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3,562,932</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11/29/2022</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48,746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11.5823</w:t>
            </w:r>
            <w:r>
              <w:rPr>
                <w:rFonts w:ascii="Times New Roman" w:cs="Times New Roman" w:eastAsia="Times New Roman" w:hAnsi="Times New Roman"/>
                <w:sz w:val="22"/>
                <w:szCs w:val="22"/>
                <w:color w:val="008000"/>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3,611,678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11/29/2022</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30,785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12.2664</w:t>
            </w:r>
            <w:r>
              <w:rPr>
                <w:rFonts w:ascii="Times New Roman" w:cs="Times New Roman" w:eastAsia="Times New Roman" w:hAnsi="Times New Roman"/>
                <w:sz w:val="22"/>
                <w:szCs w:val="22"/>
                <w:color w:val="008000"/>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3,642,463</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11/30/2022</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15,104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12.7784</w:t>
            </w:r>
            <w:r>
              <w:rPr>
                <w:rFonts w:ascii="Times New Roman" w:cs="Times New Roman" w:eastAsia="Times New Roman" w:hAnsi="Times New Roman"/>
                <w:sz w:val="22"/>
                <w:szCs w:val="22"/>
                <w:color w:val="008000"/>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3,657,567</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11/30/2022</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141,322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13.4986</w:t>
            </w:r>
            <w:r>
              <w:rPr>
                <w:rFonts w:ascii="Times New Roman" w:cs="Times New Roman" w:eastAsia="Times New Roman" w:hAnsi="Times New Roman"/>
                <w:sz w:val="22"/>
                <w:szCs w:val="22"/>
                <w:color w:val="008000"/>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3,798,889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11/30/2022</w:t>
            </w: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28,439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14.3197</w:t>
            </w:r>
            <w:r>
              <w:rPr>
                <w:rFonts w:ascii="Times New Roman" w:cs="Times New Roman" w:eastAsia="Times New Roman" w:hAnsi="Times New Roman"/>
                <w:sz w:val="22"/>
                <w:szCs w:val="22"/>
                <w:color w:val="008000"/>
                <w:vertAlign w:val="superscript"/>
              </w:rPr>
              <w:t>(9)</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3,827,328</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8"/>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20" w:type="dxa"/>
            <w:vAlign w:val="bottom"/>
            <w:gridSpan w:val="15"/>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2"/>
              </w:rPr>
              <w:t>Date</w:t>
            </w:r>
          </w:p>
        </w:tc>
        <w:tc>
          <w:tcPr>
            <w:tcW w:w="120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10152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Centerbridge Associates III, L.P.</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42"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ectPr>
          <w:pgSz w:w="11900" w:h="16838" w:orient="portrait"/>
          <w:cols w:equalWidth="0" w:num="1">
            <w:col w:w="11080"/>
          </w:cols>
          <w:pgMar w:left="460" w:top="219" w:right="359" w:bottom="4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CCP III AIV VII Holdings,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bl>
    <w:p>
      <w:pPr>
        <w:spacing w:after="0" w:line="200" w:lineRule="exact"/>
        <w:rPr>
          <w:sz w:val="20"/>
          <w:szCs w:val="20"/>
          <w:color w:val="auto"/>
        </w:rPr>
      </w:pPr>
    </w:p>
    <w:p>
      <w:pPr>
        <w:sectPr>
          <w:pgSz w:w="11900" w:h="16838"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25" w:right="1440" w:bottom="0" w:gutter="0" w:footer="0" w:header="0"/>
          <w:type w:val="continuous"/>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312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3127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CB Blizzard Lower Holdings GP B,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$10.61 to $10.92.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1,115,131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$11.01 to $11.99.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$12.69.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$12.18 to $12.99.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$13.00 to $13.96.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$14.00 to $14.50.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CB Blizzard Holdings C, L.P. is filing on a separate Form 4.</w:t>
      </w:r>
    </w:p>
    <w:p>
      <w:pPr>
        <w:sectPr>
          <w:pgSz w:w="11900" w:h="16884" w:orient="portrait"/>
          <w:cols w:equalWidth="0" w:num="1">
            <w:col w:w="10900"/>
          </w:cols>
          <w:pgMar w:left="500" w:top="163"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84" w:orient="portrait"/>
          <w:cols w:equalWidth="0" w:num="2">
            <w:col w:w="8640" w:space="100"/>
            <w:col w:w="2160"/>
          </w:cols>
          <w:pgMar w:left="500" w:top="163"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23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6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6"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20" TargetMode="External"/><Relationship Id="rId20" Type="http://schemas.openxmlformats.org/officeDocument/2006/relationships/hyperlink" Target="http://www.sec.gov/cgi-bin/browse-edgar?action=getcompany&amp;CIK=0001425800" TargetMode="External"/><Relationship Id="rId21" Type="http://schemas.openxmlformats.org/officeDocument/2006/relationships/hyperlink" Target="http://www.sec.gov/cgi-bin/browse-edgar?action=getcompany&amp;CIK=0001852144" TargetMode="External"/><Relationship Id="rId22"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2022-12-01T15:39:27Z</dcterms:created>
  <dcterms:modified xsi:type="dcterms:W3CDTF">2022-12-01T15:39:27Z</dcterms:modified>
</cp:coreProperties>
</file>