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8, 2021</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GoHealth, Inc.</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$0.0001 par value per share</w:t>
            </w: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1294765</wp:posOffset>
            </wp:positionH>
            <wp:positionV relativeFrom="paragraph">
              <wp:posOffset>-75565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3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On March 8, 2021, GoHealth, Inc. issued a press release announcing its financial results for the quarter and year ended December 31, 2020. A copy of the press release is furnished as Exhibit 99.1 to this Current Report on Form 8-K.</w:t>
      </w:r>
    </w:p>
    <w:p>
      <w:pPr>
        <w:spacing w:after="0" w:line="8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9860" w:type="dxa"/>
            <w:vAlign w:val="bottom"/>
          </w:tcPr>
          <w:p>
            <w:pPr>
              <w:ind w:left="20"/>
              <w:spacing w:after="0"/>
              <w:rPr>
                <w:sz w:val="20"/>
                <w:szCs w:val="20"/>
                <w:color w:val="auto"/>
              </w:rPr>
            </w:pPr>
            <w:r>
              <w:rPr>
                <w:rFonts w:ascii="Arial" w:cs="Arial" w:eastAsia="Arial" w:hAnsi="Arial"/>
                <w:sz w:val="16"/>
                <w:szCs w:val="16"/>
                <w:b w:val="1"/>
                <w:bCs w:val="1"/>
                <w:color w:val="auto"/>
              </w:rPr>
              <w:t>Exhibit Description</w:t>
            </w:r>
          </w:p>
        </w:tc>
      </w:tr>
      <w:tr>
        <w:trPr>
          <w:trHeight w:val="206"/>
        </w:trPr>
        <w:tc>
          <w:tcPr>
            <w:tcW w:w="13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7"/>
                <w:szCs w:val="17"/>
                <w:color w:val="auto"/>
              </w:rPr>
            </w:pPr>
          </w:p>
        </w:tc>
        <w:tc>
          <w:tcPr>
            <w:tcW w:w="9860" w:type="dxa"/>
            <w:vAlign w:val="bottom"/>
            <w:tcBorders>
              <w:top w:val="single" w:sz="8" w:color="auto"/>
            </w:tcBorders>
          </w:tcPr>
          <w:p>
            <w:pPr>
              <w:ind w:left="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Press release, dated March 8, 2021</w:t>
              </w:r>
            </w:hyperlink>
          </w:p>
        </w:tc>
      </w:tr>
      <w:tr>
        <w:trPr>
          <w:trHeight w:val="216"/>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85"/>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8, 2021</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A2299"/>
        </w:rPr>
        <w:t>GoHealth Reports Fourth Quarter and Fiscal 2020 Results</w:t>
      </w:r>
    </w:p>
    <w:p>
      <w:pPr>
        <w:ind w:left="20"/>
        <w:spacing w:after="0"/>
        <w:rPr>
          <w:sz w:val="20"/>
          <w:szCs w:val="20"/>
          <w:color w:val="auto"/>
        </w:rPr>
      </w:pPr>
      <w:r>
        <w:rPr>
          <w:rFonts w:ascii="Arial" w:cs="Arial" w:eastAsia="Arial" w:hAnsi="Arial"/>
          <w:sz w:val="22"/>
          <w:szCs w:val="22"/>
          <w:b w:val="1"/>
          <w:bCs w:val="1"/>
          <w:color w:val="6D6D6D"/>
        </w:rPr>
        <w:t>Expects Continued Strong Growth in 2021</w:t>
      </w:r>
    </w:p>
    <w:p>
      <w:pPr>
        <w:spacing w:after="0" w:line="200" w:lineRule="exact"/>
        <w:rPr>
          <w:sz w:val="20"/>
          <w:szCs w:val="20"/>
          <w:color w:val="auto"/>
        </w:rPr>
      </w:pPr>
    </w:p>
    <w:p>
      <w:pPr>
        <w:spacing w:after="0" w:line="228"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i w:val="1"/>
          <w:iCs w:val="1"/>
          <w:color w:val="auto"/>
        </w:rPr>
        <w:t xml:space="preserve">CHICAGO, March 8, 2021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financial results for the three and twelve months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60960</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59" w:lineRule="exact"/>
        <w:rPr>
          <w:sz w:val="20"/>
          <w:szCs w:val="20"/>
          <w:color w:val="auto"/>
        </w:rPr>
      </w:pPr>
    </w:p>
    <w:p>
      <w:pPr>
        <w:ind w:left="560" w:right="400"/>
        <w:spacing w:after="0" w:line="232" w:lineRule="auto"/>
        <w:rPr>
          <w:sz w:val="20"/>
          <w:szCs w:val="20"/>
          <w:color w:val="auto"/>
        </w:rPr>
      </w:pPr>
      <w:r>
        <w:rPr>
          <w:rFonts w:ascii="Arial" w:cs="Arial" w:eastAsia="Arial" w:hAnsi="Arial"/>
          <w:sz w:val="16"/>
          <w:szCs w:val="16"/>
          <w:color w:val="auto"/>
        </w:rPr>
        <w:t>Fourth quarter 2020 net revenue of $445.9 million increased 55% compared to the prior year period, and fiscal year 2020 net revenue of $877.4 million increased 63%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1" w:lineRule="exact"/>
        <w:rPr>
          <w:sz w:val="20"/>
          <w:szCs w:val="20"/>
          <w:color w:val="auto"/>
        </w:rPr>
      </w:pPr>
    </w:p>
    <w:p>
      <w:pPr>
        <w:ind w:left="560" w:right="40"/>
        <w:spacing w:after="0" w:line="232" w:lineRule="auto"/>
        <w:rPr>
          <w:sz w:val="20"/>
          <w:szCs w:val="20"/>
          <w:color w:val="auto"/>
        </w:rPr>
      </w:pPr>
      <w:r>
        <w:rPr>
          <w:rFonts w:ascii="Arial" w:cs="Arial" w:eastAsia="Arial" w:hAnsi="Arial"/>
          <w:sz w:val="16"/>
          <w:szCs w:val="16"/>
          <w:color w:val="auto"/>
        </w:rPr>
        <w:t>Fourth quarter 2020 Medicare Advantage (MA) Submitted Policies of 330,604 increased 58% compared to the prior year period, and fiscal year 2020 MA Submitted Policies of 644,669 increased 81%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191" w:lineRule="exact"/>
        <w:rPr>
          <w:sz w:val="20"/>
          <w:szCs w:val="20"/>
          <w:color w:val="auto"/>
        </w:rPr>
      </w:pPr>
    </w:p>
    <w:p>
      <w:pPr>
        <w:ind w:left="560" w:right="160"/>
        <w:spacing w:after="0" w:line="232" w:lineRule="auto"/>
        <w:rPr>
          <w:sz w:val="20"/>
          <w:szCs w:val="20"/>
          <w:color w:val="auto"/>
        </w:rPr>
      </w:pPr>
      <w:r>
        <w:rPr>
          <w:rFonts w:ascii="Arial" w:cs="Arial" w:eastAsia="Arial" w:hAnsi="Arial"/>
          <w:sz w:val="16"/>
          <w:szCs w:val="16"/>
          <w:color w:val="auto"/>
        </w:rPr>
        <w:t>Fourth quarter 2020 LTV per carrier Approved MA Submission of $1,073 increased 5% compared to the prior year period, and fiscal year 2020 LTV per carrier Approved MA Submission of $995 increased 3%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970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178" w:lineRule="exact"/>
        <w:rPr>
          <w:sz w:val="20"/>
          <w:szCs w:val="20"/>
          <w:color w:val="auto"/>
        </w:rPr>
      </w:pPr>
    </w:p>
    <w:p>
      <w:pPr>
        <w:ind w:left="560" w:right="360"/>
        <w:spacing w:after="0" w:line="242" w:lineRule="auto"/>
        <w:rPr>
          <w:sz w:val="20"/>
          <w:szCs w:val="20"/>
          <w:color w:val="auto"/>
        </w:rPr>
      </w:pPr>
      <w:r>
        <w:rPr>
          <w:rFonts w:ascii="Arial" w:cs="Arial" w:eastAsia="Arial" w:hAnsi="Arial"/>
          <w:sz w:val="16"/>
          <w:szCs w:val="16"/>
          <w:color w:val="auto"/>
        </w:rPr>
        <w:t>Fourth quarter 2020 net income of $133.1 million and fiscal year 2020 net loss of $97.2 million (including $209.3 million of accelerated vesting of certain equity awards in connection with the IPO</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34925</wp:posOffset>
            </wp:positionV>
            <wp:extent cx="17970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102" w:lineRule="exact"/>
        <w:rPr>
          <w:sz w:val="20"/>
          <w:szCs w:val="20"/>
          <w:color w:val="auto"/>
        </w:rPr>
      </w:pPr>
    </w:p>
    <w:p>
      <w:pPr>
        <w:ind w:left="560" w:right="100"/>
        <w:spacing w:after="0" w:line="202" w:lineRule="auto"/>
        <w:rPr>
          <w:sz w:val="20"/>
          <w:szCs w:val="20"/>
          <w:color w:val="auto"/>
        </w:rPr>
      </w:pPr>
      <w:r>
        <w:rPr>
          <w:rFonts w:ascii="Arial" w:cs="Arial" w:eastAsia="Arial" w:hAnsi="Arial"/>
          <w:sz w:val="16"/>
          <w:szCs w:val="16"/>
          <w:color w:val="auto"/>
        </w:rPr>
        <w:t>Fourth quarter 2020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$169.9 million increased 31% compared to the prior year period, and fiscal year 2020 adjusted EBITDA of $271.0 million increased 59%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81915</wp:posOffset>
            </wp:positionV>
            <wp:extent cx="17970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178" w:lineRule="exact"/>
        <w:rPr>
          <w:sz w:val="20"/>
          <w:szCs w:val="20"/>
          <w:color w:val="auto"/>
        </w:rPr>
      </w:pPr>
    </w:p>
    <w:p>
      <w:pPr>
        <w:ind w:left="560" w:right="120"/>
        <w:spacing w:after="0" w:line="232" w:lineRule="auto"/>
        <w:rPr>
          <w:sz w:val="20"/>
          <w:szCs w:val="20"/>
          <w:color w:val="auto"/>
        </w:rPr>
      </w:pPr>
      <w:r>
        <w:rPr>
          <w:rFonts w:ascii="Arial" w:cs="Arial" w:eastAsia="Arial" w:hAnsi="Arial"/>
          <w:sz w:val="16"/>
          <w:szCs w:val="16"/>
          <w:color w:val="auto"/>
        </w:rPr>
        <w:t>The Company provided its full year 2021 outlook, and expects total net revenue of $1,150 - $1,300 million (+31% to +48%) powered by commission revenue of $950 - $1,100 million (+42% to +64%). The company also expects adjusted EBITDA of $345 - $385 million (+27% to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40575" cy="1491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4916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0" w:right="80"/>
        <w:spacing w:after="0" w:line="221" w:lineRule="auto"/>
        <w:rPr>
          <w:sz w:val="20"/>
          <w:szCs w:val="20"/>
          <w:color w:val="auto"/>
        </w:rPr>
      </w:pPr>
      <w:r>
        <w:rPr>
          <w:rFonts w:ascii="Arial" w:cs="Arial" w:eastAsia="Arial" w:hAnsi="Arial"/>
          <w:sz w:val="16"/>
          <w:szCs w:val="16"/>
          <w:color w:val="auto"/>
        </w:rPr>
        <w:t>Clint Jones, co-founder and CEO said, “GoHealth’s fourth quarter revenue growth of 55% was driven by 75% revenue growth in our Internal Medicare segment, including LTV expansion of 5%. These excellent top-line results reflect the great work of our agent force and a continuation of the strong full year trends where we grew revenue 63%, powered by a doubling of Internal Medicare revenue and leading to top-tier adjusted EBITDA margins of 31%. We continue to see strong consumer demand for our services, particularly around education, transparency and choice when evaluating their Medicare options.”</w:t>
      </w:r>
    </w:p>
    <w:p>
      <w:pPr>
        <w:spacing w:after="0" w:line="186" w:lineRule="exact"/>
        <w:rPr>
          <w:sz w:val="20"/>
          <w:szCs w:val="20"/>
          <w:color w:val="auto"/>
        </w:rPr>
      </w:pPr>
    </w:p>
    <w:p>
      <w:pPr>
        <w:ind w:left="40" w:right="60"/>
        <w:spacing w:after="0" w:line="218" w:lineRule="auto"/>
        <w:rPr>
          <w:sz w:val="20"/>
          <w:szCs w:val="20"/>
          <w:color w:val="auto"/>
        </w:rPr>
      </w:pPr>
      <w:r>
        <w:rPr>
          <w:rFonts w:ascii="Arial" w:cs="Arial" w:eastAsia="Arial" w:hAnsi="Arial"/>
          <w:sz w:val="16"/>
          <w:szCs w:val="16"/>
          <w:color w:val="auto"/>
        </w:rPr>
        <w:t>Jones continued, “We are the largest and most profitable DTC Medicare enroller with 730,000 submissions in 2020, and with 75 million potential customers, we have a long runway for growth. Our tech-enabled telesales agents are able to help consumers shop for the right plan to fit their unique needs, and do so from the safety and comfort of their homes. Given the abundant opportunities in a fast-growing Medicare market, we are accelerating investments in our leadership position in 2021, including hiring more agents earlier in the year, and providing them with enhanced training and technology tools to deliver high-quality submissions with greater efficiency. We believe that these investments in our platform will help drive over 50% commissionable revenue growth in 2021, and position us for sustained growth in 2022 and beyond.”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2020 Highlights</w:t>
      </w:r>
    </w:p>
    <w:p>
      <w:pPr>
        <w:spacing w:after="0" w:line="13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company revenue grew 63% to $877.4 million</w:t>
      </w:r>
    </w:p>
    <w:p>
      <w:pPr>
        <w:spacing w:after="0" w:line="110"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Medicare Submitted Policies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grew 71% during 2020 to 729,912</w:t>
      </w:r>
    </w:p>
    <w:p>
      <w:pPr>
        <w:spacing w:after="0" w:line="5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Medicare—Internal revenue increased 110% to $667.3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Medicare—Internal segment profit increased 79% to $296.9 million, with a 44% margin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grew 59% to $271.0 million, resulting in full-year adjusted EBITDA margins of 31%</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LTV per carrier Approved MA Submission increased 3% to $995 during 2020</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Grew commissions receivable balance by $427.5 million (+112%) in 2020 to $810.4 million</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Fourth Quarter AEP Highlights</w:t>
      </w:r>
    </w:p>
    <w:p>
      <w:pPr>
        <w:spacing w:after="0" w:line="13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company revenue grew 55% to $445.9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Medicare Submitted Policies grew 48% during the fourth quarter to 374,359</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Medicare—Internal revenue increased 75% to $351.1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Medicare—Internal segment profit increased 40% to $172.9 million, with a 49% margin</w:t>
      </w:r>
    </w:p>
    <w:p>
      <w:pPr>
        <w:spacing w:after="0" w:line="113" w:lineRule="exact"/>
        <w:rPr>
          <w:rFonts w:ascii="Arial" w:cs="Arial" w:eastAsia="Arial" w:hAnsi="Arial"/>
          <w:sz w:val="16"/>
          <w:szCs w:val="16"/>
          <w:color w:val="auto"/>
        </w:rPr>
      </w:pPr>
    </w:p>
    <w:p>
      <w:pPr>
        <w:ind w:left="660" w:right="2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grew 31% to $169.9 million, resulting in adjusted EBITDA margins of 38% as the company invested in internal lead generation and agent initiatives to drive persistency improvements</w:t>
      </w:r>
    </w:p>
    <w:p>
      <w:pPr>
        <w:spacing w:after="0" w:line="87"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LTV per carrier Approved MA Submission increased 5% to $1,073 during the fourth quarter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2021 Financial Outlook</w:t>
      </w:r>
    </w:p>
    <w:p>
      <w:pPr>
        <w:spacing w:after="0" w:line="133"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trajectory of the US economy remains challenging to predict, particularly given the continued uncertainty associated with the pace of recovery from the COVID-19 pandemic. During this time, demand for healthcare has demonstrated great resilience, and we believe that the COVID-19 pandemic has created favorable, long-term industry dynamics for technology-driven, direct-to-consumer models such as GoHealth’s insurance marketplace.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provided its financial outlook for the fiscal year ending December 31, 2021 based on current market conditions and expectations:</w:t>
      </w:r>
    </w:p>
    <w:p>
      <w:pPr>
        <w:spacing w:after="0" w:line="9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net revenue of $1,150 - $1,300 million, representing year-over-year growth of 31% - 48%</w:t>
      </w:r>
    </w:p>
    <w:p>
      <w:pPr>
        <w:spacing w:after="0" w:line="113" w:lineRule="exact"/>
        <w:rPr>
          <w:rFonts w:ascii="Arial" w:cs="Arial" w:eastAsia="Arial" w:hAnsi="Arial"/>
          <w:sz w:val="16"/>
          <w:szCs w:val="16"/>
          <w:b w:val="1"/>
          <w:bCs w:val="1"/>
          <w:i w:val="1"/>
          <w:iCs w:val="1"/>
          <w:color w:val="auto"/>
        </w:rPr>
      </w:pPr>
    </w:p>
    <w:p>
      <w:pPr>
        <w:ind w:left="1300" w:right="460" w:hanging="320"/>
        <w:spacing w:after="0" w:line="286" w:lineRule="auto"/>
        <w:tabs>
          <w:tab w:leader="none" w:pos="1290" w:val="left"/>
        </w:tabs>
        <w:numPr>
          <w:ilvl w:val="1"/>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commission revenue of $950 - $1,100 million, representing year-over-year growth of 42% - 64%, fueled by the Company’s continued investment in its Medicare business</w:t>
      </w:r>
    </w:p>
    <w:p>
      <w:pPr>
        <w:spacing w:after="0" w:line="47"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adjusted EBITDA of $345 - $385 million, representing year-over-year growth of 27% - 42%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Conference Call Details</w:t>
      </w:r>
    </w:p>
    <w:p>
      <w:pPr>
        <w:spacing w:after="0" w:line="66"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 Company will host a conference call today, Monday, March 8, 2021 at 5:00 p.m. (ET) to discuss its financial results. A live audio webcast and a supplemental presentation will be available online at https://investors.gohealth.com. The conference call can also be accessed by dialing 1-833-519-1310 for U.S. participants, or 1-914-800-3876 for international participants, and referencing participant code 6590925. A replay of the call will be available for 30 days via webcast for on-demand listening shortly after the completion of the call, at the same web link.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66"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Since its inception, GoHealth has enrolled millions of people in Medicare and individual and family plans. For more information, visit https://www.gohealth.com.</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Jay Koval, VP of Investor Relations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336" w:lineRule="exact"/>
        <w:rPr>
          <w:sz w:val="20"/>
          <w:szCs w:val="20"/>
          <w:color w:val="auto"/>
        </w:rPr>
      </w:pPr>
    </w:p>
    <w:p>
      <w:pPr>
        <w:ind w:left="340" w:right="140" w:hanging="332"/>
        <w:spacing w:after="0" w:line="248" w:lineRule="auto"/>
        <w:tabs>
          <w:tab w:leader="none" w:pos="332"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the accelerated vesting of performance-vesting units in connection with the IPO for the twelve months ended December 31, 2020.</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refer to the appendix.</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Total Medicare Advantage Submitted Policies includes Commissionable and non-Commissionable Policies.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fiscal year 2021 and first quarter of 2021, including with respect to revenue and Adjusted EBITDA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are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relationships; failure to grow the Company’s customer base or retain its existing customers;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and our ability to successfully implement our business plan during a global economic downturn caused by the COVID-19 pandemic.</w:t>
      </w:r>
    </w:p>
    <w:p>
      <w:pPr>
        <w:spacing w:after="0" w:line="10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Quarterly Report on Form 10-Q for the third quarter ended September 30, 2020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time-to-time,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9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Adjusted EBITDA represents EBITDA as further adjusted for share-based compensation, expense related to the accelerated vesting of certain equity awards, change in fair value of contingent consideration liability, Centerbridge Acquisition costs, severance costs and one time indirect costs in connection with our IPO. Adjusted EBITDA margin represents Adjusted EBITDA divided by net revenues.</w:t>
      </w:r>
    </w:p>
    <w:p>
      <w:pPr>
        <w:spacing w:after="0" w:line="9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9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77" w:right="339" w:bottom="1440" w:gutter="0" w:footer="0" w:header="0"/>
        </w:sectPr>
      </w:pPr>
    </w:p>
    <w:bookmarkStart w:id="7" w:name="page8"/>
    <w:bookmarkEnd w:id="7"/>
    <w:p>
      <w:pPr>
        <w:ind w:right="200"/>
        <w:spacing w:after="0" w:line="260" w:lineRule="auto"/>
        <w:rPr>
          <w:sz w:val="20"/>
          <w:szCs w:val="20"/>
          <w:color w:val="auto"/>
        </w:rPr>
      </w:pPr>
      <w:r>
        <w:rPr>
          <w:rFonts w:ascii="Arial" w:cs="Arial" w:eastAsia="Arial" w:hAnsi="Arial"/>
          <w:sz w:val="16"/>
          <w:szCs w:val="16"/>
          <w:color w:val="auto"/>
        </w:rPr>
        <w:t>future periods, we may exclude similar items, may incur income and expenses similar to these excluded items and include other expenses, costs and non-recurring items.</w:t>
      </w:r>
    </w:p>
    <w:p>
      <w:pPr>
        <w:spacing w:after="0" w:line="8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Management has provided its outlook regarding adjusted EBITDA, which is a non-GAAP financial measure and excludes certain charges. Management has not reconciled these non-GAAP financial measures to the corresponding GAAP financial measures because guidance for the various reconciling items are not provided. Management is unable to provide guidance for these reconciling items because we cannot determine their probable significance, as certain items are outside of our control and cannot be reasonably predicted since these items could vary significantly from period to period. Accordingly, reconciliations to the corresponding GAAP financial measures are not available without unreasonable effort.</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“LTV/CAC”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 “Approved Submissions” refer to Submitted Policies approved by carriers for the identified product during the indicated period. “LTV Per Approved Submission”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Combined Results</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On September 13, 2019, Centerbridge Capital Partners III, L.P., indirectly through a subsidiary of GoHealth Holdings, LLC, (formerly known as Blizzard Parent, LLC), an entity formed in contemplation of the acquisition, acquired a 100% interest in Norvax, LLC. We refer to this transaction as the “Centerbridge Acquisition.” As a result of the Centerbridge Acquisition, the Company’s financial results for the year ended December 31, 2019 are presented for two periods, the Predecessor 2019 Period and Successor 2019 Period, which relate to the period preceding the acquisition on September 13, 2019 and the period succeeding the acquisition, respectively. The Company’s financial results for the period from January 1, 2019 through September 12, 2019 are referred to as those of the “Predecessor 2019 Period”. The Company’s financial results for the period from September 13, 2019 through December 31, 2019 are referred to as those of the “Successor 2019 Period”. The Company’s results of operations as reported in our Consolidated Financial Statements for these periods are prepared in accordance with GAAP. Although GAAP requires that we report on the Company’s results for the period from January 1, 2019 through September 12, 2019 and the period from September 13, 2019 through December 31, 2019 separately, management views the Company’s operating results for the year ended December 31, 2019 by combining the results of the applicable Predecessor 2019 Period and Successor 2019 Period because such presentation provides the most meaningful comparison to its results for the year ended December 31, 2020.</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 cannot adequately benchmark the operating results of the period from September 13, 2019 through December 31, 2019 against any of the current periods reported in its Consolidated Financial Statements without combining it with the period from January 1, 2019 through September 12, 2019 and does not believe that reviewing the results of this period in isolation would be useful in identifying trends in or reaching conclusions regarding the Company’s overall operating performance. Management believes that the key performance metrics such as revenue, net (loss) income and Adjusted EBITDA for the Successor period when combined with the Predecessor period provides more meaningful comparisons to other periods and are useful in identifying current business trends. Accordingly, in addition to presenting the Company’s results of operations as reported in our Consolidated Financial Statements in accordance with GAAP, the tables and discussion throughout this press release also present the combined results for the year ended December 31, 2019.</w:t>
      </w:r>
    </w:p>
    <w:p>
      <w:pPr>
        <w:spacing w:after="0" w:line="1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combined results for the year ended December 31, 2019, which we refer to herein as the results for the “year ended December 31, 2019” represent the sum of the reported amounts for the Predecessor 2019 Period from January 1, 2019 through September 12, 2019 and the Successor 2019 Period from September 13, 2019 through December 31, 2019. The combined results do not reflect the actual results the Company would have achieved had the Centerbridge Acquisition occurred on January 1, 2019 and may not be indicative of future results. These combined results are not considered to be prepared in accordance with GAAP and have not been prepared on a pro forma basis, which would reflect pro forma adjustments including, but not limited to: amortization expense for intangible assets, share-based compensation expense related to the Centerbridge Acquisition and the IPO, and transaction-related costs related to the Centerbridge Acquisition and the IPO.</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7"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50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99"/>
              </w:rPr>
              <w:t>Three months ended Dec. 31, 2020</w:t>
            </w:r>
          </w:p>
        </w:tc>
        <w:tc>
          <w:tcPr>
            <w:tcW w:w="8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rPr>
              <w:t>Three months ended Dec. 31,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0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Revenues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360,634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80.9 %</w:t>
            </w:r>
          </w:p>
        </w:tc>
        <w:tc>
          <w:tcPr>
            <w:tcW w:w="4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229,624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79.5 %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131,010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57.1 %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85,289</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19.1 %</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59,077</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26,212</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445,923</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288,701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157,222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54.5 %</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94,682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21.2 %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85,648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9,034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10.5 %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96,309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17,671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78,638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445.0 %</w:t>
            </w:r>
          </w:p>
        </w:tc>
        <w:tc>
          <w:tcPr>
            <w:tcW w:w="0" w:type="dxa"/>
            <w:vAlign w:val="bottom"/>
          </w:tcPr>
          <w:p>
            <w:pPr>
              <w:spacing w:after="0"/>
              <w:rPr>
                <w:sz w:val="1"/>
                <w:szCs w:val="1"/>
                <w:color w:val="auto"/>
              </w:rPr>
            </w:pPr>
          </w:p>
        </w:tc>
      </w:tr>
      <w:tr>
        <w:trPr>
          <w:trHeight w:val="167"/>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60,229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13.5 %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39,731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20,498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51.6 %</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9,530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5,488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19,828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11,388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8,440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74.1 %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70,700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9"/>
        </w:trPr>
        <w:tc>
          <w:tcPr>
            <w:tcW w:w="45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304,092</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68.2 %</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254,140</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88.0 %</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49,952</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19.7 %</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Arial" w:cs="Arial" w:eastAsia="Arial" w:hAnsi="Arial"/>
                <w:sz w:val="13"/>
                <w:szCs w:val="13"/>
                <w:color w:val="auto"/>
              </w:rPr>
              <w:t>Income from operations</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141,831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31.8 %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34,561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107,270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310.4 %</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8,591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6,787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26.6 %</w:t>
            </w:r>
          </w:p>
        </w:tc>
        <w:tc>
          <w:tcPr>
            <w:tcW w:w="0" w:type="dxa"/>
            <w:vAlign w:val="bottom"/>
          </w:tcPr>
          <w:p>
            <w:pPr>
              <w:spacing w:after="0"/>
              <w:rPr>
                <w:sz w:val="1"/>
                <w:szCs w:val="1"/>
                <w:color w:val="auto"/>
              </w:rPr>
            </w:pPr>
          </w:p>
        </w:tc>
      </w:tr>
      <w:tr>
        <w:trPr>
          <w:trHeight w:val="169"/>
        </w:trPr>
        <w:tc>
          <w:tcPr>
            <w:tcW w:w="450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133,105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29.8 %</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27,782</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105,323</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379.1 %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(93.9)%</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133,100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29.8 %</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27,700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97,143</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21.8 %</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CCEEFF"/>
            </w:tcBorders>
          </w:tcPr>
          <w:p>
            <w:pPr>
              <w:spacing w:after="0"/>
              <w:rPr>
                <w:sz w:val="14"/>
                <w:szCs w:val="14"/>
                <w:color w:val="auto"/>
              </w:rPr>
            </w:pPr>
          </w:p>
        </w:tc>
        <w:tc>
          <w:tcPr>
            <w:tcW w:w="8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35,957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8.1 %</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common stock — basic</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0.43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diluted (1)</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shares of common stock outstanding — basic</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84,194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Weighted-average shares of common stock outstanding — diluted</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321,191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EBITDA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166,806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58,512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169,889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129,782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38.1 %</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45.0 %</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ind w:left="340" w:right="100" w:hanging="332"/>
        <w:spacing w:after="0" w:line="230" w:lineRule="auto"/>
        <w:tabs>
          <w:tab w:leader="none" w:pos="332"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Net income per share of common stock - diluted of $0.41 is calculated by dividing net income of $133.1 million, which considers the reallocation of earnings after the assumed conversion of Class B Common Stock for Class A Common Stock, by the weighted-average shares of common stock outstanding - diluted of 321,191.</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8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2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Successor</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Predecessor</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3"/>
                <w:szCs w:val="13"/>
                <w:b w:val="1"/>
                <w:bCs w:val="1"/>
                <w:color w:val="auto"/>
                <w:w w:val="96"/>
              </w:rPr>
              <w:t>Non-GAAP Combined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gridSpan w:val="4"/>
            <w:vMerge w:val="restart"/>
          </w:tcPr>
          <w:p>
            <w:pPr>
              <w:jc w:val="center"/>
              <w:ind w:right="57"/>
              <w:spacing w:after="0"/>
              <w:rPr>
                <w:sz w:val="20"/>
                <w:szCs w:val="20"/>
                <w:color w:val="auto"/>
              </w:rPr>
            </w:pPr>
            <w:r>
              <w:rPr>
                <w:rFonts w:ascii="Arial" w:cs="Arial" w:eastAsia="Arial" w:hAnsi="Arial"/>
                <w:sz w:val="13"/>
                <w:szCs w:val="13"/>
                <w:b w:val="1"/>
                <w:bCs w:val="1"/>
                <w:color w:val="auto"/>
                <w:w w:val="96"/>
              </w:rPr>
              <w:t>Twelve months ended Dec. 31,</w:t>
            </w:r>
          </w:p>
        </w:tc>
        <w:tc>
          <w:tcPr>
            <w:tcW w:w="100" w:type="dxa"/>
            <w:vAlign w:val="bottom"/>
          </w:tcPr>
          <w:p>
            <w:pPr>
              <w:spacing w:after="0"/>
              <w:rPr>
                <w:sz w:val="23"/>
                <w:szCs w:val="23"/>
                <w:color w:val="auto"/>
              </w:rPr>
            </w:pPr>
          </w:p>
        </w:tc>
        <w:tc>
          <w:tcPr>
            <w:tcW w:w="12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6"/>
              </w:rPr>
              <w:t>Period from Sep.</w:t>
            </w: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Period from Jan.</w:t>
            </w:r>
          </w:p>
        </w:tc>
        <w:tc>
          <w:tcPr>
            <w:tcW w:w="140" w:type="dxa"/>
            <w:vAlign w:val="bottom"/>
          </w:tcPr>
          <w:p>
            <w:pPr>
              <w:spacing w:after="0"/>
              <w:rPr>
                <w:sz w:val="23"/>
                <w:szCs w:val="23"/>
                <w:color w:val="auto"/>
              </w:rPr>
            </w:pPr>
          </w:p>
        </w:tc>
        <w:tc>
          <w:tcPr>
            <w:tcW w:w="210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w w:val="95"/>
              </w:rPr>
              <w:t>Twelve months ended Dec. 31,</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right w:val="single" w:sz="8" w:color="auto"/>
            </w:tcBorders>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96"/>
              </w:rPr>
              <w:t>13, 2019 through</w:t>
            </w:r>
          </w:p>
        </w:tc>
        <w:tc>
          <w:tcPr>
            <w:tcW w:w="80" w:type="dxa"/>
            <w:vAlign w:val="bottom"/>
          </w:tcPr>
          <w:p>
            <w:pPr>
              <w:spacing w:after="0"/>
              <w:rPr>
                <w:sz w:val="10"/>
                <w:szCs w:val="10"/>
                <w:color w:val="auto"/>
              </w:rPr>
            </w:pPr>
          </w:p>
        </w:tc>
        <w:tc>
          <w:tcPr>
            <w:tcW w:w="11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1, 2019 through</w:t>
            </w:r>
          </w:p>
        </w:tc>
        <w:tc>
          <w:tcPr>
            <w:tcW w:w="140" w:type="dxa"/>
            <w:vAlign w:val="bottom"/>
          </w:tcPr>
          <w:p>
            <w:pPr>
              <w:spacing w:after="0"/>
              <w:rPr>
                <w:sz w:val="10"/>
                <w:szCs w:val="10"/>
                <w:color w:val="auto"/>
              </w:rPr>
            </w:pPr>
          </w:p>
        </w:tc>
        <w:tc>
          <w:tcPr>
            <w:tcW w:w="21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Dec. 31, 2019</w:t>
            </w:r>
          </w:p>
        </w:tc>
        <w:tc>
          <w:tcPr>
            <w:tcW w:w="1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Sep. 12, 2019</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3"/>
                <w:szCs w:val="13"/>
                <w:b w:val="1"/>
                <w:bCs w:val="1"/>
                <w:color w:val="auto"/>
                <w:w w:val="96"/>
              </w:rPr>
              <w:t>2019</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280" w:type="dxa"/>
            <w:vAlign w:val="bottom"/>
          </w:tcPr>
          <w:p>
            <w:pPr>
              <w:ind w:left="20"/>
              <w:spacing w:after="0" w:line="133" w:lineRule="exact"/>
              <w:rPr>
                <w:sz w:val="20"/>
                <w:szCs w:val="20"/>
                <w:color w:val="auto"/>
              </w:rPr>
            </w:pPr>
            <w:r>
              <w:rPr>
                <w:rFonts w:ascii="Arial" w:cs="Arial" w:eastAsia="Arial" w:hAnsi="Arial"/>
                <w:sz w:val="13"/>
                <w:szCs w:val="13"/>
                <w:color w:val="auto"/>
              </w:rPr>
              <w:t>(in thousands, except percentages</w:t>
            </w:r>
          </w:p>
        </w:tc>
        <w:tc>
          <w:tcPr>
            <w:tcW w:w="140" w:type="dxa"/>
            <w:vAlign w:val="bottom"/>
          </w:tcPr>
          <w:p>
            <w:pPr>
              <w:spacing w:after="0"/>
              <w:rPr>
                <w:sz w:val="11"/>
                <w:szCs w:val="11"/>
                <w:color w:val="auto"/>
              </w:rPr>
            </w:pPr>
          </w:p>
        </w:tc>
        <w:tc>
          <w:tcPr>
            <w:tcW w:w="116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Dollars</w:t>
            </w:r>
          </w:p>
        </w:tc>
        <w:tc>
          <w:tcPr>
            <w:tcW w:w="860" w:type="dxa"/>
            <w:vAlign w:val="bottom"/>
          </w:tcPr>
          <w:p>
            <w:pPr>
              <w:jc w:val="center"/>
              <w:ind w:right="17"/>
              <w:spacing w:after="0" w:line="133"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Dollars</w:t>
            </w:r>
          </w:p>
        </w:tc>
        <w:tc>
          <w:tcPr>
            <w:tcW w:w="80" w:type="dxa"/>
            <w:vAlign w:val="bottom"/>
          </w:tcPr>
          <w:p>
            <w:pPr>
              <w:spacing w:after="0"/>
              <w:rPr>
                <w:sz w:val="11"/>
                <w:szCs w:val="11"/>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9"/>
              </w:rPr>
              <w:t>Dollars</w:t>
            </w:r>
          </w:p>
        </w:tc>
        <w:tc>
          <w:tcPr>
            <w:tcW w:w="140" w:type="dxa"/>
            <w:vAlign w:val="bottom"/>
          </w:tcPr>
          <w:p>
            <w:pPr>
              <w:spacing w:after="0"/>
              <w:rPr>
                <w:sz w:val="11"/>
                <w:szCs w:val="11"/>
                <w:color w:val="auto"/>
              </w:rPr>
            </w:pPr>
          </w:p>
        </w:tc>
        <w:tc>
          <w:tcPr>
            <w:tcW w:w="116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Dollars</w:t>
            </w:r>
          </w:p>
        </w:tc>
        <w:tc>
          <w:tcPr>
            <w:tcW w:w="94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99"/>
              </w:rPr>
              <w:t>% of Net</w:t>
            </w: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2280" w:type="dxa"/>
            <w:vAlign w:val="bottom"/>
          </w:tcPr>
          <w:p>
            <w:pPr>
              <w:ind w:left="20"/>
              <w:spacing w:after="0"/>
              <w:rPr>
                <w:sz w:val="20"/>
                <w:szCs w:val="20"/>
                <w:color w:val="auto"/>
              </w:rPr>
            </w:pPr>
            <w:r>
              <w:rPr>
                <w:rFonts w:ascii="Arial" w:cs="Arial" w:eastAsia="Arial" w:hAnsi="Arial"/>
                <w:sz w:val="13"/>
                <w:szCs w:val="13"/>
                <w:color w:val="auto"/>
              </w:rPr>
              <w:t>and per share amounts)</w:t>
            </w:r>
          </w:p>
        </w:tc>
        <w:tc>
          <w:tcPr>
            <w:tcW w:w="1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Revenues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671,140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76.5 %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243,347</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175,834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419,181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77.7 %</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251,959</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60.1 %</w:t>
            </w:r>
          </w:p>
        </w:tc>
        <w:tc>
          <w:tcPr>
            <w:tcW w:w="0" w:type="dxa"/>
            <w:vAlign w:val="bottom"/>
          </w:tcPr>
          <w:p>
            <w:pPr>
              <w:spacing w:after="0"/>
              <w:rPr>
                <w:sz w:val="1"/>
                <w:szCs w:val="1"/>
                <w:color w:val="auto"/>
              </w:rPr>
            </w:pPr>
          </w:p>
        </w:tc>
      </w:tr>
      <w:tr>
        <w:trPr>
          <w:trHeight w:val="183"/>
        </w:trPr>
        <w:tc>
          <w:tcPr>
            <w:tcW w:w="2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206,210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23.5 %</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65,144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55,176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120,320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22.3 %</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85,890</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71.4 %</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877,350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308,491</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231,010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539,501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337,849</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62.6 %</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199,202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22.7 %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90,384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79,169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169,553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31.4 %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29,649</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17.5 %</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206,864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24,811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37,769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62,580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144,284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230.6 %</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165,497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18.9 %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44,356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49,149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93,505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17.3 %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71,992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77.0 %</w:t>
            </w:r>
          </w:p>
        </w:tc>
        <w:tc>
          <w:tcPr>
            <w:tcW w:w="0" w:type="dxa"/>
            <w:vAlign w:val="bottom"/>
          </w:tcPr>
          <w:p>
            <w:pPr>
              <w:spacing w:after="0"/>
              <w:rPr>
                <w:sz w:val="1"/>
                <w:szCs w:val="1"/>
                <w:color w:val="auto"/>
              </w:rPr>
            </w:pPr>
          </w:p>
        </w:tc>
      </w:tr>
      <w:tr>
        <w:trPr>
          <w:trHeight w:val="183"/>
        </w:trPr>
        <w:tc>
          <w:tcPr>
            <w:tcW w:w="2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59,348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6,006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40,312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46,318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28.1 %</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197,229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22.5 %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13,674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79,219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92,893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104,336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112.3 %</w:t>
            </w:r>
          </w:p>
        </w:tc>
        <w:tc>
          <w:tcPr>
            <w:tcW w:w="0" w:type="dxa"/>
            <w:vAlign w:val="bottom"/>
          </w:tcPr>
          <w:p>
            <w:pPr>
              <w:spacing w:after="0"/>
              <w:rPr>
                <w:sz w:val="1"/>
                <w:szCs w:val="1"/>
                <w:color w:val="auto"/>
              </w:rPr>
            </w:pPr>
          </w:p>
        </w:tc>
      </w:tr>
      <w:tr>
        <w:trPr>
          <w:trHeight w:val="137"/>
        </w:trPr>
        <w:tc>
          <w:tcPr>
            <w:tcW w:w="228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Change in fair value of contingent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19,700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70,700</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70,700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(51,000)</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consideration liability</w:t>
            </w: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94,056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28,217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28,217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65,839</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233.3 %</w:t>
            </w:r>
          </w:p>
        </w:tc>
        <w:tc>
          <w:tcPr>
            <w:tcW w:w="0" w:type="dxa"/>
            <w:vAlign w:val="bottom"/>
          </w:tcPr>
          <w:p>
            <w:pPr>
              <w:spacing w:after="0"/>
              <w:rPr>
                <w:sz w:val="1"/>
                <w:szCs w:val="1"/>
                <w:color w:val="auto"/>
              </w:rPr>
            </w:pPr>
          </w:p>
        </w:tc>
      </w:tr>
      <w:tr>
        <w:trPr>
          <w:trHeight w:val="137"/>
        </w:trPr>
        <w:tc>
          <w:tcPr>
            <w:tcW w:w="228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Acquisition related transaction</w:t>
            </w:r>
          </w:p>
        </w:tc>
        <w:tc>
          <w:tcPr>
            <w:tcW w:w="14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6,245</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2,267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8,512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(8,512)</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costs</w:t>
            </w:r>
          </w:p>
        </w:tc>
        <w:tc>
          <w:tcPr>
            <w:tcW w:w="140" w:type="dxa"/>
            <w:vAlign w:val="bottom"/>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941,896</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107.4 %</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284,393</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287,885</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572,278</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106.1 %</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369,618</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64.6 %</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(64,546)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24,098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(56,875)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(32,777)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(31,769)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96.9 %</w:t>
            </w: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32,969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8,076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8,216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24,753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301.3 %</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(97,157)</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16,039</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(57,129)</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(41,090)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(56,067)</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136.4 %</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(97,200)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15,995</w:t>
            </w:r>
          </w:p>
        </w:tc>
        <w:tc>
          <w:tcPr>
            <w:tcW w:w="120" w:type="dxa"/>
            <w:vAlign w:val="bottom"/>
            <w:tcBorders>
              <w:right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(57,063)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(41,068)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(56,132)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136.7 %</w:t>
            </w:r>
          </w:p>
        </w:tc>
        <w:tc>
          <w:tcPr>
            <w:tcW w:w="0" w:type="dxa"/>
            <w:vAlign w:val="bottom"/>
          </w:tcPr>
          <w:p>
            <w:pPr>
              <w:spacing w:after="0"/>
              <w:rPr>
                <w:sz w:val="1"/>
                <w:szCs w:val="1"/>
                <w:color w:val="auto"/>
              </w:rPr>
            </w:pPr>
          </w:p>
        </w:tc>
      </w:tr>
      <w:tr>
        <w:trPr>
          <w:trHeight w:val="96"/>
        </w:trPr>
        <w:tc>
          <w:tcPr>
            <w:tcW w:w="2280" w:type="dxa"/>
            <w:vAlign w:val="bottom"/>
            <w:tcBorders>
              <w:top w:val="single" w:sz="8" w:color="CCEEFF"/>
            </w:tcBorders>
            <w:shd w:val="clear" w:color="auto" w:fill="CCEEFF"/>
          </w:tcPr>
          <w:p>
            <w:pPr>
              <w:ind w:left="20"/>
              <w:spacing w:after="0" w:line="96" w:lineRule="exact"/>
              <w:rPr>
                <w:sz w:val="20"/>
                <w:szCs w:val="20"/>
                <w:color w:val="auto"/>
              </w:rPr>
            </w:pPr>
            <w:r>
              <w:rPr>
                <w:rFonts w:ascii="Arial" w:cs="Arial" w:eastAsia="Arial" w:hAnsi="Arial"/>
                <w:sz w:val="10"/>
                <w:szCs w:val="10"/>
                <w:color w:val="auto"/>
              </w:rPr>
              <w:t>Net loss attributable to noncontrolling</w:t>
            </w:r>
          </w:p>
        </w:tc>
        <w:tc>
          <w:tcPr>
            <w:tcW w:w="1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(52,933)</w:t>
            </w: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2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loss attributable to GoHealth,</w:t>
            </w: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(44,267)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Inc.</w:t>
            </w:r>
          </w:p>
        </w:tc>
        <w:tc>
          <w:tcPr>
            <w:tcW w:w="1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80" w:type="dxa"/>
            <w:vAlign w:val="bottom"/>
          </w:tcPr>
          <w:p>
            <w:pPr>
              <w:ind w:left="20"/>
              <w:spacing w:after="0" w:line="129" w:lineRule="exact"/>
              <w:rPr>
                <w:sz w:val="20"/>
                <w:szCs w:val="20"/>
                <w:color w:val="auto"/>
              </w:rPr>
            </w:pPr>
            <w:r>
              <w:rPr>
                <w:rFonts w:ascii="Arial" w:cs="Arial" w:eastAsia="Arial" w:hAnsi="Arial"/>
                <w:sz w:val="13"/>
                <w:szCs w:val="13"/>
                <w:color w:val="auto"/>
              </w:rPr>
              <w:t>Net income (loss) per share of</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77"/>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80" w:type="dxa"/>
            <w:vAlign w:val="bottom"/>
          </w:tcPr>
          <w:p>
            <w:pPr>
              <w:ind w:left="20"/>
              <w:spacing w:after="0"/>
              <w:rPr>
                <w:sz w:val="20"/>
                <w:szCs w:val="20"/>
                <w:color w:val="auto"/>
              </w:rPr>
            </w:pPr>
            <w:r>
              <w:rPr>
                <w:rFonts w:ascii="Arial" w:cs="Arial" w:eastAsia="Arial" w:hAnsi="Arial"/>
                <w:sz w:val="13"/>
                <w:szCs w:val="13"/>
                <w:color w:val="auto"/>
              </w:rPr>
              <w:t>common stock — basic and diluted</w:t>
            </w:r>
          </w:p>
        </w:tc>
        <w:tc>
          <w:tcPr>
            <w:tcW w:w="1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Weighted-average shares of common</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84,189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outstanding — basic and diluted</w:t>
            </w: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34,364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52,853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(52,742)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271,029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130,465</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39,973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170,438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42.3 %</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2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23"/>
                <w:szCs w:val="2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2"/>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2019</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445,923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288,701</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133,100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27,700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8,591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6,787</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25,110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23,943</w:t>
            </w:r>
          </w:p>
        </w:tc>
        <w:tc>
          <w:tcPr>
            <w:tcW w:w="0" w:type="dxa"/>
            <w:vAlign w:val="bottom"/>
          </w:tcPr>
          <w:p>
            <w:pPr>
              <w:spacing w:after="0"/>
              <w:rPr>
                <w:sz w:val="1"/>
                <w:szCs w:val="1"/>
                <w:color w:val="auto"/>
              </w:rPr>
            </w:pPr>
          </w:p>
        </w:tc>
      </w:tr>
      <w:tr>
        <w:trPr>
          <w:trHeight w:val="162"/>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166,806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58,512</w:t>
            </w:r>
          </w:p>
        </w:tc>
        <w:tc>
          <w:tcPr>
            <w:tcW w:w="0" w:type="dxa"/>
            <w:vAlign w:val="bottom"/>
          </w:tcPr>
          <w:p>
            <w:pPr>
              <w:spacing w:after="0"/>
              <w:rPr>
                <w:sz w:val="1"/>
                <w:szCs w:val="1"/>
                <w:color w:val="auto"/>
              </w:rPr>
            </w:pPr>
          </w:p>
        </w:tc>
      </w:tr>
      <w:tr>
        <w:trPr>
          <w:trHeight w:val="176"/>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 (2)</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70,700</w:t>
            </w:r>
          </w:p>
        </w:tc>
        <w:tc>
          <w:tcPr>
            <w:tcW w:w="0" w:type="dxa"/>
            <w:vAlign w:val="bottom"/>
          </w:tcPr>
          <w:p>
            <w:pPr>
              <w:spacing w:after="0"/>
              <w:rPr>
                <w:sz w:val="1"/>
                <w:szCs w:val="1"/>
                <w:color w:val="auto"/>
              </w:rPr>
            </w:pPr>
          </w:p>
        </w:tc>
      </w:tr>
      <w:tr>
        <w:trPr>
          <w:trHeight w:val="177"/>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Severance costs (3)</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76"/>
        </w:trPr>
        <w:tc>
          <w:tcPr>
            <w:tcW w:w="874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169,889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129,782</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stock options, restricted stock units and time-vesting units.</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vMerge w:val="restart"/>
          </w:tcPr>
          <w:p>
            <w:pPr>
              <w:jc w:val="right"/>
              <w:ind w:right="857"/>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97"/>
              </w:rPr>
              <w:t>Predecessor</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Non-GAAP</w:t>
            </w: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vMerge w:val="continue"/>
          </w:tcPr>
          <w:p>
            <w:pPr>
              <w:spacing w:after="0"/>
              <w:rPr>
                <w:sz w:val="14"/>
                <w:szCs w:val="14"/>
                <w:color w:val="auto"/>
              </w:rPr>
            </w:pPr>
          </w:p>
        </w:tc>
        <w:tc>
          <w:tcPr>
            <w:tcW w:w="120" w:type="dxa"/>
            <w:vAlign w:val="bottom"/>
            <w:tcBorders>
              <w:right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Combined</w:t>
            </w:r>
          </w:p>
        </w:tc>
        <w:tc>
          <w:tcPr>
            <w:tcW w:w="0" w:type="dxa"/>
            <w:vAlign w:val="bottom"/>
          </w:tcPr>
          <w:p>
            <w:pPr>
              <w:spacing w:after="0"/>
              <w:rPr>
                <w:sz w:val="1"/>
                <w:szCs w:val="1"/>
                <w:color w:val="auto"/>
              </w:rPr>
            </w:pPr>
          </w:p>
        </w:tc>
      </w:tr>
      <w:tr>
        <w:trPr>
          <w:trHeight w:val="267"/>
        </w:trPr>
        <w:tc>
          <w:tcPr>
            <w:tcW w:w="6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Twelve months</w:t>
            </w:r>
          </w:p>
        </w:tc>
        <w:tc>
          <w:tcPr>
            <w:tcW w:w="80" w:type="dxa"/>
            <w:vAlign w:val="bottom"/>
          </w:tcPr>
          <w:p>
            <w:pPr>
              <w:spacing w:after="0"/>
              <w:rPr>
                <w:sz w:val="23"/>
                <w:szCs w:val="23"/>
                <w:color w:val="auto"/>
              </w:rPr>
            </w:pPr>
          </w:p>
        </w:tc>
        <w:tc>
          <w:tcPr>
            <w:tcW w:w="12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Period from Sep.</w:t>
            </w:r>
          </w:p>
        </w:tc>
        <w:tc>
          <w:tcPr>
            <w:tcW w:w="12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Period from Jan. 1,</w:t>
            </w:r>
          </w:p>
        </w:tc>
        <w:tc>
          <w:tcPr>
            <w:tcW w:w="100" w:type="dxa"/>
            <w:vAlign w:val="bottom"/>
          </w:tcPr>
          <w:p>
            <w:pPr>
              <w:spacing w:after="0"/>
              <w:rPr>
                <w:sz w:val="23"/>
                <w:szCs w:val="23"/>
                <w:color w:val="auto"/>
              </w:rPr>
            </w:pPr>
          </w:p>
        </w:tc>
        <w:tc>
          <w:tcPr>
            <w:tcW w:w="10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620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22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13, 2019 through</w:t>
            </w:r>
          </w:p>
        </w:tc>
        <w:tc>
          <w:tcPr>
            <w:tcW w:w="12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2019 through Sep.</w:t>
            </w:r>
          </w:p>
        </w:tc>
        <w:tc>
          <w:tcPr>
            <w:tcW w:w="10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6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5"/>
              </w:rPr>
              <w:t>Dec. 31, 2019</w:t>
            </w:r>
          </w:p>
        </w:tc>
        <w:tc>
          <w:tcPr>
            <w:tcW w:w="14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b w:val="1"/>
                <w:bCs w:val="1"/>
                <w:color w:val="auto"/>
                <w:w w:val="94"/>
              </w:rPr>
              <w:t>12, 2019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2019</w:t>
            </w:r>
          </w:p>
        </w:tc>
        <w:tc>
          <w:tcPr>
            <w:tcW w:w="0" w:type="dxa"/>
            <w:vAlign w:val="bottom"/>
          </w:tcPr>
          <w:p>
            <w:pPr>
              <w:spacing w:after="0"/>
              <w:rPr>
                <w:sz w:val="1"/>
                <w:szCs w:val="1"/>
                <w:color w:val="auto"/>
              </w:rPr>
            </w:pPr>
          </w:p>
        </w:tc>
      </w:tr>
      <w:tr>
        <w:trPr>
          <w:trHeight w:val="17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877,350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308,491</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231,010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539,501</w:t>
            </w:r>
          </w:p>
        </w:tc>
        <w:tc>
          <w:tcPr>
            <w:tcW w:w="0" w:type="dxa"/>
            <w:vAlign w:val="bottom"/>
          </w:tcPr>
          <w:p>
            <w:pPr>
              <w:spacing w:after="0"/>
              <w:rPr>
                <w:sz w:val="1"/>
                <w:szCs w:val="1"/>
                <w:color w:val="auto"/>
              </w:rPr>
            </w:pPr>
          </w:p>
        </w:tc>
      </w:tr>
      <w:tr>
        <w:trPr>
          <w:trHeight w:val="161"/>
        </w:trPr>
        <w:tc>
          <w:tcPr>
            <w:tcW w:w="62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(97,200)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15,995</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(57,063)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(41,068)</w:t>
            </w:r>
          </w:p>
        </w:tc>
        <w:tc>
          <w:tcPr>
            <w:tcW w:w="0" w:type="dxa"/>
            <w:vAlign w:val="bottom"/>
          </w:tcPr>
          <w:p>
            <w:pPr>
              <w:spacing w:after="0"/>
              <w:rPr>
                <w:sz w:val="1"/>
                <w:szCs w:val="1"/>
                <w:color w:val="auto"/>
              </w:rPr>
            </w:pPr>
          </w:p>
        </w:tc>
      </w:tr>
      <w:tr>
        <w:trPr>
          <w:trHeight w:val="184"/>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32,969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8,076</w:t>
            </w:r>
          </w:p>
        </w:tc>
        <w:tc>
          <w:tcPr>
            <w:tcW w:w="1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8,216</w:t>
            </w:r>
          </w:p>
        </w:tc>
        <w:tc>
          <w:tcPr>
            <w:tcW w:w="0" w:type="dxa"/>
            <w:vAlign w:val="bottom"/>
          </w:tcPr>
          <w:p>
            <w:pPr>
              <w:spacing w:after="0"/>
              <w:rPr>
                <w:sz w:val="1"/>
                <w:szCs w:val="1"/>
                <w:color w:val="auto"/>
              </w:rPr>
            </w:pPr>
          </w:p>
        </w:tc>
      </w:tr>
      <w:tr>
        <w:trPr>
          <w:trHeight w:val="168"/>
        </w:trPr>
        <w:tc>
          <w:tcPr>
            <w:tcW w:w="620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44</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98,552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28,738</w:t>
            </w:r>
          </w:p>
        </w:tc>
        <w:tc>
          <w:tcPr>
            <w:tcW w:w="120" w:type="dxa"/>
            <w:vAlign w:val="bottom"/>
            <w:tcBorders>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4,247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32,985</w:t>
            </w:r>
          </w:p>
        </w:tc>
        <w:tc>
          <w:tcPr>
            <w:tcW w:w="0" w:type="dxa"/>
            <w:vAlign w:val="bottom"/>
          </w:tcPr>
          <w:p>
            <w:pPr>
              <w:spacing w:after="0"/>
              <w:rPr>
                <w:sz w:val="1"/>
                <w:szCs w:val="1"/>
                <w:color w:val="auto"/>
              </w:rPr>
            </w:pPr>
          </w:p>
        </w:tc>
      </w:tr>
      <w:tr>
        <w:trPr>
          <w:trHeight w:val="16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34,364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52,853</w:t>
            </w:r>
          </w:p>
        </w:tc>
        <w:tc>
          <w:tcPr>
            <w:tcW w:w="120" w:type="dxa"/>
            <w:vAlign w:val="bottom"/>
            <w:tcBorders>
              <w:bottom w:val="single" w:sz="8" w:color="CCEEFF"/>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(52,742)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75"/>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6,929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448</w:t>
            </w:r>
          </w:p>
        </w:tc>
        <w:tc>
          <w:tcPr>
            <w:tcW w:w="1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68"/>
        </w:trPr>
        <w:tc>
          <w:tcPr>
            <w:tcW w:w="6200" w:type="dxa"/>
            <w:vAlign w:val="bottom"/>
          </w:tcPr>
          <w:p>
            <w:pPr>
              <w:ind w:left="240"/>
              <w:spacing w:after="0"/>
              <w:rPr>
                <w:sz w:val="20"/>
                <w:szCs w:val="20"/>
                <w:color w:val="auto"/>
              </w:rPr>
            </w:pPr>
            <w:r>
              <w:rPr>
                <w:rFonts w:ascii="Arial" w:cs="Arial" w:eastAsia="Arial" w:hAnsi="Arial"/>
                <w:sz w:val="13"/>
                <w:szCs w:val="13"/>
                <w:color w:val="auto"/>
              </w:rPr>
              <w:t>Accelerated vesting of certain equity awards (2)</w:t>
            </w:r>
          </w:p>
        </w:tc>
        <w:tc>
          <w:tcPr>
            <w:tcW w:w="1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209,300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87,060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87,060</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 (3)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19,700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70,700</w:t>
            </w:r>
          </w:p>
        </w:tc>
        <w:tc>
          <w:tcPr>
            <w:tcW w:w="1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70,700</w:t>
            </w:r>
          </w:p>
        </w:tc>
        <w:tc>
          <w:tcPr>
            <w:tcW w:w="0" w:type="dxa"/>
            <w:vAlign w:val="bottom"/>
          </w:tcPr>
          <w:p>
            <w:pPr>
              <w:spacing w:after="0"/>
              <w:rPr>
                <w:sz w:val="1"/>
                <w:szCs w:val="1"/>
                <w:color w:val="auto"/>
              </w:rPr>
            </w:pPr>
          </w:p>
        </w:tc>
      </w:tr>
      <w:tr>
        <w:trPr>
          <w:trHeight w:val="168"/>
        </w:trPr>
        <w:tc>
          <w:tcPr>
            <w:tcW w:w="6200" w:type="dxa"/>
            <w:vAlign w:val="bottom"/>
          </w:tcPr>
          <w:p>
            <w:pPr>
              <w:ind w:left="240"/>
              <w:spacing w:after="0"/>
              <w:rPr>
                <w:sz w:val="20"/>
                <w:szCs w:val="20"/>
                <w:color w:val="auto"/>
              </w:rPr>
            </w:pPr>
            <w:r>
              <w:rPr>
                <w:rFonts w:ascii="Arial" w:cs="Arial" w:eastAsia="Arial" w:hAnsi="Arial"/>
                <w:sz w:val="13"/>
                <w:szCs w:val="13"/>
                <w:color w:val="auto"/>
              </w:rPr>
              <w:t>Centerbridge Acquisition costs (4)</w:t>
            </w:r>
          </w:p>
        </w:tc>
        <w:tc>
          <w:tcPr>
            <w:tcW w:w="1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6,245</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4,908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11,153</w:t>
            </w:r>
          </w:p>
        </w:tc>
        <w:tc>
          <w:tcPr>
            <w:tcW w:w="0" w:type="dxa"/>
            <w:vAlign w:val="bottom"/>
          </w:tcPr>
          <w:p>
            <w:pPr>
              <w:spacing w:after="0"/>
              <w:rPr>
                <w:sz w:val="1"/>
                <w:szCs w:val="1"/>
                <w:color w:val="auto"/>
              </w:rPr>
            </w:pPr>
          </w:p>
        </w:tc>
      </w:tr>
      <w:tr>
        <w:trPr>
          <w:trHeight w:val="184"/>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IPO transactions costs (5)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Severance costs (6)</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219</w:t>
            </w:r>
          </w:p>
        </w:tc>
        <w:tc>
          <w:tcPr>
            <w:tcW w:w="120" w:type="dxa"/>
            <w:vAlign w:val="bottom"/>
            <w:tcBorders>
              <w:bottom w:val="single" w:sz="8" w:color="CCEEFF"/>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747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966</w:t>
            </w:r>
          </w:p>
        </w:tc>
        <w:tc>
          <w:tcPr>
            <w:tcW w:w="0" w:type="dxa"/>
            <w:vAlign w:val="bottom"/>
          </w:tcPr>
          <w:p>
            <w:pPr>
              <w:spacing w:after="0"/>
              <w:rPr>
                <w:sz w:val="1"/>
                <w:szCs w:val="1"/>
                <w:color w:val="auto"/>
              </w:rPr>
            </w:pPr>
          </w:p>
        </w:tc>
      </w:tr>
      <w:tr>
        <w:trPr>
          <w:trHeight w:val="20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271,029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130,465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39,973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170,438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-7620</wp:posOffset>
            </wp:positionV>
            <wp:extent cx="76263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635" cy="12001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4180" w:type="dxa"/>
            <w:vAlign w:val="bottom"/>
          </w:tcPr>
          <w:p>
            <w:pPr>
              <w:spacing w:after="0"/>
              <w:rPr>
                <w:sz w:val="20"/>
                <w:szCs w:val="20"/>
                <w:color w:val="auto"/>
              </w:rPr>
            </w:pPr>
            <w:r>
              <w:rPr>
                <w:rFonts w:ascii="Arial" w:cs="Arial" w:eastAsia="Arial" w:hAnsi="Arial"/>
                <w:sz w:val="13"/>
                <w:szCs w:val="13"/>
                <w:color w:val="auto"/>
              </w:rPr>
              <w:t>Adjusted EBITDA margin</w:t>
            </w:r>
          </w:p>
        </w:tc>
        <w:tc>
          <w:tcPr>
            <w:tcW w:w="3600" w:type="dxa"/>
            <w:vAlign w:val="bottom"/>
          </w:tcPr>
          <w:p>
            <w:pPr>
              <w:jc w:val="right"/>
              <w:ind w:right="377"/>
              <w:spacing w:after="0"/>
              <w:rPr>
                <w:sz w:val="20"/>
                <w:szCs w:val="20"/>
                <w:color w:val="auto"/>
              </w:rPr>
            </w:pPr>
            <w:r>
              <w:rPr>
                <w:rFonts w:ascii="Arial" w:cs="Arial" w:eastAsia="Arial" w:hAnsi="Arial"/>
                <w:sz w:val="13"/>
                <w:szCs w:val="13"/>
                <w:color w:val="auto"/>
              </w:rPr>
              <w:t>30.9 %</w:t>
            </w:r>
          </w:p>
        </w:tc>
        <w:tc>
          <w:tcPr>
            <w:tcW w:w="840" w:type="dxa"/>
            <w:vAlign w:val="bottom"/>
          </w:tcPr>
          <w:p>
            <w:pPr>
              <w:jc w:val="right"/>
              <w:spacing w:after="0"/>
              <w:rPr>
                <w:sz w:val="20"/>
                <w:szCs w:val="20"/>
                <w:color w:val="auto"/>
              </w:rPr>
            </w:pPr>
            <w:r>
              <w:rPr>
                <w:rFonts w:ascii="Arial" w:cs="Arial" w:eastAsia="Arial" w:hAnsi="Arial"/>
                <w:sz w:val="13"/>
                <w:szCs w:val="13"/>
                <w:color w:val="auto"/>
              </w:rPr>
              <w:t>42.3 %</w:t>
            </w:r>
          </w:p>
        </w:tc>
      </w:tr>
    </w:tbl>
    <w:p>
      <w:pPr>
        <w:spacing w:after="0" w:line="20" w:lineRule="exact"/>
        <w:rPr>
          <w:sz w:val="20"/>
          <w:szCs w:val="20"/>
          <w:color w:val="auto"/>
        </w:rPr>
      </w:pPr>
      <w:r>
        <w:rPr>
          <w:sz w:val="20"/>
          <w:szCs w:val="20"/>
          <w:color w:val="auto"/>
        </w:rPr>
        <w:br w:type="column"/>
      </w:r>
    </w:p>
    <w:p>
      <w:pPr>
        <w:spacing w:after="0"/>
        <w:tabs>
          <w:tab w:leader="none" w:pos="1260" w:val="left"/>
        </w:tabs>
        <w:rPr>
          <w:sz w:val="20"/>
          <w:szCs w:val="20"/>
          <w:color w:val="auto"/>
        </w:rPr>
      </w:pPr>
      <w:r>
        <w:rPr>
          <w:rFonts w:ascii="Arial" w:cs="Arial" w:eastAsia="Arial" w:hAnsi="Arial"/>
          <w:sz w:val="13"/>
          <w:szCs w:val="13"/>
          <w:color w:val="auto"/>
        </w:rPr>
        <w:t>17.3 %</w:t>
      </w:r>
      <w:r>
        <w:rPr>
          <w:sz w:val="20"/>
          <w:szCs w:val="20"/>
          <w:color w:val="auto"/>
        </w:rPr>
        <w:tab/>
      </w:r>
      <w:r>
        <w:rPr>
          <w:rFonts w:ascii="Arial" w:cs="Arial" w:eastAsia="Arial" w:hAnsi="Arial"/>
          <w:sz w:val="12"/>
          <w:szCs w:val="12"/>
          <w:color w:val="auto"/>
        </w:rPr>
        <w:t>31.6 %</w:t>
      </w:r>
    </w:p>
    <w:p>
      <w:pPr>
        <w:spacing w:after="0" w:line="98" w:lineRule="exact"/>
        <w:rPr>
          <w:sz w:val="20"/>
          <w:szCs w:val="20"/>
          <w:color w:val="auto"/>
        </w:rPr>
      </w:pPr>
    </w:p>
    <w:p>
      <w:pPr>
        <w:sectPr>
          <w:pgSz w:w="11900" w:h="16838" w:orient="portrait"/>
          <w:cols w:equalWidth="0" w:num="2">
            <w:col w:w="8820" w:space="720"/>
            <w:col w:w="1700"/>
          </w:cols>
          <w:pgMar w:left="320" w:top="789"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stock options, restricted stock units and time-vesting units.</w:t>
      </w:r>
    </w:p>
    <w:p>
      <w:pPr>
        <w:ind w:left="340" w:right="180" w:hanging="332"/>
        <w:spacing w:after="0" w:line="258" w:lineRule="auto"/>
        <w:tabs>
          <w:tab w:leader="none" w:pos="332"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the accelerated vesting of performance-vesting units in connection with the IPO for the twelve months ended December 31, 2020 and the accelerated vesting of profit interests and incentive share units in connection with the Centerbridge Acquisition for the period from January 1, 2019 through September 12, 2019.</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costs related to the Centerbridge Acquisition.</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8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Twelve months</w:t>
            </w:r>
          </w:p>
        </w:tc>
        <w:tc>
          <w:tcPr>
            <w:tcW w:w="12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6"/>
              </w:rPr>
              <w:t>Period from Sep.</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Period from Jan.</w:t>
            </w:r>
          </w:p>
        </w:tc>
        <w:tc>
          <w:tcPr>
            <w:tcW w:w="0" w:type="dxa"/>
            <w:vAlign w:val="bottom"/>
          </w:tcPr>
          <w:p>
            <w:pPr>
              <w:spacing w:after="0"/>
              <w:rPr>
                <w:sz w:val="1"/>
                <w:szCs w:val="1"/>
                <w:color w:val="auto"/>
              </w:rPr>
            </w:pPr>
          </w:p>
        </w:tc>
      </w:tr>
      <w:tr>
        <w:trPr>
          <w:trHeight w:val="122"/>
        </w:trPr>
        <w:tc>
          <w:tcPr>
            <w:tcW w:w="772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20" w:type="dxa"/>
            <w:vAlign w:val="bottom"/>
            <w:tcBorders>
              <w:right w:val="single" w:sz="8" w:color="auto"/>
            </w:tcBorders>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96"/>
              </w:rPr>
              <w:t>13, 2019 through</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1, 2019 through</w:t>
            </w:r>
          </w:p>
        </w:tc>
        <w:tc>
          <w:tcPr>
            <w:tcW w:w="0" w:type="dxa"/>
            <w:vAlign w:val="bottom"/>
          </w:tcPr>
          <w:p>
            <w:pPr>
              <w:spacing w:after="0"/>
              <w:rPr>
                <w:sz w:val="1"/>
                <w:szCs w:val="1"/>
                <w:color w:val="auto"/>
              </w:rPr>
            </w:pPr>
          </w:p>
        </w:tc>
      </w:tr>
      <w:tr>
        <w:trPr>
          <w:trHeight w:val="172"/>
        </w:trPr>
        <w:tc>
          <w:tcPr>
            <w:tcW w:w="7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7"/>
              </w:rPr>
              <w:t>Dec. 31, 2019</w:t>
            </w:r>
          </w:p>
        </w:tc>
        <w:tc>
          <w:tcPr>
            <w:tcW w:w="10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Sep. 12, 2019</w:t>
            </w:r>
          </w:p>
        </w:tc>
        <w:tc>
          <w:tcPr>
            <w:tcW w:w="0" w:type="dxa"/>
            <w:vAlign w:val="bottom"/>
          </w:tcPr>
          <w:p>
            <w:pPr>
              <w:spacing w:after="0"/>
              <w:rPr>
                <w:sz w:val="1"/>
                <w:szCs w:val="1"/>
                <w:color w:val="auto"/>
              </w:rPr>
            </w:pPr>
          </w:p>
        </w:tc>
      </w:tr>
      <w:tr>
        <w:trPr>
          <w:trHeight w:val="17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1,674</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27,059</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145,655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58,327</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216,229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448</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87,060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3"/>
                <w:szCs w:val="13"/>
                <w:b w:val="1"/>
                <w:bCs w:val="1"/>
                <w:color w:val="auto"/>
              </w:rPr>
              <w:t>Successor</w:t>
            </w:r>
          </w:p>
        </w:tc>
      </w:tr>
      <w:tr>
        <w:trPr>
          <w:trHeight w:val="183"/>
        </w:trPr>
        <w:tc>
          <w:tcPr>
            <w:tcW w:w="850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Dec. 31, 2020</w:t>
            </w: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Dec. 31, 2019</w:t>
            </w:r>
          </w:p>
        </w:tc>
      </w:tr>
      <w:tr>
        <w:trPr>
          <w:trHeight w:val="162"/>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12,276</w:t>
            </w: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$1,045 in 2020 and $904 in 2019</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26,871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24,461</w:t>
            </w: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 from NVX Holdings, Inc.</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Commissions receivable - 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188,128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101,078</w:t>
            </w: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5,954</w:t>
            </w: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391,822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143,769</w:t>
            </w: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receivable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281,853</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998</w:t>
            </w: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6,339</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688,726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782,783</w:t>
            </w:r>
          </w:p>
        </w:tc>
      </w:tr>
      <w:tr>
        <w:trPr>
          <w:trHeight w:val="177"/>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r>
      <w:tr>
        <w:trPr>
          <w:trHeight w:val="175"/>
        </w:trPr>
        <w:tc>
          <w:tcPr>
            <w:tcW w:w="850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2,108,796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1,602,295</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3"/>
        </w:trPr>
        <w:tc>
          <w:tcPr>
            <w:tcW w:w="8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Stockholders’ / Members’ Equity</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13,582</w:t>
            </w: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26,926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22,568</w:t>
            </w: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56,003</w:t>
            </w: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15,218</w:t>
            </w: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2,694</w:t>
            </w: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127,371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113,065</w:t>
            </w: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97,489</w:t>
            </w: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Capital lease obligations, less current portion</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396,400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288,233</w:t>
            </w: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Contingent consideration</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242,700</w:t>
            </w: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w:t>
            </w: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582,270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629,086</w:t>
            </w: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Stockholders’ / members’ equity: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Members’ interest</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860,161</w:t>
            </w: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Class A common stock – $0.0001 par value; 1,100,000 shares authorized; 84,196 shares issued and outstanding at December 31, 2020</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Class B common stock – $0.0001 par value; 619,004 shares authorized; 236,997 shares issued and outstanding at December 31, 2020</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Preferred stock – $0.0001 par value; 20,000 shares authorized; no shares issued and outstanding at December 31, 2020</w:t>
            </w: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397,504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 attributable to GoHealth, Inc. / members’ equity</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378,751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860,144</w:t>
            </w: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1,020,404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 members’ equity</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1,399,155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860,144</w:t>
            </w:r>
          </w:p>
        </w:tc>
      </w:tr>
      <w:tr>
        <w:trPr>
          <w:trHeight w:val="20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 members’ equity</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2,108,796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1,602,295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Twelve months</w:t>
            </w:r>
          </w:p>
        </w:tc>
        <w:tc>
          <w:tcPr>
            <w:tcW w:w="12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6"/>
              </w:rPr>
              <w:t>Period from Sep.</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Period from Jan.</w:t>
            </w:r>
          </w:p>
        </w:tc>
        <w:tc>
          <w:tcPr>
            <w:tcW w:w="0" w:type="dxa"/>
            <w:vAlign w:val="bottom"/>
          </w:tcPr>
          <w:p>
            <w:pPr>
              <w:spacing w:after="0"/>
              <w:rPr>
                <w:sz w:val="1"/>
                <w:szCs w:val="1"/>
                <w:color w:val="auto"/>
              </w:rPr>
            </w:pPr>
          </w:p>
        </w:tc>
      </w:tr>
      <w:tr>
        <w:trPr>
          <w:trHeight w:val="122"/>
        </w:trPr>
        <w:tc>
          <w:tcPr>
            <w:tcW w:w="772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20" w:type="dxa"/>
            <w:vAlign w:val="bottom"/>
            <w:tcBorders>
              <w:right w:val="single" w:sz="8" w:color="auto"/>
            </w:tcBorders>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96"/>
              </w:rPr>
              <w:t>13, 2019 through</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1, 2019 through</w:t>
            </w:r>
          </w:p>
        </w:tc>
        <w:tc>
          <w:tcPr>
            <w:tcW w:w="0" w:type="dxa"/>
            <w:vAlign w:val="bottom"/>
          </w:tcPr>
          <w:p>
            <w:pPr>
              <w:spacing w:after="0"/>
              <w:rPr>
                <w:sz w:val="1"/>
                <w:szCs w:val="1"/>
                <w:color w:val="auto"/>
              </w:rPr>
            </w:pPr>
          </w:p>
        </w:tc>
      </w:tr>
      <w:tr>
        <w:trPr>
          <w:trHeight w:val="172"/>
        </w:trPr>
        <w:tc>
          <w:tcPr>
            <w:tcW w:w="7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7"/>
              </w:rPr>
              <w:t>Dec. 31, 2019</w:t>
            </w:r>
          </w:p>
        </w:tc>
        <w:tc>
          <w:tcPr>
            <w:tcW w:w="10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Sep. 12, 2019</w:t>
            </w:r>
          </w:p>
        </w:tc>
        <w:tc>
          <w:tcPr>
            <w:tcW w:w="0" w:type="dxa"/>
            <w:vAlign w:val="bottom"/>
          </w:tcPr>
          <w:p>
            <w:pPr>
              <w:spacing w:after="0"/>
              <w:rPr>
                <w:sz w:val="1"/>
                <w:szCs w:val="1"/>
                <w:color w:val="auto"/>
              </w:rPr>
            </w:pPr>
          </w:p>
        </w:tc>
      </w:tr>
      <w:tr>
        <w:trPr>
          <w:trHeight w:val="15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(97,200)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15,995</w:t>
            </w:r>
          </w:p>
        </w:tc>
        <w:tc>
          <w:tcPr>
            <w:tcW w:w="120" w:type="dxa"/>
            <w:vAlign w:val="bottom"/>
            <w:tcBorders>
              <w:right w:val="single" w:sz="8" w:color="auto"/>
            </w:tcBorders>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(57,063)</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216,229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448</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87,060</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4,247</w:t>
            </w:r>
          </w:p>
        </w:tc>
        <w:tc>
          <w:tcPr>
            <w:tcW w:w="0" w:type="dxa"/>
            <w:vAlign w:val="bottom"/>
          </w:tcPr>
          <w:p>
            <w:pPr>
              <w:spacing w:after="0"/>
              <w:rPr>
                <w:sz w:val="1"/>
                <w:szCs w:val="1"/>
                <w:color w:val="auto"/>
              </w:rPr>
            </w:pPr>
          </w:p>
        </w:tc>
      </w:tr>
      <w:tr>
        <w:trPr>
          <w:trHeight w:val="168"/>
        </w:trPr>
        <w:tc>
          <w:tcPr>
            <w:tcW w:w="772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94,056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28,217</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72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70,700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0"/>
        </w:trPr>
        <w:tc>
          <w:tcPr>
            <w:tcW w:w="772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8"/>
        </w:trPr>
        <w:tc>
          <w:tcPr>
            <w:tcW w:w="772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(427,467)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(203,956)</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(63,448)</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0" w:type="dxa"/>
            <w:vAlign w:val="bottom"/>
          </w:tcPr>
          <w:p>
            <w:pPr>
              <w:spacing w:after="0"/>
              <w:rPr>
                <w:sz w:val="1"/>
                <w:szCs w:val="1"/>
                <w:color w:val="auto"/>
              </w:rPr>
            </w:pPr>
          </w:p>
        </w:tc>
      </w:tr>
      <w:tr>
        <w:trPr>
          <w:trHeight w:val="168"/>
        </w:trPr>
        <w:tc>
          <w:tcPr>
            <w:tcW w:w="772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5,031</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(1,981)</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17,860</w:t>
            </w:r>
          </w:p>
        </w:tc>
        <w:tc>
          <w:tcPr>
            <w:tcW w:w="0" w:type="dxa"/>
            <w:vAlign w:val="bottom"/>
          </w:tcPr>
          <w:p>
            <w:pPr>
              <w:spacing w:after="0"/>
              <w:rPr>
                <w:sz w:val="1"/>
                <w:szCs w:val="1"/>
                <w:color w:val="auto"/>
              </w:rPr>
            </w:pPr>
          </w:p>
        </w:tc>
      </w:tr>
      <w:tr>
        <w:trPr>
          <w:trHeight w:val="168"/>
        </w:trPr>
        <w:tc>
          <w:tcPr>
            <w:tcW w:w="772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(14,482)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11,935</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1,926</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80,828</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19,228</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(2,494)</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(114,217)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(9,284)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9,281</w:t>
            </w:r>
          </w:p>
        </w:tc>
        <w:tc>
          <w:tcPr>
            <w:tcW w:w="0" w:type="dxa"/>
            <w:vAlign w:val="bottom"/>
          </w:tcPr>
          <w:p>
            <w:pPr>
              <w:spacing w:after="0"/>
              <w:rPr>
                <w:sz w:val="1"/>
                <w:szCs w:val="1"/>
                <w:color w:val="auto"/>
              </w:rPr>
            </w:pPr>
          </w:p>
        </w:tc>
      </w:tr>
      <w:tr>
        <w:trPr>
          <w:trHeight w:val="140"/>
        </w:trPr>
        <w:tc>
          <w:tcPr>
            <w:tcW w:w="7720" w:type="dxa"/>
            <w:vAlign w:val="bottom"/>
          </w:tcPr>
          <w:p>
            <w:pPr>
              <w:ind w:left="20"/>
              <w:spacing w:after="0" w:line="140" w:lineRule="exact"/>
              <w:rPr>
                <w:sz w:val="20"/>
                <w:szCs w:val="20"/>
                <w:color w:val="auto"/>
              </w:rPr>
            </w:pPr>
            <w:r>
              <w:rPr>
                <w:rFonts w:ascii="Arial" w:cs="Arial" w:eastAsia="Arial" w:hAnsi="Arial"/>
                <w:sz w:val="13"/>
                <w:szCs w:val="13"/>
                <w:b w:val="1"/>
                <w:bCs w:val="1"/>
                <w:color w:val="auto"/>
              </w:rPr>
              <w:t>Investing Activities</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business, net of cash</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(807,591)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(2,419)</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(5,597)</w:t>
            </w:r>
          </w:p>
        </w:tc>
        <w:tc>
          <w:tcPr>
            <w:tcW w:w="0" w:type="dxa"/>
            <w:vAlign w:val="bottom"/>
          </w:tcPr>
          <w:p>
            <w:pPr>
              <w:spacing w:after="0"/>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(810,010)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(5,597)</w:t>
            </w:r>
          </w:p>
        </w:tc>
        <w:tc>
          <w:tcPr>
            <w:tcW w:w="0" w:type="dxa"/>
            <w:vAlign w:val="bottom"/>
          </w:tcPr>
          <w:p>
            <w:pPr>
              <w:spacing w:after="0"/>
              <w:rPr>
                <w:sz w:val="1"/>
                <w:szCs w:val="1"/>
                <w:color w:val="auto"/>
              </w:rPr>
            </w:pPr>
          </w:p>
        </w:tc>
      </w:tr>
      <w:tr>
        <w:trPr>
          <w:trHeight w:val="140"/>
        </w:trPr>
        <w:tc>
          <w:tcPr>
            <w:tcW w:w="7720" w:type="dxa"/>
            <w:vAlign w:val="bottom"/>
          </w:tcPr>
          <w:p>
            <w:pPr>
              <w:ind w:left="20"/>
              <w:spacing w:after="0" w:line="140" w:lineRule="exact"/>
              <w:rPr>
                <w:sz w:val="20"/>
                <w:szCs w:val="20"/>
                <w:color w:val="auto"/>
              </w:rPr>
            </w:pPr>
            <w:r>
              <w:rPr>
                <w:rFonts w:ascii="Arial" w:cs="Arial" w:eastAsia="Arial" w:hAnsi="Arial"/>
                <w:sz w:val="13"/>
                <w:szCs w:val="13"/>
                <w:b w:val="1"/>
                <w:bCs w:val="1"/>
                <w:color w:val="auto"/>
              </w:rPr>
              <w:t>Financing Activities</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Class A common stock sold in initial public offering, net of offering costs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852,407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Payment of partial consideration of the Blocker Merger</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(96,165)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LLC Interests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(508,320)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Settlement of Senior Preferred Earnout Units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preferred units</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541,263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 distributions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7720" w:type="dxa"/>
            <w:vAlign w:val="bottom"/>
          </w:tcPr>
          <w:p>
            <w:pPr>
              <w:ind w:left="20"/>
              <w:spacing w:after="0"/>
              <w:rPr>
                <w:sz w:val="20"/>
                <w:szCs w:val="20"/>
                <w:color w:val="auto"/>
              </w:rPr>
            </w:pPr>
            <w:r>
              <w:rPr>
                <w:rFonts w:ascii="Arial" w:cs="Arial" w:eastAsia="Arial" w:hAnsi="Arial"/>
                <w:sz w:val="13"/>
                <w:szCs w:val="13"/>
                <w:color w:val="auto"/>
              </w:rPr>
              <w:t>Borrowings under term loans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117,000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300,000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term loans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Borrowings under revolving credit facilities</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56,534</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under revolving credit facilities</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(59,915)</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(9,283)</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Advancement to NVX Holdings, Inc.</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260,663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830,879</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w:t>
            </w:r>
          </w:p>
        </w:tc>
        <w:tc>
          <w:tcPr>
            <w:tcW w:w="0" w:type="dxa"/>
            <w:vAlign w:val="bottom"/>
          </w:tcPr>
          <w:p>
            <w:pPr>
              <w:spacing w:after="0"/>
              <w:rPr>
                <w:sz w:val="1"/>
                <w:szCs w:val="1"/>
                <w:color w:val="auto"/>
              </w:rPr>
            </w:pPr>
          </w:p>
        </w:tc>
      </w:tr>
      <w:tr>
        <w:trPr>
          <w:trHeight w:val="16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6"/>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cash and cash equivalents</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131,958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11,568</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6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144,234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12,276</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9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w w:val="97"/>
              </w:rPr>
              <w:t>Successor</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660" w:type="dxa"/>
            <w:vAlign w:val="bottom"/>
          </w:tcPr>
          <w:p>
            <w:pPr>
              <w:spacing w:after="0"/>
              <w:rPr>
                <w:sz w:val="24"/>
                <w:szCs w:val="24"/>
                <w:color w:val="auto"/>
              </w:rPr>
            </w:pPr>
          </w:p>
        </w:tc>
        <w:tc>
          <w:tcPr>
            <w:tcW w:w="21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7"/>
              </w:rPr>
              <w:t>Three months ended Dec. 31, 2020</w:t>
            </w:r>
          </w:p>
        </w:tc>
        <w:tc>
          <w:tcPr>
            <w:tcW w:w="100" w:type="dxa"/>
            <w:vAlign w:val="bottom"/>
          </w:tcPr>
          <w:p>
            <w:pPr>
              <w:spacing w:after="0"/>
              <w:rPr>
                <w:sz w:val="24"/>
                <w:szCs w:val="24"/>
                <w:color w:val="auto"/>
              </w:rPr>
            </w:pPr>
          </w:p>
        </w:tc>
        <w:tc>
          <w:tcPr>
            <w:tcW w:w="21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Three months ended Dec. 31, 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28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 of Net</w:t>
            </w: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2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351,082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78.7 %</w:t>
            </w:r>
          </w:p>
        </w:tc>
        <w:tc>
          <w:tcPr>
            <w:tcW w:w="10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201,115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69.7 %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149,967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74.6 %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78,355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55,286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10,473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20,086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(9,613)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6,013</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12,214</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(6,201)</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445,923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288,701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157,222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172,920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123,711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49,209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39.8 %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4,087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4,095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w:t>
            </w: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183,179</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41.1 %</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137,744</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47.7 %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45,435</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33.0 %</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70,700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(70,700)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8,591</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6,787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1,804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26.6 %</w:t>
            </w:r>
          </w:p>
        </w:tc>
        <w:tc>
          <w:tcPr>
            <w:tcW w:w="0" w:type="dxa"/>
            <w:vAlign w:val="bottom"/>
          </w:tcPr>
          <w:p>
            <w:pPr>
              <w:spacing w:after="0"/>
              <w:rPr>
                <w:sz w:val="1"/>
                <w:szCs w:val="1"/>
                <w:color w:val="auto"/>
              </w:rPr>
            </w:pPr>
          </w:p>
        </w:tc>
      </w:tr>
      <w:tr>
        <w:trPr>
          <w:trHeight w:val="177"/>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133,105</w:t>
            </w: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29.8 %</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27,782</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9.6 %</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105,323</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379.1 %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Successor</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Predecessor</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3"/>
                <w:szCs w:val="13"/>
                <w:b w:val="1"/>
                <w:bCs w:val="1"/>
                <w:color w:val="auto"/>
                <w:w w:val="98"/>
              </w:rPr>
              <w:t>Non-GAAP Combined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8"/>
              </w:rPr>
              <w:t>Period from</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Period from Jan.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w w:val="96"/>
              </w:rPr>
              <w:t>Twelve months ended Dec. 31,</w:t>
            </w:r>
          </w:p>
        </w:tc>
        <w:tc>
          <w:tcPr>
            <w:tcW w:w="10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Sep. 13, 2019</w:t>
            </w:r>
          </w:p>
        </w:tc>
        <w:tc>
          <w:tcPr>
            <w:tcW w:w="11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95"/>
              </w:rPr>
              <w:t>Twelve months ended Dec. 31,</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1160" w:type="dxa"/>
            <w:vAlign w:val="bottom"/>
            <w:tcBorders>
              <w:right w:val="single" w:sz="8" w:color="auto"/>
            </w:tcBorders>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8"/>
              </w:rPr>
              <w:t>through Dec. 31,</w:t>
            </w:r>
          </w:p>
        </w:tc>
        <w:tc>
          <w:tcPr>
            <w:tcW w:w="11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1, 2019 through</w:t>
            </w:r>
          </w:p>
        </w:tc>
        <w:tc>
          <w:tcPr>
            <w:tcW w:w="12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Sep. 12, 2019</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3"/>
                <w:szCs w:val="13"/>
                <w:b w:val="1"/>
                <w:bCs w:val="1"/>
                <w:color w:val="auto"/>
                <w:w w:val="96"/>
              </w:rPr>
              <w:t>2019</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100" w:type="dxa"/>
            <w:vAlign w:val="bottom"/>
          </w:tcPr>
          <w:p>
            <w:pPr>
              <w:spacing w:after="0"/>
              <w:rPr>
                <w:sz w:val="11"/>
                <w:szCs w:val="11"/>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Dollars</w:t>
            </w:r>
          </w:p>
        </w:tc>
        <w:tc>
          <w:tcPr>
            <w:tcW w:w="9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106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9"/>
              </w:rPr>
              <w:t>Dollars</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9"/>
              </w:rPr>
              <w:t>Dollars</w:t>
            </w:r>
          </w:p>
        </w:tc>
        <w:tc>
          <w:tcPr>
            <w:tcW w:w="120" w:type="dxa"/>
            <w:vAlign w:val="bottom"/>
          </w:tcPr>
          <w:p>
            <w:pPr>
              <w:spacing w:after="0"/>
              <w:rPr>
                <w:sz w:val="11"/>
                <w:szCs w:val="11"/>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Dollars</w:t>
            </w:r>
          </w:p>
        </w:tc>
        <w:tc>
          <w:tcPr>
            <w:tcW w:w="9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6"/>
              </w:rPr>
              <w:t>% of Net</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2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Revenues</w:t>
            </w:r>
          </w:p>
        </w:tc>
        <w:tc>
          <w:tcPr>
            <w:tcW w:w="10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667,293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76.1 %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215,322</w:t>
            </w:r>
          </w:p>
        </w:tc>
        <w:tc>
          <w:tcPr>
            <w:tcW w:w="120" w:type="dxa"/>
            <w:vAlign w:val="bottom"/>
            <w:tcBorders>
              <w:right w:val="single" w:sz="8" w:color="auto"/>
            </w:tcBorders>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102,196</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317,518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58.9 %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349,775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110.2 %</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155,660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59,152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40,527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35.2 %</w:t>
            </w:r>
          </w:p>
        </w:tc>
        <w:tc>
          <w:tcPr>
            <w:tcW w:w="0" w:type="dxa"/>
            <w:vAlign w:val="bottom"/>
          </w:tcPr>
          <w:p>
            <w:pPr>
              <w:spacing w:after="0"/>
              <w:rPr>
                <w:sz w:val="1"/>
                <w:szCs w:val="1"/>
                <w:color w:val="auto"/>
              </w:rPr>
            </w:pPr>
          </w:p>
        </w:tc>
      </w:tr>
      <w:tr>
        <w:trPr>
          <w:trHeight w:val="168"/>
        </w:trPr>
        <w:tc>
          <w:tcPr>
            <w:tcW w:w="24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32,271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20,850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37,909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58,759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10.9 %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(26,488)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22,126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13,167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34,924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48,091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(25,965)</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877,350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308,491</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231,010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539,501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337,849</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62.6 %</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296,865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33.8 %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126,210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166,234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130,631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78.6 %</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168"/>
        </w:trPr>
        <w:tc>
          <w:tcPr>
            <w:tcW w:w="24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4,269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11.0 %</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1,910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308,988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139,027</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48,860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187,887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121,101</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64.5 %</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259,778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146,542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129.4 %</w:t>
            </w:r>
          </w:p>
        </w:tc>
        <w:tc>
          <w:tcPr>
            <w:tcW w:w="0" w:type="dxa"/>
            <w:vAlign w:val="bottom"/>
          </w:tcPr>
          <w:p>
            <w:pPr>
              <w:spacing w:after="0"/>
              <w:rPr>
                <w:sz w:val="1"/>
                <w:szCs w:val="1"/>
                <w:color w:val="auto"/>
              </w:rPr>
            </w:pPr>
          </w:p>
        </w:tc>
      </w:tr>
      <w:tr>
        <w:trPr>
          <w:trHeight w:val="129"/>
        </w:trPr>
        <w:tc>
          <w:tcPr>
            <w:tcW w:w="2460" w:type="dxa"/>
            <w:vAlign w:val="bottom"/>
          </w:tcPr>
          <w:p>
            <w:pPr>
              <w:ind w:left="240"/>
              <w:spacing w:after="0" w:line="129" w:lineRule="exact"/>
              <w:rPr>
                <w:sz w:val="20"/>
                <w:szCs w:val="20"/>
                <w:color w:val="auto"/>
              </w:rPr>
            </w:pPr>
            <w:r>
              <w:rPr>
                <w:rFonts w:ascii="Arial" w:cs="Arial" w:eastAsia="Arial" w:hAnsi="Arial"/>
                <w:sz w:val="13"/>
                <w:szCs w:val="13"/>
                <w:color w:val="auto"/>
              </w:rPr>
              <w:t>Change in fair value of contingent</w:t>
            </w:r>
          </w:p>
        </w:tc>
        <w:tc>
          <w:tcPr>
            <w:tcW w:w="100" w:type="dxa"/>
            <w:vAlign w:val="bottom"/>
          </w:tcPr>
          <w:p>
            <w:pPr>
              <w:spacing w:after="0"/>
              <w:rPr>
                <w:sz w:val="11"/>
                <w:szCs w:val="11"/>
                <w:color w:val="auto"/>
              </w:rPr>
            </w:pPr>
          </w:p>
        </w:tc>
        <w:tc>
          <w:tcPr>
            <w:tcW w:w="940" w:type="dxa"/>
            <w:vAlign w:val="bottom"/>
            <w:vMerge w:val="restart"/>
          </w:tcPr>
          <w:p>
            <w:pPr>
              <w:jc w:val="right"/>
              <w:ind w:right="17"/>
              <w:spacing w:after="0"/>
              <w:rPr>
                <w:sz w:val="20"/>
                <w:szCs w:val="20"/>
                <w:color w:val="auto"/>
              </w:rPr>
            </w:pPr>
            <w:r>
              <w:rPr>
                <w:rFonts w:ascii="Arial" w:cs="Arial" w:eastAsia="Arial" w:hAnsi="Arial"/>
                <w:sz w:val="13"/>
                <w:szCs w:val="13"/>
                <w:color w:val="auto"/>
              </w:rPr>
              <w:t>19,700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70,700</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70,700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13.1 %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(51,000)</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(72.1)%</w:t>
            </w:r>
          </w:p>
        </w:tc>
        <w:tc>
          <w:tcPr>
            <w:tcW w:w="0" w:type="dxa"/>
            <w:vAlign w:val="bottom"/>
          </w:tcPr>
          <w:p>
            <w:pPr>
              <w:spacing w:after="0"/>
              <w:rPr>
                <w:sz w:val="1"/>
                <w:szCs w:val="1"/>
                <w:color w:val="auto"/>
              </w:rPr>
            </w:pPr>
          </w:p>
        </w:tc>
      </w:tr>
      <w:tr>
        <w:trPr>
          <w:trHeight w:val="160"/>
        </w:trPr>
        <w:tc>
          <w:tcPr>
            <w:tcW w:w="2460" w:type="dxa"/>
            <w:vAlign w:val="bottom"/>
          </w:tcPr>
          <w:p>
            <w:pPr>
              <w:ind w:left="240"/>
              <w:spacing w:after="0"/>
              <w:rPr>
                <w:sz w:val="20"/>
                <w:szCs w:val="20"/>
                <w:color w:val="auto"/>
              </w:rPr>
            </w:pPr>
            <w:r>
              <w:rPr>
                <w:rFonts w:ascii="Arial" w:cs="Arial" w:eastAsia="Arial" w:hAnsi="Arial"/>
                <w:sz w:val="13"/>
                <w:szCs w:val="13"/>
                <w:color w:val="auto"/>
              </w:rPr>
              <w:t>consideration liability</w:t>
            </w: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94,056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65,839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233.3 %</w:t>
            </w:r>
          </w:p>
        </w:tc>
        <w:tc>
          <w:tcPr>
            <w:tcW w:w="0" w:type="dxa"/>
            <w:vAlign w:val="bottom"/>
          </w:tcPr>
          <w:p>
            <w:pPr>
              <w:spacing w:after="0"/>
              <w:rPr>
                <w:sz w:val="1"/>
                <w:szCs w:val="1"/>
                <w:color w:val="auto"/>
              </w:rPr>
            </w:pPr>
          </w:p>
        </w:tc>
      </w:tr>
      <w:tr>
        <w:trPr>
          <w:trHeight w:val="168"/>
        </w:trPr>
        <w:tc>
          <w:tcPr>
            <w:tcW w:w="2460" w:type="dxa"/>
            <w:vAlign w:val="bottom"/>
          </w:tcPr>
          <w:p>
            <w:pPr>
              <w:ind w:left="240"/>
              <w:spacing w:after="0"/>
              <w:rPr>
                <w:sz w:val="20"/>
                <w:szCs w:val="20"/>
                <w:color w:val="auto"/>
              </w:rPr>
            </w:pPr>
            <w:r>
              <w:rPr>
                <w:rFonts w:ascii="Arial" w:cs="Arial" w:eastAsia="Arial" w:hAnsi="Arial"/>
                <w:sz w:val="13"/>
                <w:szCs w:val="13"/>
                <w:color w:val="auto"/>
              </w:rPr>
              <w:t>Transaction costs</w:t>
            </w:r>
          </w:p>
        </w:tc>
        <w:tc>
          <w:tcPr>
            <w:tcW w:w="10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6,245</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8,512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(8,512)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32,969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8,076</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301.3 %</w:t>
            </w:r>
          </w:p>
        </w:tc>
        <w:tc>
          <w:tcPr>
            <w:tcW w:w="0" w:type="dxa"/>
            <w:vAlign w:val="bottom"/>
          </w:tcPr>
          <w:p>
            <w:pPr>
              <w:spacing w:after="0"/>
              <w:rPr>
                <w:sz w:val="1"/>
                <w:szCs w:val="1"/>
                <w:color w:val="auto"/>
              </w:rPr>
            </w:pPr>
          </w:p>
        </w:tc>
      </w:tr>
      <w:tr>
        <w:trPr>
          <w:trHeight w:val="169"/>
        </w:trPr>
        <w:tc>
          <w:tcPr>
            <w:tcW w:w="24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0"/>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(97,157)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16,039</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(57,129)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(41,090)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(56,067)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136.4 %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789" w:right="339" w:bottom="1440" w:gutter="0" w:footer="0" w:header="0"/>
        </w:sectPr>
      </w:pPr>
    </w:p>
    <w:bookmarkStart w:id="14" w:name="page15"/>
    <w:bookmarkEnd w:id="14"/>
    <w:p>
      <w:pPr>
        <w:ind w:right="16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twelve months ended December 31, 2020 and 2019, for those submissions that are commissionable (compensated through commissions received from carriers):</w:t>
      </w:r>
    </w:p>
    <w:p>
      <w:pPr>
        <w:sectPr>
          <w:pgSz w:w="11900" w:h="16838" w:orient="portrait"/>
          <w:cols w:equalWidth="0" w:num="1">
            <w:col w:w="11240"/>
          </w:cols>
          <w:pgMar w:left="320" w:top="897" w:right="339" w:bottom="1440" w:gutter="0" w:footer="0" w:header="0"/>
        </w:sectPr>
      </w:pP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4160" w:type="dxa"/>
            <w:vAlign w:val="bottom"/>
          </w:tcPr>
          <w:p>
            <w:pPr>
              <w:spacing w:after="0"/>
              <w:rPr>
                <w:sz w:val="15"/>
                <w:szCs w:val="15"/>
                <w:color w:val="auto"/>
              </w:rPr>
            </w:pPr>
          </w:p>
        </w:tc>
        <w:tc>
          <w:tcPr>
            <w:tcW w:w="2380" w:type="dxa"/>
            <w:vAlign w:val="bottom"/>
            <w:gridSpan w:val="4"/>
          </w:tcPr>
          <w:p>
            <w:pPr>
              <w:ind w:left="820"/>
              <w:spacing w:after="0"/>
              <w:rPr>
                <w:sz w:val="20"/>
                <w:szCs w:val="20"/>
                <w:color w:val="auto"/>
              </w:rPr>
            </w:pPr>
            <w:r>
              <w:rPr>
                <w:rFonts w:ascii="Arial" w:cs="Arial" w:eastAsia="Arial" w:hAnsi="Arial"/>
                <w:sz w:val="13"/>
                <w:szCs w:val="13"/>
                <w:b w:val="1"/>
                <w:bCs w:val="1"/>
                <w:color w:val="auto"/>
              </w:rPr>
              <w:t>Successor</w:t>
            </w:r>
          </w:p>
        </w:tc>
        <w:tc>
          <w:tcPr>
            <w:tcW w:w="2280" w:type="dxa"/>
            <w:vAlign w:val="bottom"/>
            <w:gridSpan w:val="3"/>
          </w:tcPr>
          <w:p>
            <w:pPr>
              <w:jc w:val="right"/>
              <w:ind w:right="757"/>
              <w:spacing w:after="0"/>
              <w:rPr>
                <w:sz w:val="20"/>
                <w:szCs w:val="20"/>
                <w:color w:val="auto"/>
              </w:rPr>
            </w:pPr>
            <w:r>
              <w:rPr>
                <w:rFonts w:ascii="Arial" w:cs="Arial" w:eastAsia="Arial" w:hAnsi="Arial"/>
                <w:sz w:val="13"/>
                <w:szCs w:val="13"/>
                <w:b w:val="1"/>
                <w:bCs w:val="1"/>
                <w:color w:val="auto"/>
              </w:rPr>
              <w:t>Successor</w:t>
            </w:r>
          </w:p>
        </w:tc>
      </w:tr>
      <w:tr>
        <w:trPr>
          <w:trHeight w:val="122"/>
        </w:trPr>
        <w:tc>
          <w:tcPr>
            <w:tcW w:w="41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Twelve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8"/>
              </w:rPr>
              <w:t>Period from Sep.</w:t>
            </w:r>
          </w:p>
        </w:tc>
      </w:tr>
      <w:tr>
        <w:trPr>
          <w:trHeight w:val="122"/>
        </w:trPr>
        <w:tc>
          <w:tcPr>
            <w:tcW w:w="416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13, 2019 through</w:t>
            </w:r>
          </w:p>
        </w:tc>
      </w:tr>
      <w:tr>
        <w:trPr>
          <w:trHeight w:val="169"/>
        </w:trPr>
        <w:tc>
          <w:tcPr>
            <w:tcW w:w="4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Dec. 31, 2019</w:t>
            </w:r>
          </w:p>
        </w:tc>
      </w:tr>
      <w:tr>
        <w:trPr>
          <w:trHeight w:val="160"/>
        </w:trPr>
        <w:tc>
          <w:tcPr>
            <w:tcW w:w="4160" w:type="dxa"/>
            <w:vAlign w:val="bottom"/>
          </w:tcPr>
          <w:p>
            <w:pPr>
              <w:spacing w:after="0"/>
              <w:rPr>
                <w:sz w:val="20"/>
                <w:szCs w:val="20"/>
                <w:color w:val="auto"/>
              </w:rPr>
            </w:pPr>
            <w:r>
              <w:rPr>
                <w:rFonts w:ascii="Arial" w:cs="Arial" w:eastAsia="Arial" w:hAnsi="Arial"/>
                <w:sz w:val="13"/>
                <w:szCs w:val="13"/>
                <w:color w:val="auto"/>
              </w:rPr>
              <w:t>Medicare Advantage</w:t>
            </w:r>
          </w:p>
        </w:tc>
        <w:tc>
          <w:tcPr>
            <w:tcW w:w="1100" w:type="dxa"/>
            <w:vAlign w:val="bottom"/>
          </w:tcPr>
          <w:p>
            <w:pPr>
              <w:jc w:val="right"/>
              <w:spacing w:after="0"/>
              <w:rPr>
                <w:sz w:val="20"/>
                <w:szCs w:val="20"/>
                <w:color w:val="auto"/>
              </w:rPr>
            </w:pPr>
            <w:r>
              <w:rPr>
                <w:rFonts w:ascii="Arial" w:cs="Arial" w:eastAsia="Arial" w:hAnsi="Arial"/>
                <w:sz w:val="13"/>
                <w:szCs w:val="13"/>
                <w:color w:val="auto"/>
              </w:rPr>
              <w:t>330,604</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208,991</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644,669</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222,599</w:t>
            </w:r>
          </w:p>
        </w:tc>
      </w:tr>
      <w:tr>
        <w:trPr>
          <w:trHeight w:val="176"/>
        </w:trPr>
        <w:tc>
          <w:tcPr>
            <w:tcW w:w="4160" w:type="dxa"/>
            <w:vAlign w:val="bottom"/>
          </w:tcPr>
          <w:p>
            <w:pPr>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2,955</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6,681</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9,119</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7,444</w:t>
            </w:r>
          </w:p>
        </w:tc>
      </w:tr>
      <w:tr>
        <w:trPr>
          <w:trHeight w:val="185"/>
        </w:trPr>
        <w:tc>
          <w:tcPr>
            <w:tcW w:w="4160" w:type="dxa"/>
            <w:vAlign w:val="bottom"/>
          </w:tcPr>
          <w:p>
            <w:pPr>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10,293</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13,386</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16,762</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13,838</w:t>
            </w:r>
          </w:p>
        </w:tc>
      </w:tr>
      <w:tr>
        <w:trPr>
          <w:trHeight w:val="176"/>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Medicare - Commissionable Submitted Policies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343,852</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229,058</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670,550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243,881</w:t>
            </w: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132320" cy="857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Predecessor</w:t>
      </w:r>
    </w:p>
    <w:p>
      <w:pPr>
        <w:spacing w:after="0" w:line="40" w:lineRule="exact"/>
        <w:rPr>
          <w:sz w:val="20"/>
          <w:szCs w:val="20"/>
          <w:color w:val="auto"/>
        </w:rPr>
      </w:pPr>
    </w:p>
    <w:p>
      <w:pPr>
        <w:jc w:val="both"/>
        <w:ind w:left="20" w:right="40" w:hanging="30"/>
        <w:spacing w:after="0" w:line="238" w:lineRule="auto"/>
        <w:rPr>
          <w:sz w:val="20"/>
          <w:szCs w:val="20"/>
          <w:color w:val="auto"/>
        </w:rPr>
      </w:pPr>
      <w:r>
        <w:rPr>
          <w:rFonts w:ascii="Arial" w:cs="Arial" w:eastAsia="Arial" w:hAnsi="Arial"/>
          <w:sz w:val="12"/>
          <w:szCs w:val="12"/>
          <w:b w:val="1"/>
          <w:bCs w:val="1"/>
          <w:color w:val="auto"/>
        </w:rPr>
        <w:t>Period from Jan. 1, 2019 through Sep. 12, 2019</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134,173</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11,205</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7,675</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153,053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54610</wp:posOffset>
            </wp:positionV>
            <wp:extent cx="7029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Combined</w:t>
      </w:r>
    </w:p>
    <w:p>
      <w:pPr>
        <w:spacing w:after="0" w:line="40" w:lineRule="exact"/>
        <w:rPr>
          <w:sz w:val="20"/>
          <w:szCs w:val="20"/>
          <w:color w:val="auto"/>
        </w:rPr>
      </w:pPr>
    </w:p>
    <w:p>
      <w:pPr>
        <w:jc w:val="center"/>
        <w:ind w:right="100"/>
        <w:spacing w:after="0" w:line="219" w:lineRule="auto"/>
        <w:rPr>
          <w:sz w:val="20"/>
          <w:szCs w:val="20"/>
          <w:color w:val="auto"/>
        </w:rPr>
      </w:pPr>
      <w:r>
        <w:rPr>
          <w:rFonts w:ascii="Arial" w:cs="Arial" w:eastAsia="Arial" w:hAnsi="Arial"/>
          <w:sz w:val="13"/>
          <w:szCs w:val="13"/>
          <w:b w:val="1"/>
          <w:bCs w:val="1"/>
          <w:color w:val="auto"/>
        </w:rPr>
        <w:t>Twelve months ended Dec. 31, 2019</w:t>
      </w:r>
    </w:p>
    <w:p>
      <w:pPr>
        <w:spacing w:after="0" w:line="3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356,772</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18,649</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21,513</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396,934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54610</wp:posOffset>
            </wp:positionV>
            <wp:extent cx="7029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3">
            <w:col w:w="8840" w:space="160"/>
            <w:col w:w="1020" w:space="220"/>
            <w:col w:w="1000"/>
          </w:cols>
          <w:pgMar w:left="320" w:top="897" w:right="339" w:bottom="1440" w:gutter="0" w:footer="0" w:header="0"/>
          <w:type w:val="continuous"/>
        </w:sectPr>
      </w:pPr>
    </w:p>
    <w:p>
      <w:pPr>
        <w:spacing w:after="0" w:line="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the three and twelve months ended December 31, 2020 and 2019. Only commissionable policies are used to calculate our LTV.</w:t>
      </w:r>
    </w:p>
    <w:p>
      <w:pPr>
        <w:sectPr>
          <w:pgSz w:w="11900" w:h="16838" w:orient="portrait"/>
          <w:cols w:equalWidth="0" w:num="1">
            <w:col w:w="11240"/>
          </w:cols>
          <w:pgMar w:left="320" w:top="897"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 Internal</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4160" w:type="dxa"/>
            <w:vAlign w:val="bottom"/>
          </w:tcPr>
          <w:p>
            <w:pPr>
              <w:spacing w:after="0"/>
              <w:rPr>
                <w:sz w:val="15"/>
                <w:szCs w:val="15"/>
                <w:color w:val="auto"/>
              </w:rPr>
            </w:pPr>
          </w:p>
        </w:tc>
        <w:tc>
          <w:tcPr>
            <w:tcW w:w="2380" w:type="dxa"/>
            <w:vAlign w:val="bottom"/>
            <w:gridSpan w:val="4"/>
          </w:tcPr>
          <w:p>
            <w:pPr>
              <w:ind w:left="820"/>
              <w:spacing w:after="0"/>
              <w:rPr>
                <w:sz w:val="20"/>
                <w:szCs w:val="20"/>
                <w:color w:val="auto"/>
              </w:rPr>
            </w:pPr>
            <w:r>
              <w:rPr>
                <w:rFonts w:ascii="Arial" w:cs="Arial" w:eastAsia="Arial" w:hAnsi="Arial"/>
                <w:sz w:val="13"/>
                <w:szCs w:val="13"/>
                <w:b w:val="1"/>
                <w:bCs w:val="1"/>
                <w:color w:val="auto"/>
              </w:rPr>
              <w:t>Successor</w:t>
            </w:r>
          </w:p>
        </w:tc>
        <w:tc>
          <w:tcPr>
            <w:tcW w:w="2280" w:type="dxa"/>
            <w:vAlign w:val="bottom"/>
            <w:gridSpan w:val="3"/>
          </w:tcPr>
          <w:p>
            <w:pPr>
              <w:jc w:val="right"/>
              <w:ind w:right="757"/>
              <w:spacing w:after="0"/>
              <w:rPr>
                <w:sz w:val="20"/>
                <w:szCs w:val="20"/>
                <w:color w:val="auto"/>
              </w:rPr>
            </w:pPr>
            <w:r>
              <w:rPr>
                <w:rFonts w:ascii="Arial" w:cs="Arial" w:eastAsia="Arial" w:hAnsi="Arial"/>
                <w:sz w:val="13"/>
                <w:szCs w:val="13"/>
                <w:b w:val="1"/>
                <w:bCs w:val="1"/>
                <w:color w:val="auto"/>
              </w:rPr>
              <w:t>Successor</w:t>
            </w:r>
          </w:p>
        </w:tc>
      </w:tr>
      <w:tr>
        <w:trPr>
          <w:trHeight w:val="122"/>
        </w:trPr>
        <w:tc>
          <w:tcPr>
            <w:tcW w:w="41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Twelve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8"/>
              </w:rPr>
              <w:t>Period from Sep.</w:t>
            </w:r>
          </w:p>
        </w:tc>
      </w:tr>
      <w:tr>
        <w:trPr>
          <w:trHeight w:val="122"/>
        </w:trPr>
        <w:tc>
          <w:tcPr>
            <w:tcW w:w="416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13, 2019 through</w:t>
            </w:r>
          </w:p>
        </w:tc>
      </w:tr>
      <w:tr>
        <w:trPr>
          <w:trHeight w:val="169"/>
        </w:trPr>
        <w:tc>
          <w:tcPr>
            <w:tcW w:w="4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Dec. 31, 2019</w:t>
            </w:r>
          </w:p>
        </w:tc>
      </w:tr>
      <w:tr>
        <w:trPr>
          <w:trHeight w:val="159"/>
        </w:trPr>
        <w:tc>
          <w:tcPr>
            <w:tcW w:w="4160" w:type="dxa"/>
            <w:vAlign w:val="bottom"/>
          </w:tcPr>
          <w:p>
            <w:pPr>
              <w:spacing w:after="0"/>
              <w:rPr>
                <w:sz w:val="20"/>
                <w:szCs w:val="20"/>
                <w:color w:val="auto"/>
              </w:rPr>
            </w:pPr>
            <w:r>
              <w:rPr>
                <w:rFonts w:ascii="Arial" w:cs="Arial" w:eastAsia="Arial" w:hAnsi="Arial"/>
                <w:sz w:val="13"/>
                <w:szCs w:val="13"/>
                <w:color w:val="auto"/>
              </w:rPr>
              <w:t>Medicare Advantage</w:t>
            </w:r>
          </w:p>
        </w:tc>
        <w:tc>
          <w:tcPr>
            <w:tcW w:w="1100" w:type="dxa"/>
            <w:vAlign w:val="bottom"/>
          </w:tcPr>
          <w:p>
            <w:pPr>
              <w:jc w:val="right"/>
              <w:spacing w:after="0"/>
              <w:rPr>
                <w:sz w:val="20"/>
                <w:szCs w:val="20"/>
                <w:color w:val="auto"/>
              </w:rPr>
            </w:pPr>
            <w:r>
              <w:rPr>
                <w:rFonts w:ascii="Arial" w:cs="Arial" w:eastAsia="Arial" w:hAnsi="Arial"/>
                <w:sz w:val="13"/>
                <w:szCs w:val="13"/>
                <w:color w:val="auto"/>
              </w:rPr>
              <w:t>250,251</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151,029</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478,863</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159,969</w:t>
            </w:r>
          </w:p>
        </w:tc>
      </w:tr>
      <w:tr>
        <w:trPr>
          <w:trHeight w:val="176"/>
        </w:trPr>
        <w:tc>
          <w:tcPr>
            <w:tcW w:w="4160" w:type="dxa"/>
            <w:vAlign w:val="bottom"/>
          </w:tcPr>
          <w:p>
            <w:pPr>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1,514</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1,653</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3,116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1,852</w:t>
            </w:r>
          </w:p>
        </w:tc>
      </w:tr>
      <w:tr>
        <w:trPr>
          <w:trHeight w:val="185"/>
        </w:trPr>
        <w:tc>
          <w:tcPr>
            <w:tcW w:w="4160" w:type="dxa"/>
            <w:vAlign w:val="bottom"/>
          </w:tcPr>
          <w:p>
            <w:pPr>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8,263</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8,630</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13,582</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8,943</w:t>
            </w:r>
          </w:p>
        </w:tc>
      </w:tr>
      <w:tr>
        <w:trPr>
          <w:trHeight w:val="175"/>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Medicare - Internal Commissionable Approved Submissions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260,028</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161,312</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495,561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170,764</w:t>
            </w:r>
          </w:p>
        </w:tc>
      </w:tr>
      <w:tr>
        <w:trPr>
          <w:trHeight w:val="21"/>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5"/>
        </w:trPr>
        <w:tc>
          <w:tcPr>
            <w:tcW w:w="1200" w:type="dxa"/>
            <w:vAlign w:val="bottom"/>
            <w:tcBorders>
              <w:left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4"/>
              </w:rPr>
              <w:t>Predecessor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Combined</w:t>
            </w:r>
          </w:p>
        </w:tc>
      </w:tr>
      <w:tr>
        <w:trPr>
          <w:trHeight w:val="115"/>
        </w:trPr>
        <w:tc>
          <w:tcPr>
            <w:tcW w:w="1100" w:type="dxa"/>
            <w:vAlign w:val="bottom"/>
            <w:tcBorders>
              <w:top w:val="single" w:sz="8" w:color="auto"/>
              <w:lef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5"/>
              </w:rPr>
              <w:t>Period from Jan.</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5"/>
              </w:rPr>
              <w:t>Twelve months</w:t>
            </w:r>
          </w:p>
        </w:tc>
      </w:tr>
      <w:tr>
        <w:trPr>
          <w:trHeight w:val="122"/>
        </w:trPr>
        <w:tc>
          <w:tcPr>
            <w:tcW w:w="1200" w:type="dxa"/>
            <w:vAlign w:val="bottom"/>
            <w:tcBorders>
              <w:left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1, 2019 through</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Dec. 31,</w:t>
            </w:r>
          </w:p>
        </w:tc>
      </w:tr>
      <w:tr>
        <w:trPr>
          <w:trHeight w:val="172"/>
        </w:trPr>
        <w:tc>
          <w:tcPr>
            <w:tcW w:w="1200" w:type="dxa"/>
            <w:vAlign w:val="bottom"/>
            <w:tcBorders>
              <w:left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Sep. 12, 2019</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2019</w:t>
            </w:r>
          </w:p>
        </w:tc>
      </w:tr>
      <w:tr>
        <w:trPr>
          <w:trHeight w:val="157"/>
        </w:trPr>
        <w:tc>
          <w:tcPr>
            <w:tcW w:w="11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3"/>
                <w:szCs w:val="13"/>
                <w:color w:val="auto"/>
              </w:rPr>
              <w:t>86,544</w:t>
            </w:r>
          </w:p>
        </w:tc>
        <w:tc>
          <w:tcPr>
            <w:tcW w:w="100" w:type="dxa"/>
            <w:vAlign w:val="bottom"/>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246,513</w:t>
            </w:r>
          </w:p>
        </w:tc>
      </w:tr>
      <w:tr>
        <w:trPr>
          <w:trHeight w:val="176"/>
        </w:trPr>
        <w:tc>
          <w:tcPr>
            <w:tcW w:w="110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3,198</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5,050</w:t>
            </w:r>
          </w:p>
        </w:tc>
      </w:tr>
      <w:tr>
        <w:trPr>
          <w:trHeight w:val="185"/>
        </w:trPr>
        <w:tc>
          <w:tcPr>
            <w:tcW w:w="11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5,078</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14,021</w:t>
            </w:r>
          </w:p>
        </w:tc>
      </w:tr>
      <w:tr>
        <w:trPr>
          <w:trHeight w:val="172"/>
        </w:trPr>
        <w:tc>
          <w:tcPr>
            <w:tcW w:w="11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94,820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265,584</w:t>
            </w:r>
          </w:p>
        </w:tc>
      </w:tr>
      <w:tr>
        <w:trPr>
          <w:trHeight w:val="24"/>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2">
            <w:col w:w="8840" w:space="100"/>
            <w:col w:w="2300"/>
          </w:cols>
          <w:pgMar w:left="320" w:top="897" w:right="33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Medicare - External</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4160" w:type="dxa"/>
            <w:vAlign w:val="bottom"/>
          </w:tcPr>
          <w:p>
            <w:pPr>
              <w:spacing w:after="0"/>
              <w:rPr>
                <w:sz w:val="15"/>
                <w:szCs w:val="15"/>
                <w:color w:val="auto"/>
              </w:rPr>
            </w:pPr>
          </w:p>
        </w:tc>
        <w:tc>
          <w:tcPr>
            <w:tcW w:w="2380" w:type="dxa"/>
            <w:vAlign w:val="bottom"/>
            <w:gridSpan w:val="4"/>
          </w:tcPr>
          <w:p>
            <w:pPr>
              <w:ind w:left="820"/>
              <w:spacing w:after="0"/>
              <w:rPr>
                <w:sz w:val="20"/>
                <w:szCs w:val="20"/>
                <w:color w:val="auto"/>
              </w:rPr>
            </w:pPr>
            <w:r>
              <w:rPr>
                <w:rFonts w:ascii="Arial" w:cs="Arial" w:eastAsia="Arial" w:hAnsi="Arial"/>
                <w:sz w:val="13"/>
                <w:szCs w:val="13"/>
                <w:b w:val="1"/>
                <w:bCs w:val="1"/>
                <w:color w:val="auto"/>
              </w:rPr>
              <w:t>Successor</w:t>
            </w:r>
          </w:p>
        </w:tc>
        <w:tc>
          <w:tcPr>
            <w:tcW w:w="2280" w:type="dxa"/>
            <w:vAlign w:val="bottom"/>
            <w:gridSpan w:val="3"/>
          </w:tcPr>
          <w:p>
            <w:pPr>
              <w:jc w:val="right"/>
              <w:ind w:right="757"/>
              <w:spacing w:after="0"/>
              <w:rPr>
                <w:sz w:val="20"/>
                <w:szCs w:val="20"/>
                <w:color w:val="auto"/>
              </w:rPr>
            </w:pPr>
            <w:r>
              <w:rPr>
                <w:rFonts w:ascii="Arial" w:cs="Arial" w:eastAsia="Arial" w:hAnsi="Arial"/>
                <w:sz w:val="13"/>
                <w:szCs w:val="13"/>
                <w:b w:val="1"/>
                <w:bCs w:val="1"/>
                <w:color w:val="auto"/>
              </w:rPr>
              <w:t>Successor</w:t>
            </w:r>
          </w:p>
        </w:tc>
      </w:tr>
      <w:tr>
        <w:trPr>
          <w:trHeight w:val="122"/>
        </w:trPr>
        <w:tc>
          <w:tcPr>
            <w:tcW w:w="41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Twelve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8"/>
              </w:rPr>
              <w:t>Period from Sep.</w:t>
            </w:r>
          </w:p>
        </w:tc>
      </w:tr>
      <w:tr>
        <w:trPr>
          <w:trHeight w:val="122"/>
        </w:trPr>
        <w:tc>
          <w:tcPr>
            <w:tcW w:w="416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13, 2019 through</w:t>
            </w:r>
          </w:p>
        </w:tc>
      </w:tr>
      <w:tr>
        <w:trPr>
          <w:trHeight w:val="169"/>
        </w:trPr>
        <w:tc>
          <w:tcPr>
            <w:tcW w:w="4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Dec. 31, 2019</w:t>
            </w:r>
          </w:p>
        </w:tc>
      </w:tr>
      <w:tr>
        <w:trPr>
          <w:trHeight w:val="160"/>
        </w:trPr>
        <w:tc>
          <w:tcPr>
            <w:tcW w:w="4160" w:type="dxa"/>
            <w:vAlign w:val="bottom"/>
          </w:tcPr>
          <w:p>
            <w:pPr>
              <w:spacing w:after="0"/>
              <w:rPr>
                <w:sz w:val="20"/>
                <w:szCs w:val="20"/>
                <w:color w:val="auto"/>
              </w:rPr>
            </w:pPr>
            <w:r>
              <w:rPr>
                <w:rFonts w:ascii="Arial" w:cs="Arial" w:eastAsia="Arial" w:hAnsi="Arial"/>
                <w:sz w:val="13"/>
                <w:szCs w:val="13"/>
                <w:color w:val="auto"/>
              </w:rPr>
              <w:t>Medicare Advantage</w:t>
            </w:r>
          </w:p>
        </w:tc>
        <w:tc>
          <w:tcPr>
            <w:tcW w:w="1100" w:type="dxa"/>
            <w:vAlign w:val="bottom"/>
          </w:tcPr>
          <w:p>
            <w:pPr>
              <w:jc w:val="right"/>
              <w:spacing w:after="0"/>
              <w:rPr>
                <w:sz w:val="20"/>
                <w:szCs w:val="20"/>
                <w:color w:val="auto"/>
              </w:rPr>
            </w:pPr>
            <w:r>
              <w:rPr>
                <w:rFonts w:ascii="Arial" w:cs="Arial" w:eastAsia="Arial" w:hAnsi="Arial"/>
                <w:sz w:val="13"/>
                <w:szCs w:val="13"/>
                <w:color w:val="auto"/>
              </w:rPr>
              <w:t>77,669</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50,411</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158,325</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53,852</w:t>
            </w:r>
          </w:p>
        </w:tc>
      </w:tr>
      <w:tr>
        <w:trPr>
          <w:trHeight w:val="175"/>
        </w:trPr>
        <w:tc>
          <w:tcPr>
            <w:tcW w:w="4160" w:type="dxa"/>
            <w:vAlign w:val="bottom"/>
          </w:tcPr>
          <w:p>
            <w:pPr>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1,219</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3,460</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5,254</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3,926</w:t>
            </w:r>
          </w:p>
        </w:tc>
      </w:tr>
      <w:tr>
        <w:trPr>
          <w:trHeight w:val="185"/>
        </w:trPr>
        <w:tc>
          <w:tcPr>
            <w:tcW w:w="4160" w:type="dxa"/>
            <w:vAlign w:val="bottom"/>
          </w:tcPr>
          <w:p>
            <w:pPr>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1,798</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4,756</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3,036</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4,895</w:t>
            </w:r>
          </w:p>
        </w:tc>
      </w:tr>
      <w:tr>
        <w:trPr>
          <w:trHeight w:val="176"/>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Medicare - External Commissionable Approved Submissions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80,686</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58,627</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166,615</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62,673</w:t>
            </w: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57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Predecessor</w:t>
      </w:r>
    </w:p>
    <w:p>
      <w:pPr>
        <w:spacing w:after="0" w:line="40" w:lineRule="exact"/>
        <w:rPr>
          <w:sz w:val="20"/>
          <w:szCs w:val="20"/>
          <w:color w:val="auto"/>
        </w:rPr>
      </w:pPr>
    </w:p>
    <w:p>
      <w:pPr>
        <w:jc w:val="both"/>
        <w:ind w:left="20" w:right="40" w:hanging="30"/>
        <w:spacing w:after="0" w:line="238" w:lineRule="auto"/>
        <w:rPr>
          <w:sz w:val="20"/>
          <w:szCs w:val="20"/>
          <w:color w:val="auto"/>
        </w:rPr>
      </w:pPr>
      <w:r>
        <w:rPr>
          <w:rFonts w:ascii="Arial" w:cs="Arial" w:eastAsia="Arial" w:hAnsi="Arial"/>
          <w:sz w:val="12"/>
          <w:szCs w:val="12"/>
          <w:b w:val="1"/>
          <w:bCs w:val="1"/>
          <w:color w:val="auto"/>
        </w:rPr>
        <w:t>Period from Jan. 1, 2019 through Sep. 12, 2019</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48,341</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7,065</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2,597</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58,003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47625</wp:posOffset>
            </wp:positionV>
            <wp:extent cx="702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Combined</w:t>
      </w:r>
    </w:p>
    <w:p>
      <w:pPr>
        <w:spacing w:after="0" w:line="40" w:lineRule="exact"/>
        <w:rPr>
          <w:sz w:val="20"/>
          <w:szCs w:val="20"/>
          <w:color w:val="auto"/>
        </w:rPr>
      </w:pPr>
    </w:p>
    <w:p>
      <w:pPr>
        <w:jc w:val="center"/>
        <w:ind w:right="100"/>
        <w:spacing w:after="0" w:line="219" w:lineRule="auto"/>
        <w:rPr>
          <w:sz w:val="20"/>
          <w:szCs w:val="20"/>
          <w:color w:val="auto"/>
        </w:rPr>
      </w:pPr>
      <w:r>
        <w:rPr>
          <w:rFonts w:ascii="Arial" w:cs="Arial" w:eastAsia="Arial" w:hAnsi="Arial"/>
          <w:sz w:val="13"/>
          <w:szCs w:val="13"/>
          <w:b w:val="1"/>
          <w:bCs w:val="1"/>
          <w:color w:val="auto"/>
        </w:rPr>
        <w:t>Twelve months ended Dec. 31, 2019</w:t>
      </w:r>
    </w:p>
    <w:p>
      <w:pPr>
        <w:spacing w:after="0" w:line="3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102,193</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10,991</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7,492</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120,676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54610</wp:posOffset>
            </wp:positionV>
            <wp:extent cx="702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3">
            <w:col w:w="8840" w:space="160"/>
            <w:col w:w="1020" w:space="220"/>
            <w:col w:w="1000"/>
          </w:cols>
          <w:pgMar w:left="320" w:top="897" w:right="339" w:bottom="1440" w:gutter="0" w:footer="0" w:header="0"/>
          <w:type w:val="continuous"/>
        </w:sectPr>
      </w:pPr>
    </w:p>
    <w:p>
      <w:pPr>
        <w:spacing w:after="0" w:line="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table presents the LTV per Approved Submission by product for the Medicare segments for the three and twelve months ended December 31, 2020 and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vMerge w:val="restart"/>
          </w:tcPr>
          <w:p>
            <w:pPr>
              <w:ind w:left="700"/>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12"/>
                <w:szCs w:val="12"/>
                <w:color w:val="auto"/>
              </w:rPr>
            </w:pPr>
          </w:p>
        </w:tc>
        <w:tc>
          <w:tcPr>
            <w:tcW w:w="2380" w:type="dxa"/>
            <w:vAlign w:val="bottom"/>
            <w:tcBorders>
              <w:right w:val="single" w:sz="8" w:color="auto"/>
            </w:tcBorders>
            <w:gridSpan w:val="5"/>
            <w:vMerge w:val="restart"/>
          </w:tcPr>
          <w:p>
            <w:pPr>
              <w:ind w:left="74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Predecessor</w:t>
            </w:r>
          </w:p>
        </w:tc>
        <w:tc>
          <w:tcPr>
            <w:tcW w:w="10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Non-GAAP</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right w:val="single" w:sz="8" w:color="auto"/>
            </w:tcBorders>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Combined</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Three months</w:t>
            </w: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Three months</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Twelve months</w:t>
            </w:r>
          </w:p>
        </w:tc>
        <w:tc>
          <w:tcPr>
            <w:tcW w:w="10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w w:val="98"/>
              </w:rPr>
              <w:t>Period from Sep.</w:t>
            </w:r>
          </w:p>
        </w:tc>
        <w:tc>
          <w:tcPr>
            <w:tcW w:w="160" w:type="dxa"/>
            <w:vAlign w:val="bottom"/>
            <w:tcBorders>
              <w:right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Period from Jan.</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1"/>
        </w:trPr>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8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0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40" w:type="dxa"/>
            <w:vAlign w:val="bottom"/>
            <w:tcBorders>
              <w:right w:val="single" w:sz="8" w:color="auto"/>
            </w:tcBorders>
            <w:gridSpan w:val="3"/>
          </w:tcPr>
          <w:p>
            <w:pPr>
              <w:ind w:left="40"/>
              <w:spacing w:after="0" w:line="122" w:lineRule="exact"/>
              <w:rPr>
                <w:sz w:val="20"/>
                <w:szCs w:val="20"/>
                <w:color w:val="auto"/>
              </w:rPr>
            </w:pPr>
            <w:r>
              <w:rPr>
                <w:rFonts w:ascii="Arial" w:cs="Arial" w:eastAsia="Arial" w:hAnsi="Arial"/>
                <w:sz w:val="13"/>
                <w:szCs w:val="13"/>
                <w:b w:val="1"/>
                <w:bCs w:val="1"/>
                <w:color w:val="auto"/>
              </w:rPr>
              <w:t>13, 2019 through</w:t>
            </w:r>
          </w:p>
        </w:tc>
        <w:tc>
          <w:tcPr>
            <w:tcW w:w="122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95"/>
              </w:rPr>
              <w:t>1, 2019 through</w:t>
            </w:r>
          </w:p>
        </w:tc>
        <w:tc>
          <w:tcPr>
            <w:tcW w:w="10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 31, 2019</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Sep. 12, 2019</w:t>
            </w:r>
          </w:p>
        </w:tc>
        <w:tc>
          <w:tcPr>
            <w:tcW w:w="10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2019</w:t>
            </w:r>
          </w:p>
        </w:tc>
        <w:tc>
          <w:tcPr>
            <w:tcW w:w="0" w:type="dxa"/>
            <w:vAlign w:val="bottom"/>
          </w:tcPr>
          <w:p>
            <w:pPr>
              <w:spacing w:after="0"/>
              <w:rPr>
                <w:sz w:val="1"/>
                <w:szCs w:val="1"/>
                <w:color w:val="auto"/>
              </w:rPr>
            </w:pPr>
          </w:p>
        </w:tc>
      </w:tr>
      <w:tr>
        <w:trPr>
          <w:trHeight w:val="17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1,019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995</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1,018</w:t>
            </w: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888</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68"/>
        </w:trPr>
        <w:tc>
          <w:tcPr>
            <w:tcW w:w="410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934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849</w:t>
            </w:r>
          </w:p>
        </w:tc>
        <w:tc>
          <w:tcPr>
            <w:tcW w:w="1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936</w:t>
            </w:r>
          </w:p>
        </w:tc>
        <w:tc>
          <w:tcPr>
            <w:tcW w:w="160" w:type="dxa"/>
            <w:vAlign w:val="bottom"/>
            <w:tcBorders>
              <w:right w:val="single" w:sz="8" w:color="auto"/>
            </w:tcBorders>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911</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twelve months ended December 31, 2020 and 2019, for those submissions that are non-commissionable (compensated via hourly fees and enrollment fees) and do not result in commission revenue:</w:t>
      </w:r>
    </w:p>
    <w:p>
      <w:pPr>
        <w:sectPr>
          <w:pgSz w:w="11900" w:h="16838" w:orient="portrait"/>
          <w:cols w:equalWidth="0" w:num="1">
            <w:col w:w="11240"/>
          </w:cols>
          <w:pgMar w:left="320" w:top="897" w:right="339" w:bottom="1440" w:gutter="0" w:footer="0" w:header="0"/>
          <w:type w:val="continuous"/>
        </w:sectPr>
      </w:pP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4160" w:type="dxa"/>
            <w:vAlign w:val="bottom"/>
          </w:tcPr>
          <w:p>
            <w:pPr>
              <w:spacing w:after="0"/>
              <w:rPr>
                <w:sz w:val="15"/>
                <w:szCs w:val="15"/>
                <w:color w:val="auto"/>
              </w:rPr>
            </w:pPr>
          </w:p>
        </w:tc>
        <w:tc>
          <w:tcPr>
            <w:tcW w:w="2380" w:type="dxa"/>
            <w:vAlign w:val="bottom"/>
            <w:gridSpan w:val="4"/>
          </w:tcPr>
          <w:p>
            <w:pPr>
              <w:ind w:left="820"/>
              <w:spacing w:after="0"/>
              <w:rPr>
                <w:sz w:val="20"/>
                <w:szCs w:val="20"/>
                <w:color w:val="auto"/>
              </w:rPr>
            </w:pPr>
            <w:r>
              <w:rPr>
                <w:rFonts w:ascii="Arial" w:cs="Arial" w:eastAsia="Arial" w:hAnsi="Arial"/>
                <w:sz w:val="13"/>
                <w:szCs w:val="13"/>
                <w:b w:val="1"/>
                <w:bCs w:val="1"/>
                <w:color w:val="auto"/>
              </w:rPr>
              <w:t>Successor</w:t>
            </w:r>
          </w:p>
        </w:tc>
        <w:tc>
          <w:tcPr>
            <w:tcW w:w="2280" w:type="dxa"/>
            <w:vAlign w:val="bottom"/>
            <w:gridSpan w:val="3"/>
          </w:tcPr>
          <w:p>
            <w:pPr>
              <w:jc w:val="right"/>
              <w:ind w:right="757"/>
              <w:spacing w:after="0"/>
              <w:rPr>
                <w:sz w:val="20"/>
                <w:szCs w:val="20"/>
                <w:color w:val="auto"/>
              </w:rPr>
            </w:pPr>
            <w:r>
              <w:rPr>
                <w:rFonts w:ascii="Arial" w:cs="Arial" w:eastAsia="Arial" w:hAnsi="Arial"/>
                <w:sz w:val="13"/>
                <w:szCs w:val="13"/>
                <w:b w:val="1"/>
                <w:bCs w:val="1"/>
                <w:color w:val="auto"/>
              </w:rPr>
              <w:t>Successor</w:t>
            </w:r>
          </w:p>
        </w:tc>
      </w:tr>
      <w:tr>
        <w:trPr>
          <w:trHeight w:val="121"/>
        </w:trPr>
        <w:tc>
          <w:tcPr>
            <w:tcW w:w="41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Twelve months</w:t>
            </w:r>
          </w:p>
        </w:tc>
        <w:tc>
          <w:tcPr>
            <w:tcW w:w="11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8"/>
              </w:rPr>
              <w:t>Period from Sep.</w:t>
            </w:r>
          </w:p>
        </w:tc>
      </w:tr>
      <w:tr>
        <w:trPr>
          <w:trHeight w:val="122"/>
        </w:trPr>
        <w:tc>
          <w:tcPr>
            <w:tcW w:w="416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13, 2019 through</w:t>
            </w:r>
          </w:p>
        </w:tc>
      </w:tr>
      <w:tr>
        <w:trPr>
          <w:trHeight w:val="169"/>
        </w:trPr>
        <w:tc>
          <w:tcPr>
            <w:tcW w:w="4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Dec. 31, 2019</w:t>
            </w:r>
          </w:p>
        </w:tc>
      </w:tr>
      <w:tr>
        <w:trPr>
          <w:trHeight w:val="160"/>
        </w:trPr>
        <w:tc>
          <w:tcPr>
            <w:tcW w:w="4160" w:type="dxa"/>
            <w:vAlign w:val="bottom"/>
          </w:tcPr>
          <w:p>
            <w:pPr>
              <w:spacing w:after="0"/>
              <w:rPr>
                <w:sz w:val="20"/>
                <w:szCs w:val="20"/>
                <w:color w:val="auto"/>
              </w:rPr>
            </w:pPr>
            <w:r>
              <w:rPr>
                <w:rFonts w:ascii="Arial" w:cs="Arial" w:eastAsia="Arial" w:hAnsi="Arial"/>
                <w:sz w:val="13"/>
                <w:szCs w:val="13"/>
                <w:color w:val="auto"/>
              </w:rPr>
              <w:t>Medicare Advantage</w:t>
            </w:r>
          </w:p>
        </w:tc>
        <w:tc>
          <w:tcPr>
            <w:tcW w:w="1100" w:type="dxa"/>
            <w:vAlign w:val="bottom"/>
          </w:tcPr>
          <w:p>
            <w:pPr>
              <w:jc w:val="right"/>
              <w:spacing w:after="0"/>
              <w:rPr>
                <w:sz w:val="20"/>
                <w:szCs w:val="20"/>
                <w:color w:val="auto"/>
              </w:rPr>
            </w:pPr>
            <w:r>
              <w:rPr>
                <w:rFonts w:ascii="Arial" w:cs="Arial" w:eastAsia="Arial" w:hAnsi="Arial"/>
                <w:sz w:val="13"/>
                <w:szCs w:val="13"/>
                <w:color w:val="auto"/>
              </w:rPr>
              <w:t>23,993</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16,770</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44,799</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17,775</w:t>
            </w:r>
          </w:p>
        </w:tc>
      </w:tr>
      <w:tr>
        <w:trPr>
          <w:trHeight w:val="175"/>
        </w:trPr>
        <w:tc>
          <w:tcPr>
            <w:tcW w:w="4160" w:type="dxa"/>
            <w:vAlign w:val="bottom"/>
          </w:tcPr>
          <w:p>
            <w:pPr>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3,520</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3,951</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8,782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4,185</w:t>
            </w:r>
          </w:p>
        </w:tc>
      </w:tr>
      <w:tr>
        <w:trPr>
          <w:trHeight w:val="185"/>
        </w:trPr>
        <w:tc>
          <w:tcPr>
            <w:tcW w:w="4160" w:type="dxa"/>
            <w:vAlign w:val="bottom"/>
          </w:tcPr>
          <w:p>
            <w:pPr>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2,994</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2,886</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5,781</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3,041</w:t>
            </w:r>
          </w:p>
        </w:tc>
      </w:tr>
      <w:tr>
        <w:trPr>
          <w:trHeight w:val="176"/>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Medicare - Non-commissionable Submitted Policies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30,507</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23,607</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59,362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25,001</w:t>
            </w: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57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Predecessor</w:t>
      </w:r>
    </w:p>
    <w:p>
      <w:pPr>
        <w:spacing w:after="0" w:line="40" w:lineRule="exact"/>
        <w:rPr>
          <w:sz w:val="20"/>
          <w:szCs w:val="20"/>
          <w:color w:val="auto"/>
        </w:rPr>
      </w:pPr>
    </w:p>
    <w:p>
      <w:pPr>
        <w:jc w:val="both"/>
        <w:ind w:left="20" w:right="40" w:hanging="30"/>
        <w:spacing w:after="0" w:line="238" w:lineRule="auto"/>
        <w:rPr>
          <w:sz w:val="20"/>
          <w:szCs w:val="20"/>
          <w:color w:val="auto"/>
        </w:rPr>
      </w:pPr>
      <w:r>
        <w:rPr>
          <w:rFonts w:ascii="Arial" w:cs="Arial" w:eastAsia="Arial" w:hAnsi="Arial"/>
          <w:sz w:val="12"/>
          <w:szCs w:val="12"/>
          <w:b w:val="1"/>
          <w:bCs w:val="1"/>
          <w:color w:val="auto"/>
        </w:rPr>
        <w:t>Period from Jan. 1, 2019 through Sep. 12, 2019</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4,240</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1,051</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471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5,762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47625</wp:posOffset>
            </wp:positionV>
            <wp:extent cx="702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Combined</w:t>
      </w:r>
    </w:p>
    <w:p>
      <w:pPr>
        <w:spacing w:after="0" w:line="40" w:lineRule="exact"/>
        <w:rPr>
          <w:sz w:val="20"/>
          <w:szCs w:val="20"/>
          <w:color w:val="auto"/>
        </w:rPr>
      </w:pPr>
    </w:p>
    <w:p>
      <w:pPr>
        <w:jc w:val="center"/>
        <w:ind w:right="100"/>
        <w:spacing w:after="0" w:line="219" w:lineRule="auto"/>
        <w:rPr>
          <w:sz w:val="20"/>
          <w:szCs w:val="20"/>
          <w:color w:val="auto"/>
        </w:rPr>
      </w:pPr>
      <w:r>
        <w:rPr>
          <w:rFonts w:ascii="Arial" w:cs="Arial" w:eastAsia="Arial" w:hAnsi="Arial"/>
          <w:sz w:val="13"/>
          <w:szCs w:val="13"/>
          <w:b w:val="1"/>
          <w:bCs w:val="1"/>
          <w:color w:val="auto"/>
        </w:rPr>
        <w:t>Twelve months ended Dec. 31, 2019</w:t>
      </w:r>
    </w:p>
    <w:p>
      <w:pPr>
        <w:spacing w:after="0" w:line="3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22,015</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5,236</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3,512</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30,763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47625</wp:posOffset>
            </wp:positionV>
            <wp:extent cx="702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3">
            <w:col w:w="8840" w:space="160"/>
            <w:col w:w="1020" w:space="220"/>
            <w:col w:w="1000"/>
          </w:cols>
          <w:pgMar w:left="320" w:top="897" w:right="339" w:bottom="1440" w:gutter="0" w:footer="0" w:header="0"/>
          <w:type w:val="continuous"/>
        </w:sectPr>
      </w:pPr>
    </w:p>
    <w:p>
      <w:pPr>
        <w:spacing w:after="0" w:line="3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The following table sets forth the components of our results of operations for each quarter of 2020 (unaudited):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7"/>
              </w:rPr>
              <w:t>Successor</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1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Three months</w:t>
            </w:r>
          </w:p>
        </w:tc>
        <w:tc>
          <w:tcPr>
            <w:tcW w:w="80" w:type="dxa"/>
            <w:vAlign w:val="bottom"/>
          </w:tcPr>
          <w:p>
            <w:pPr>
              <w:spacing w:after="0"/>
              <w:rPr>
                <w:sz w:val="23"/>
                <w:szCs w:val="2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536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1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3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59"/>
        </w:trPr>
        <w:tc>
          <w:tcPr>
            <w:tcW w:w="5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6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112,510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96,606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101,390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360,634</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671,140</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28,500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30,451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61,970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85,289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206,210</w:t>
            </w:r>
          </w:p>
        </w:tc>
        <w:tc>
          <w:tcPr>
            <w:tcW w:w="0" w:type="dxa"/>
            <w:vAlign w:val="bottom"/>
          </w:tcPr>
          <w:p>
            <w:pPr>
              <w:spacing w:after="0"/>
              <w:rPr>
                <w:sz w:val="1"/>
                <w:szCs w:val="1"/>
                <w:color w:val="auto"/>
              </w:rPr>
            </w:pPr>
          </w:p>
        </w:tc>
      </w:tr>
      <w:tr>
        <w:trPr>
          <w:trHeight w:val="16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141,010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127,057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163,360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445,923</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877,350</w:t>
            </w: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42,134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36,559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25,827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94,682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199,202</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62,848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96,309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206,864</w:t>
            </w:r>
          </w:p>
        </w:tc>
        <w:tc>
          <w:tcPr>
            <w:tcW w:w="0" w:type="dxa"/>
            <w:vAlign w:val="bottom"/>
          </w:tcPr>
          <w:p>
            <w:pPr>
              <w:spacing w:after="0"/>
              <w:rPr>
                <w:sz w:val="1"/>
                <w:szCs w:val="1"/>
                <w:color w:val="auto"/>
              </w:rPr>
            </w:pPr>
          </w:p>
        </w:tc>
      </w:tr>
      <w:tr>
        <w:trPr>
          <w:trHeight w:val="168"/>
        </w:trPr>
        <w:tc>
          <w:tcPr>
            <w:tcW w:w="536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52,896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60,229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165,497</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39,520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59,348</w:t>
            </w:r>
          </w:p>
        </w:tc>
        <w:tc>
          <w:tcPr>
            <w:tcW w:w="0" w:type="dxa"/>
            <w:vAlign w:val="bottom"/>
          </w:tcPr>
          <w:p>
            <w:pPr>
              <w:spacing w:after="0"/>
              <w:rPr>
                <w:sz w:val="1"/>
                <w:szCs w:val="1"/>
                <w:color w:val="auto"/>
              </w:rPr>
            </w:pPr>
          </w:p>
        </w:tc>
      </w:tr>
      <w:tr>
        <w:trPr>
          <w:trHeight w:val="168"/>
        </w:trPr>
        <w:tc>
          <w:tcPr>
            <w:tcW w:w="536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156,551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19,828</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197,229</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69"/>
        </w:trPr>
        <w:tc>
          <w:tcPr>
            <w:tcW w:w="53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23,514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23,514</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94,056</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135,183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141,465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361,156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304,092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941,896</w:t>
            </w:r>
          </w:p>
        </w:tc>
        <w:tc>
          <w:tcPr>
            <w:tcW w:w="0" w:type="dxa"/>
            <w:vAlign w:val="bottom"/>
          </w:tcPr>
          <w:p>
            <w:pPr>
              <w:spacing w:after="0"/>
              <w:rPr>
                <w:sz w:val="1"/>
                <w:szCs w:val="1"/>
                <w:color w:val="auto"/>
              </w:rPr>
            </w:pPr>
          </w:p>
        </w:tc>
      </w:tr>
      <w:tr>
        <w:trPr>
          <w:trHeight w:val="161"/>
        </w:trPr>
        <w:tc>
          <w:tcPr>
            <w:tcW w:w="536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(14,408)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(197,796)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141,831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(64,546)</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8,636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32,969</w:t>
            </w:r>
          </w:p>
        </w:tc>
        <w:tc>
          <w:tcPr>
            <w:tcW w:w="0" w:type="dxa"/>
            <w:vAlign w:val="bottom"/>
          </w:tcPr>
          <w:p>
            <w:pPr>
              <w:spacing w:after="0"/>
              <w:rPr>
                <w:sz w:val="1"/>
                <w:szCs w:val="1"/>
                <w:color w:val="auto"/>
              </w:rPr>
            </w:pPr>
          </w:p>
        </w:tc>
      </w:tr>
      <w:tr>
        <w:trPr>
          <w:trHeight w:val="16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(22,889)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(206,434)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133,105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(97,157)</w:t>
            </w:r>
          </w:p>
        </w:tc>
        <w:tc>
          <w:tcPr>
            <w:tcW w:w="0" w:type="dxa"/>
            <w:vAlign w:val="bottom"/>
          </w:tcPr>
          <w:p>
            <w:pPr>
              <w:spacing w:after="0"/>
              <w:rPr>
                <w:sz w:val="1"/>
                <w:szCs w:val="1"/>
                <w:color w:val="auto"/>
              </w:rPr>
            </w:pPr>
          </w:p>
        </w:tc>
      </w:tr>
      <w:tr>
        <w:trPr>
          <w:trHeight w:val="16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(22,867)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(206,496)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133,100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(97,200)</w:t>
            </w:r>
          </w:p>
        </w:tc>
        <w:tc>
          <w:tcPr>
            <w:tcW w:w="0" w:type="dxa"/>
            <w:vAlign w:val="bottom"/>
          </w:tcPr>
          <w:p>
            <w:pPr>
              <w:spacing w:after="0"/>
              <w:rPr>
                <w:sz w:val="1"/>
                <w:szCs w:val="1"/>
                <w:color w:val="auto"/>
              </w:rPr>
            </w:pPr>
          </w:p>
        </w:tc>
      </w:tr>
      <w:tr>
        <w:trPr>
          <w:trHeight w:val="151"/>
        </w:trPr>
        <w:tc>
          <w:tcPr>
            <w:tcW w:w="536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(150,076)</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97,143</w:t>
            </w:r>
          </w:p>
        </w:tc>
        <w:tc>
          <w:tcPr>
            <w:tcW w:w="120" w:type="dxa"/>
            <w:vAlign w:val="bottom"/>
            <w:tcBorders>
              <w:bottom w:val="single" w:sz="8" w:color="CCEEFF"/>
              <w:right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(52,933)</w:t>
            </w:r>
          </w:p>
        </w:tc>
        <w:tc>
          <w:tcPr>
            <w:tcW w:w="0" w:type="dxa"/>
            <w:vAlign w:val="bottom"/>
          </w:tcPr>
          <w:p>
            <w:pPr>
              <w:spacing w:after="0"/>
              <w:rPr>
                <w:sz w:val="1"/>
                <w:szCs w:val="1"/>
                <w:color w:val="auto"/>
              </w:rPr>
            </w:pPr>
          </w:p>
        </w:tc>
      </w:tr>
      <w:tr>
        <w:trPr>
          <w:trHeight w:val="201"/>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(22,867)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(56,420)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35,957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(44,267)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share-based compensation expense embedded in the operating expense line items for each quarter of 2020 (unaudited):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4"/>
              </w:rPr>
              <w:t>Successor</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Three months</w:t>
            </w:r>
          </w:p>
        </w:tc>
        <w:tc>
          <w:tcPr>
            <w:tcW w:w="100" w:type="dxa"/>
            <w:vAlign w:val="bottom"/>
          </w:tcPr>
          <w:p>
            <w:pPr>
              <w:spacing w:after="0"/>
              <w:rPr>
                <w:sz w:val="23"/>
                <w:szCs w:val="2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1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Three months</w:t>
            </w:r>
          </w:p>
        </w:tc>
        <w:tc>
          <w:tcPr>
            <w:tcW w:w="80" w:type="dxa"/>
            <w:vAlign w:val="bottom"/>
          </w:tcPr>
          <w:p>
            <w:pPr>
              <w:spacing w:after="0"/>
              <w:rPr>
                <w:sz w:val="23"/>
                <w:szCs w:val="2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538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0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1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3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24,709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24,890</w:t>
            </w: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11,993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550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12,599</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32,748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33,085</w:t>
            </w:r>
          </w:p>
        </w:tc>
        <w:tc>
          <w:tcPr>
            <w:tcW w:w="0" w:type="dxa"/>
            <w:vAlign w:val="bottom"/>
          </w:tcPr>
          <w:p>
            <w:pPr>
              <w:spacing w:after="0"/>
              <w:rPr>
                <w:sz w:val="1"/>
                <w:szCs w:val="1"/>
                <w:color w:val="auto"/>
              </w:rPr>
            </w:pPr>
          </w:p>
        </w:tc>
      </w:tr>
      <w:tr>
        <w:trPr>
          <w:trHeight w:val="16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142,620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2,289</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145,655</w:t>
            </w:r>
          </w:p>
        </w:tc>
        <w:tc>
          <w:tcPr>
            <w:tcW w:w="0" w:type="dxa"/>
            <w:vAlign w:val="bottom"/>
          </w:tcPr>
          <w:p>
            <w:pPr>
              <w:spacing w:after="0"/>
              <w:rPr>
                <w:sz w:val="1"/>
                <w:szCs w:val="1"/>
                <w:color w:val="auto"/>
              </w:rPr>
            </w:pPr>
          </w:p>
        </w:tc>
      </w:tr>
      <w:tr>
        <w:trPr>
          <w:trHeight w:val="20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212,070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3,083</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216,229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8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table sets forth operating segment results for each quarter of 2020 (unaudited):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4"/>
              </w:rPr>
              <w:t>Successor</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Three months</w:t>
            </w:r>
          </w:p>
        </w:tc>
        <w:tc>
          <w:tcPr>
            <w:tcW w:w="100" w:type="dxa"/>
            <w:vAlign w:val="bottom"/>
          </w:tcPr>
          <w:p>
            <w:pPr>
              <w:spacing w:after="0"/>
              <w:rPr>
                <w:sz w:val="23"/>
                <w:szCs w:val="2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1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Three months</w:t>
            </w:r>
          </w:p>
        </w:tc>
        <w:tc>
          <w:tcPr>
            <w:tcW w:w="80" w:type="dxa"/>
            <w:vAlign w:val="bottom"/>
          </w:tcPr>
          <w:p>
            <w:pPr>
              <w:spacing w:after="0"/>
              <w:rPr>
                <w:sz w:val="23"/>
                <w:szCs w:val="2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538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0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1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3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59"/>
        </w:trPr>
        <w:tc>
          <w:tcPr>
            <w:tcW w:w="5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95,287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87,201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133,723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351,082</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667,293</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20,252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78,355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155,660</w:t>
            </w: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6,147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10,473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32,271</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3,238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22,126</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141,010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127,057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163,360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445,923</w:t>
            </w:r>
          </w:p>
        </w:tc>
        <w:tc>
          <w:tcPr>
            <w:tcW w:w="120" w:type="dxa"/>
            <w:vAlign w:val="bottom"/>
            <w:tcBorders>
              <w:right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877,350</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Segment profit: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41,735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32,746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49,464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172,920</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296,865</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5,944</w:t>
            </w:r>
          </w:p>
        </w:tc>
        <w:tc>
          <w:tcPr>
            <w:tcW w:w="0" w:type="dxa"/>
            <w:vAlign w:val="bottom"/>
          </w:tcPr>
          <w:p>
            <w:pPr>
              <w:spacing w:after="0"/>
              <w:rPr>
                <w:sz w:val="1"/>
                <w:szCs w:val="1"/>
                <w:color w:val="auto"/>
              </w:rPr>
            </w:pPr>
          </w:p>
        </w:tc>
      </w:tr>
      <w:tr>
        <w:trPr>
          <w:trHeight w:val="167"/>
        </w:trPr>
        <w:tc>
          <w:tcPr>
            <w:tcW w:w="53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4,087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4,269</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3"/>
                <w:szCs w:val="13"/>
                <w:color w:val="auto"/>
              </w:rPr>
              <w:t>Segment profit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42,406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33,317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50,086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183,179</w:t>
            </w:r>
          </w:p>
        </w:tc>
        <w:tc>
          <w:tcPr>
            <w:tcW w:w="120" w:type="dxa"/>
            <w:vAlign w:val="bottom"/>
            <w:tcBorders>
              <w:right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308,988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each quarter of 2020 (unaudited):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7"/>
              </w:rPr>
              <w:t>Successor</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23"/>
                <w:szCs w:val="2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23"/>
                <w:szCs w:val="23"/>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3"/>
                <w:szCs w:val="23"/>
                <w:color w:val="auto"/>
              </w:rPr>
            </w:pPr>
          </w:p>
        </w:tc>
        <w:tc>
          <w:tcPr>
            <w:tcW w:w="10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1"/>
        </w:trPr>
        <w:tc>
          <w:tcPr>
            <w:tcW w:w="500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 w:type="dxa"/>
            <w:vAlign w:val="bottom"/>
          </w:tcPr>
          <w:p>
            <w:pPr>
              <w:spacing w:after="0"/>
              <w:rPr>
                <w:sz w:val="10"/>
                <w:szCs w:val="10"/>
                <w:color w:val="auto"/>
              </w:rPr>
            </w:pPr>
          </w:p>
        </w:tc>
        <w:tc>
          <w:tcPr>
            <w:tcW w:w="116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00" w:type="dxa"/>
            <w:vAlign w:val="bottom"/>
          </w:tcPr>
          <w:p>
            <w:pPr>
              <w:spacing w:after="0"/>
              <w:rPr>
                <w:sz w:val="10"/>
                <w:szCs w:val="10"/>
                <w:color w:val="auto"/>
              </w:rPr>
            </w:pPr>
          </w:p>
        </w:tc>
        <w:tc>
          <w:tcPr>
            <w:tcW w:w="10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0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141,010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127,057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163,360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445,923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877,350</w:t>
            </w:r>
          </w:p>
        </w:tc>
        <w:tc>
          <w:tcPr>
            <w:tcW w:w="0" w:type="dxa"/>
            <w:vAlign w:val="bottom"/>
          </w:tcPr>
          <w:p>
            <w:pPr>
              <w:spacing w:after="0"/>
              <w:rPr>
                <w:sz w:val="1"/>
                <w:szCs w:val="1"/>
                <w:color w:val="auto"/>
              </w:rPr>
            </w:pPr>
          </w:p>
        </w:tc>
      </w:tr>
      <w:tr>
        <w:trPr>
          <w:trHeight w:val="149"/>
        </w:trPr>
        <w:tc>
          <w:tcPr>
            <w:tcW w:w="5000" w:type="dxa"/>
            <w:vAlign w:val="bottom"/>
          </w:tcPr>
          <w:p>
            <w:pPr>
              <w:ind w:left="20"/>
              <w:spacing w:after="0" w:line="141" w:lineRule="exact"/>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(937)</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(22,867)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(206,496)</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133,100</w:t>
            </w:r>
          </w:p>
        </w:tc>
        <w:tc>
          <w:tcPr>
            <w:tcW w:w="100" w:type="dxa"/>
            <w:vAlign w:val="bottom"/>
            <w:tcBorders>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(97,200)</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8,986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8,591</w:t>
            </w: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32,969</w:t>
            </w:r>
          </w:p>
        </w:tc>
        <w:tc>
          <w:tcPr>
            <w:tcW w:w="0" w:type="dxa"/>
            <w:vAlign w:val="bottom"/>
          </w:tcPr>
          <w:p>
            <w:pPr>
              <w:spacing w:after="0"/>
              <w:rPr>
                <w:sz w:val="1"/>
                <w:szCs w:val="1"/>
                <w:color w:val="auto"/>
              </w:rPr>
            </w:pPr>
          </w:p>
        </w:tc>
      </w:tr>
      <w:tr>
        <w:trPr>
          <w:trHeight w:val="168"/>
        </w:trPr>
        <w:tc>
          <w:tcPr>
            <w:tcW w:w="500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5</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24,147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24,518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24,777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25,110</w:t>
            </w: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98,552</w:t>
            </w:r>
          </w:p>
        </w:tc>
        <w:tc>
          <w:tcPr>
            <w:tcW w:w="0" w:type="dxa"/>
            <w:vAlign w:val="bottom"/>
          </w:tcPr>
          <w:p>
            <w:pPr>
              <w:spacing w:after="0"/>
              <w:rPr>
                <w:sz w:val="1"/>
                <w:szCs w:val="1"/>
                <w:color w:val="auto"/>
              </w:rPr>
            </w:pPr>
          </w:p>
        </w:tc>
      </w:tr>
      <w:tr>
        <w:trPr>
          <w:trHeight w:val="16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29,964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10,615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(173,021)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166,806</w:t>
            </w:r>
          </w:p>
        </w:tc>
        <w:tc>
          <w:tcPr>
            <w:tcW w:w="10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34,364</w:t>
            </w: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3,083</w:t>
            </w: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6,929</w:t>
            </w:r>
          </w:p>
        </w:tc>
        <w:tc>
          <w:tcPr>
            <w:tcW w:w="0" w:type="dxa"/>
            <w:vAlign w:val="bottom"/>
          </w:tcPr>
          <w:p>
            <w:pPr>
              <w:spacing w:after="0"/>
              <w:rPr>
                <w:sz w:val="1"/>
                <w:szCs w:val="1"/>
                <w:color w:val="auto"/>
              </w:rPr>
            </w:pPr>
          </w:p>
        </w:tc>
      </w:tr>
      <w:tr>
        <w:trPr>
          <w:trHeight w:val="168"/>
        </w:trPr>
        <w:tc>
          <w:tcPr>
            <w:tcW w:w="5000" w:type="dxa"/>
            <w:vAlign w:val="bottom"/>
          </w:tcPr>
          <w:p>
            <w:pPr>
              <w:ind w:left="240"/>
              <w:spacing w:after="0"/>
              <w:rPr>
                <w:sz w:val="20"/>
                <w:szCs w:val="20"/>
                <w:color w:val="auto"/>
              </w:rPr>
            </w:pPr>
            <w:r>
              <w:rPr>
                <w:rFonts w:ascii="Arial" w:cs="Arial" w:eastAsia="Arial" w:hAnsi="Arial"/>
                <w:sz w:val="13"/>
                <w:szCs w:val="13"/>
                <w:color w:val="auto"/>
              </w:rPr>
              <w:t>Accelerated vesting of certain equity awards (2)</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209,300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209,300</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 (3)</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15,300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69"/>
        </w:trPr>
        <w:tc>
          <w:tcPr>
            <w:tcW w:w="5000" w:type="dxa"/>
            <w:vAlign w:val="bottom"/>
          </w:tcPr>
          <w:p>
            <w:pPr>
              <w:ind w:left="240"/>
              <w:spacing w:after="0"/>
              <w:rPr>
                <w:sz w:val="20"/>
                <w:szCs w:val="20"/>
                <w:color w:val="auto"/>
              </w:rPr>
            </w:pPr>
            <w:r>
              <w:rPr>
                <w:rFonts w:ascii="Arial" w:cs="Arial" w:eastAsia="Arial" w:hAnsi="Arial"/>
                <w:sz w:val="13"/>
                <w:szCs w:val="13"/>
                <w:color w:val="auto"/>
              </w:rPr>
              <w:t>Other adjustments (4)</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20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34,920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26,936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39,284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169,889</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271,029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-8255</wp:posOffset>
            </wp:positionV>
            <wp:extent cx="74549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5490" cy="12001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3560" w:type="dxa"/>
            <w:vAlign w:val="bottom"/>
          </w:tcPr>
          <w:p>
            <w:pPr>
              <w:spacing w:after="0"/>
              <w:rPr>
                <w:sz w:val="20"/>
                <w:szCs w:val="20"/>
                <w:color w:val="auto"/>
              </w:rPr>
            </w:pPr>
            <w:r>
              <w:rPr>
                <w:rFonts w:ascii="Arial" w:cs="Arial" w:eastAsia="Arial" w:hAnsi="Arial"/>
                <w:sz w:val="13"/>
                <w:szCs w:val="13"/>
                <w:color w:val="auto"/>
              </w:rPr>
              <w:t>Adjusted EBITDA margin</w:t>
            </w:r>
          </w:p>
        </w:tc>
        <w:tc>
          <w:tcPr>
            <w:tcW w:w="3000" w:type="dxa"/>
            <w:vAlign w:val="bottom"/>
          </w:tcPr>
          <w:p>
            <w:pPr>
              <w:jc w:val="right"/>
              <w:ind w:right="377"/>
              <w:spacing w:after="0"/>
              <w:rPr>
                <w:sz w:val="20"/>
                <w:szCs w:val="20"/>
                <w:color w:val="auto"/>
              </w:rPr>
            </w:pPr>
            <w:r>
              <w:rPr>
                <w:rFonts w:ascii="Arial" w:cs="Arial" w:eastAsia="Arial" w:hAnsi="Arial"/>
                <w:sz w:val="13"/>
                <w:szCs w:val="13"/>
                <w:color w:val="auto"/>
              </w:rPr>
              <w:t>24.8 %</w:t>
            </w:r>
          </w:p>
        </w:tc>
        <w:tc>
          <w:tcPr>
            <w:tcW w:w="1280" w:type="dxa"/>
            <w:vAlign w:val="bottom"/>
          </w:tcPr>
          <w:p>
            <w:pPr>
              <w:jc w:val="right"/>
              <w:ind w:right="377"/>
              <w:spacing w:after="0"/>
              <w:rPr>
                <w:sz w:val="20"/>
                <w:szCs w:val="20"/>
                <w:color w:val="auto"/>
              </w:rPr>
            </w:pPr>
            <w:r>
              <w:rPr>
                <w:rFonts w:ascii="Arial" w:cs="Arial" w:eastAsia="Arial" w:hAnsi="Arial"/>
                <w:sz w:val="13"/>
                <w:szCs w:val="13"/>
                <w:color w:val="auto"/>
              </w:rPr>
              <w:t>21.2 %</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24.0 %</w:t>
            </w:r>
          </w:p>
        </w:tc>
        <w:tc>
          <w:tcPr>
            <w:tcW w:w="840" w:type="dxa"/>
            <w:vAlign w:val="bottom"/>
          </w:tcPr>
          <w:p>
            <w:pPr>
              <w:jc w:val="right"/>
              <w:spacing w:after="0"/>
              <w:rPr>
                <w:sz w:val="20"/>
                <w:szCs w:val="20"/>
                <w:color w:val="auto"/>
              </w:rPr>
            </w:pPr>
            <w:r>
              <w:rPr>
                <w:rFonts w:ascii="Arial" w:cs="Arial" w:eastAsia="Arial" w:hAnsi="Arial"/>
                <w:sz w:val="13"/>
                <w:szCs w:val="13"/>
                <w:color w:val="auto"/>
              </w:rPr>
              <w:t>38.1 %</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30.9 %</w:t>
      </w:r>
    </w:p>
    <w:p>
      <w:pPr>
        <w:spacing w:after="0" w:line="109" w:lineRule="exact"/>
        <w:rPr>
          <w:sz w:val="20"/>
          <w:szCs w:val="20"/>
          <w:color w:val="auto"/>
        </w:rPr>
      </w:pPr>
    </w:p>
    <w:p>
      <w:pPr>
        <w:sectPr>
          <w:pgSz w:w="11900" w:h="16838" w:orient="portrait"/>
          <w:cols w:equalWidth="0" w:num="2">
            <w:col w:w="10100" w:space="720"/>
            <w:col w:w="420"/>
          </w:cols>
          <w:pgMar w:left="320" w:top="789"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stock options, restricted stock units and time-vesting units.</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the accelerated vesting of performance-vesting units in connection with the IPO.</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 and costs associated with the termination of employment.</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sectPr>
      <w:pgSz w:w="11900" w:h="16838" w:orient="portrait"/>
      <w:cols w:equalWidth="0" w:num="1">
        <w:col w:w="11240"/>
      </w:cols>
      <w:pgMar w:left="320" w:top="78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2021-03-08T16:01:12Z</dcterms:created>
  <dcterms:modified xsi:type="dcterms:W3CDTF">2021-03-08T16:01:12Z</dcterms:modified>
</cp:coreProperties>
</file>