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33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color w:val="0000EE"/>
              </w:rPr>
            </w:pPr>
            <w:hyperlink r:id="rId10">
              <w:r>
                <w:rPr>
                  <w:rFonts w:ascii="Arial" w:cs="Arial" w:eastAsia="Arial" w:hAnsi="Arial"/>
                  <w:sz w:val="24"/>
                  <w:szCs w:val="24"/>
                  <w:u w:val="single" w:color="auto"/>
                  <w:color w:val="0000EE"/>
                </w:rPr>
                <w:t>Cruz Brandon M</w:t>
              </w:r>
              <w:r>
                <w:rPr>
                  <w:rFonts w:ascii="Arial" w:cs="Arial" w:eastAsia="Arial" w:hAnsi="Arial"/>
                  <w:sz w:val="24"/>
                  <w:szCs w:val="24"/>
                  <w:color w:val="0000EE"/>
                </w:rPr>
                <w: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331"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20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460" w:type="dxa"/>
            <w:vAlign w:val="bottom"/>
          </w:tcPr>
          <w:p>
            <w:pPr>
              <w:ind w:left="5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5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Chief Strategy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441325</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331"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B Common Stock</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20"/>
                <w:szCs w:val="20"/>
                <w:color w:val="0000FF"/>
              </w:rPr>
              <w:t>103,658,920</w:t>
            </w:r>
          </w:p>
        </w:tc>
        <w:tc>
          <w:tcPr>
            <w:tcW w:w="1140" w:type="dxa"/>
            <w:vAlign w:val="bottom"/>
          </w:tcPr>
          <w:p>
            <w:pPr>
              <w:ind w:left="1000"/>
              <w:spacing w:after="0"/>
              <w:rPr>
                <w:sz w:val="20"/>
                <w:szCs w:val="20"/>
                <w:color w:val="auto"/>
              </w:rPr>
            </w:pPr>
            <w:r>
              <w:rPr>
                <w:rFonts w:ascii="Arial" w:cs="Arial" w:eastAsia="Arial" w:hAnsi="Arial"/>
                <w:sz w:val="20"/>
                <w:szCs w:val="20"/>
                <w:color w:val="0000FF"/>
              </w:rPr>
              <w:t>I</w:t>
            </w:r>
          </w:p>
        </w:tc>
        <w:tc>
          <w:tcPr>
            <w:tcW w:w="3340" w:type="dxa"/>
            <w:vAlign w:val="bottom"/>
            <w:gridSpan w:val="4"/>
          </w:tcPr>
          <w:p>
            <w:pPr>
              <w:ind w:left="560"/>
              <w:spacing w:after="0"/>
              <w:rPr>
                <w:sz w:val="20"/>
                <w:szCs w:val="20"/>
                <w:color w:val="auto"/>
              </w:rPr>
            </w:pPr>
            <w:r>
              <w:rPr>
                <w:rFonts w:ascii="Arial" w:cs="Arial" w:eastAsia="Arial" w:hAnsi="Arial"/>
                <w:sz w:val="20"/>
                <w:szCs w:val="20"/>
                <w:color w:val="0000FF"/>
              </w:rPr>
              <w:t>By NVX Holdings, Inc.</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B Common Stock</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jc w:val="right"/>
              <w:ind w:right="251"/>
              <w:spacing w:after="0"/>
              <w:rPr>
                <w:sz w:val="20"/>
                <w:szCs w:val="20"/>
                <w:color w:val="auto"/>
              </w:rPr>
            </w:pPr>
            <w:r>
              <w:rPr>
                <w:rFonts w:ascii="Arial" w:cs="Arial" w:eastAsia="Arial" w:hAnsi="Arial"/>
                <w:sz w:val="20"/>
                <w:szCs w:val="20"/>
                <w:color w:val="0000FF"/>
              </w:rPr>
              <w:t>49,009</w:t>
            </w:r>
          </w:p>
        </w:tc>
        <w:tc>
          <w:tcPr>
            <w:tcW w:w="1140" w:type="dxa"/>
            <w:vAlign w:val="bottom"/>
          </w:tcPr>
          <w:p>
            <w:pPr>
              <w:ind w:left="1000"/>
              <w:spacing w:after="0"/>
              <w:rPr>
                <w:sz w:val="20"/>
                <w:szCs w:val="20"/>
                <w:color w:val="auto"/>
              </w:rPr>
            </w:pPr>
            <w:r>
              <w:rPr>
                <w:rFonts w:ascii="Arial" w:cs="Arial" w:eastAsia="Arial" w:hAnsi="Arial"/>
                <w:sz w:val="20"/>
                <w:szCs w:val="20"/>
                <w:color w:val="0000FF"/>
              </w:rPr>
              <w:t>I</w:t>
            </w:r>
          </w:p>
        </w:tc>
        <w:tc>
          <w:tcPr>
            <w:tcW w:w="1920" w:type="dxa"/>
            <w:vAlign w:val="bottom"/>
            <w:gridSpan w:val="2"/>
          </w:tcPr>
          <w:p>
            <w:pPr>
              <w:ind w:left="560"/>
              <w:spacing w:after="0"/>
              <w:rPr>
                <w:sz w:val="20"/>
                <w:szCs w:val="20"/>
                <w:color w:val="auto"/>
              </w:rPr>
            </w:pPr>
            <w:r>
              <w:rPr>
                <w:rFonts w:ascii="Arial" w:cs="Arial" w:eastAsia="Arial" w:hAnsi="Arial"/>
                <w:sz w:val="20"/>
                <w:szCs w:val="20"/>
                <w:color w:val="0000FF"/>
              </w:rPr>
              <w:t>By BCCJ, LLC</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720" w:type="dxa"/>
            <w:vAlign w:val="bottom"/>
            <w:tcBorders>
              <w:bottom w:val="single" w:sz="8" w:color="2C2C2C"/>
            </w:tcBorders>
            <w:gridSpan w:val="5"/>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720" w:type="dxa"/>
            <w:vAlign w:val="bottom"/>
            <w:tcBorders>
              <w:top w:val="single" w:sz="8" w:color="2C2C2C"/>
            </w:tcBorders>
            <w:gridSpan w:val="5"/>
          </w:tcPr>
          <w:p>
            <w:pPr>
              <w:ind w:left="3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2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LLC Interests</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8"/>
              </w:rPr>
              <w:t>103,658,920</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8000"/>
              </w:rPr>
              <w:t>(1)</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20" w:type="dxa"/>
            <w:vAlign w:val="bottom"/>
            <w:gridSpan w:val="2"/>
          </w:tcPr>
          <w:p>
            <w:pPr>
              <w:ind w:left="80"/>
              <w:spacing w:after="0"/>
              <w:rPr>
                <w:sz w:val="20"/>
                <w:szCs w:val="20"/>
                <w:color w:val="auto"/>
              </w:rPr>
            </w:pPr>
            <w:r>
              <w:rPr>
                <w:rFonts w:ascii="Arial" w:cs="Arial" w:eastAsia="Arial" w:hAnsi="Arial"/>
                <w:sz w:val="20"/>
                <w:szCs w:val="20"/>
                <w:color w:val="0000FF"/>
              </w:rPr>
              <w:t>By NVX</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20"/>
                <w:szCs w:val="20"/>
                <w:color w:val="0000FF"/>
              </w:rPr>
              <w:t>Holdings, Inc.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LLC Interests</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8"/>
              </w:rPr>
              <w:t>49,009</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8000"/>
              </w:rPr>
              <w:t>(1)</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20" w:type="dxa"/>
            <w:vAlign w:val="bottom"/>
            <w:gridSpan w:val="2"/>
            <w:vMerge w:val="restart"/>
          </w:tcPr>
          <w:p>
            <w:pPr>
              <w:ind w:left="80"/>
              <w:spacing w:after="0"/>
              <w:rPr>
                <w:sz w:val="20"/>
                <w:szCs w:val="20"/>
                <w:color w:val="auto"/>
              </w:rPr>
            </w:pPr>
            <w:r>
              <w:rPr>
                <w:rFonts w:ascii="Arial" w:cs="Arial" w:eastAsia="Arial" w:hAnsi="Arial"/>
                <w:sz w:val="20"/>
                <w:szCs w:val="20"/>
                <w:color w:val="0000FF"/>
              </w:rPr>
              <w:t>By BCCJ, LLC</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Blizzard Management Feeder</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90"/>
              </w:rPr>
              <w:t>LLC Interests</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7"/>
              </w:rPr>
              <w:t>3,122,505</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8000"/>
              </w:rPr>
              <w:t>(3)</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w w:val="96"/>
              </w:rPr>
              <w:t>D</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LLC Interests</w:t>
            </w:r>
          </w:p>
        </w:tc>
        <w:tc>
          <w:tcPr>
            <w:tcW w:w="10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-2361565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LLC Interests may be redeemed by the Reporting Person at any time on or following the closing of the Initial Public Offering for shares of Class A Common Stock on a 1-to-</w:t>
      </w:r>
    </w:p>
    <w:p>
      <w:pPr>
        <w:spacing w:after="0" w:line="27" w:lineRule="exact"/>
        <w:rPr>
          <w:rFonts w:ascii="Arial" w:cs="Arial" w:eastAsia="Arial" w:hAnsi="Arial"/>
          <w:sz w:val="13"/>
          <w:szCs w:val="13"/>
          <w:color w:val="008000"/>
        </w:rPr>
      </w:pPr>
    </w:p>
    <w:p>
      <w:pPr>
        <w:ind w:left="40"/>
        <w:spacing w:after="0"/>
        <w:rPr>
          <w:rFonts w:ascii="Arial" w:cs="Arial" w:eastAsia="Arial" w:hAnsi="Arial"/>
          <w:sz w:val="13"/>
          <w:szCs w:val="13"/>
          <w:color w:val="008000"/>
        </w:rPr>
      </w:pPr>
      <w:r>
        <w:rPr>
          <w:rFonts w:ascii="Arial" w:cs="Arial" w:eastAsia="Arial" w:hAnsi="Arial"/>
          <w:sz w:val="15"/>
          <w:szCs w:val="15"/>
          <w:color w:val="008000"/>
        </w:rPr>
        <w:t>1 basis.</w:t>
      </w:r>
    </w:p>
    <w:p>
      <w:pPr>
        <w:spacing w:after="0" w:line="40" w:lineRule="exact"/>
        <w:rPr>
          <w:rFonts w:ascii="Arial" w:cs="Arial" w:eastAsia="Arial" w:hAnsi="Arial"/>
          <w:sz w:val="13"/>
          <w:szCs w:val="13"/>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2,081,670 of the Blizzard Management Feeder LLC Interests ("Feeder Interests") are fully vested and currently exercisable. The remaining Feeder Interests will vest in five equal annual installments beginning on September 13, 2020 and have no expiration date</w:t>
      </w:r>
    </w:p>
    <w:p>
      <w:pPr>
        <w:spacing w:after="0" w:line="26" w:lineRule="exact"/>
        <w:rPr>
          <w:rFonts w:ascii="Arial" w:cs="Arial" w:eastAsia="Arial" w:hAnsi="Arial"/>
          <w:sz w:val="15"/>
          <w:szCs w:val="15"/>
          <w:color w:val="008000"/>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Feeder Interests are convertible at the option of the holder for LLC Interests on a 1-for-1 basis, which will be subsequently redeemed for an equal number of shares of Class A Common Stock.</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Clinton P. Jones,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64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07/15/2020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Brandon M. Cruz</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331"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18th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Brandon M. Cruz</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BRANDON M. CRUZ</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5855"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2020-07-15T20:44:41Z</dcterms:created>
  <dcterms:modified xsi:type="dcterms:W3CDTF">2020-07-15T20:44:41Z</dcterms:modified>
</cp:coreProperties>
</file>