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13D</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GoHealth,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Class A Common Stock, par value $0.0001 per share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38046W105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Clinton P. Jones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214 West Huron St.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 60654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386-8200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(Name, Address and Telephone Number of Person Authorized to Receive Notices and Communications)</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With copies to:</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Patrick Croke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Croke Fairchild Duarte &amp; Beres LLC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180 N LaSalle Street, Ste. 3400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Chicago, IL 60601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(312) 650-8650</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August 24, 2023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1" w:lineRule="exact"/>
        <w:rPr>
          <w:sz w:val="24"/>
          <w:szCs w:val="24"/>
          <w:color w:val="auto"/>
        </w:rPr>
      </w:pPr>
    </w:p>
    <w:p>
      <w:pPr>
        <w:ind w:firstLine="324"/>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Note</w:t>
      </w:r>
      <w:r>
        <w:rPr>
          <w:rFonts w:ascii="Arial" w:cs="Arial" w:eastAsia="Arial" w:hAnsi="Arial"/>
          <w:sz w:val="18"/>
          <w:szCs w:val="18"/>
          <w:color w:val="auto"/>
        </w:rPr>
        <w:t>: Schedules filed in paper format shall include a signed original and five copies of the schedule, including all exhibits. See Rule 13d-7(b)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3" w:lineRule="exact"/>
        <w:rPr>
          <w:sz w:val="24"/>
          <w:szCs w:val="24"/>
          <w:color w:val="auto"/>
        </w:rPr>
      </w:pPr>
    </w:p>
    <w:p>
      <w:pPr>
        <w:ind w:left="660" w:right="20" w:hanging="328"/>
        <w:spacing w:after="0" w:line="308"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102235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jc w:val="both"/>
        <w:ind w:firstLine="324"/>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5880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5880735"/>
                    </a:xfrm>
                    <a:prstGeom prst="rect">
                      <a:avLst/>
                    </a:prstGeom>
                    <a:noFill/>
                  </pic:spPr>
                </pic:pic>
              </a:graphicData>
            </a:graphic>
          </wp:anchor>
        </w:drawing>
      </w:r>
    </w:p>
    <w:p>
      <w:pPr>
        <w:spacing w:after="0" w:line="191" w:lineRule="exact"/>
        <w:rPr>
          <w:sz w:val="20"/>
          <w:szCs w:val="20"/>
          <w:color w:val="auto"/>
        </w:rPr>
      </w:pPr>
    </w:p>
    <w:p>
      <w:pPr>
        <w:ind w:left="720" w:hanging="685"/>
        <w:spacing w:after="0"/>
        <w:tabs>
          <w:tab w:leader="none" w:pos="72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NVX Holdings, Inc.</w:t>
      </w:r>
    </w:p>
    <w:p>
      <w:pPr>
        <w:spacing w:after="0" w:line="36" w:lineRule="exact"/>
        <w:rPr>
          <w:sz w:val="20"/>
          <w:szCs w:val="20"/>
          <w:color w:val="auto"/>
        </w:rPr>
      </w:pPr>
    </w:p>
    <w:p>
      <w:pPr>
        <w:ind w:left="720" w:hanging="685"/>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sz w:val="20"/>
          <w:szCs w:val="20"/>
          <w:color w:val="auto"/>
        </w:rPr>
      </w:pPr>
    </w:p>
    <w:p>
      <w:pPr>
        <w:ind w:left="720"/>
        <w:spacing w:after="0" w:line="207" w:lineRule="exact"/>
        <w:tabs>
          <w:tab w:leader="none" w:pos="136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96" w:lineRule="exact"/>
        <w:rPr>
          <w:sz w:val="20"/>
          <w:szCs w:val="20"/>
          <w:color w:val="auto"/>
        </w:rPr>
      </w:pPr>
    </w:p>
    <w:p>
      <w:pPr>
        <w:ind w:left="720" w:hanging="685"/>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7" w:lineRule="exact"/>
        <w:rPr>
          <w:sz w:val="20"/>
          <w:szCs w:val="20"/>
          <w:color w:val="auto"/>
        </w:rPr>
      </w:pPr>
    </w:p>
    <w:p>
      <w:pPr>
        <w:ind w:left="720" w:hanging="685"/>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720"/>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720" w:hanging="685"/>
        <w:spacing w:after="0"/>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80" w:lineRule="exact"/>
        <w:rPr>
          <w:sz w:val="20"/>
          <w:szCs w:val="20"/>
          <w:color w:val="auto"/>
        </w:rPr>
      </w:pPr>
    </w:p>
    <w:p>
      <w:pPr>
        <w:ind w:left="720"/>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720" w:hanging="685"/>
        <w:spacing w:after="0"/>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9"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206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Sole Voting Power</w:t>
      </w:r>
    </w:p>
    <w:p>
      <w:pPr>
        <w:spacing w:after="0" w:line="225" w:lineRule="exact"/>
        <w:rPr>
          <w:sz w:val="20"/>
          <w:szCs w:val="20"/>
          <w:color w:val="auto"/>
        </w:rPr>
      </w:pPr>
    </w:p>
    <w:tbl>
      <w:tblPr>
        <w:tblLayout w:type="fixed"/>
        <w:tblInd w:w="400" w:type="dxa"/>
        <w:tblCellMar>
          <w:top w:w="0" w:type="dxa"/>
          <w:left w:w="0" w:type="dxa"/>
          <w:bottom w:w="0" w:type="dxa"/>
          <w:right w:w="0" w:type="dxa"/>
        </w:tblCellMar>
      </w:tblPr>
      <w:tr>
        <w:trPr>
          <w:trHeight w:val="237"/>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4"/>
              </w:rPr>
              <w:t>SHARES</w:t>
            </w:r>
          </w:p>
        </w:tc>
        <w:tc>
          <w:tcPr>
            <w:tcW w:w="440" w:type="dxa"/>
            <w:vAlign w:val="bottom"/>
          </w:tcPr>
          <w:p>
            <w:pPr>
              <w:ind w:left="20"/>
              <w:spacing w:after="0"/>
              <w:rPr>
                <w:sz w:val="20"/>
                <w:szCs w:val="20"/>
                <w:color w:val="auto"/>
              </w:rPr>
            </w:pPr>
            <w:r>
              <w:rPr>
                <w:rFonts w:ascii="Arial" w:cs="Arial" w:eastAsia="Arial" w:hAnsi="Arial"/>
                <w:sz w:val="18"/>
                <w:szCs w:val="18"/>
                <w:color w:val="auto"/>
              </w:rPr>
              <w:t>8</w:t>
            </w:r>
          </w:p>
        </w:tc>
        <w:tc>
          <w:tcPr>
            <w:tcW w:w="876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9"/>
              </w:rPr>
              <w:t>BENEFICIALLY</w:t>
            </w:r>
          </w:p>
        </w:tc>
        <w:tc>
          <w:tcPr>
            <w:tcW w:w="440" w:type="dxa"/>
            <w:vAlign w:val="bottom"/>
          </w:tcPr>
          <w:p>
            <w:pPr>
              <w:spacing w:after="0"/>
              <w:rPr>
                <w:sz w:val="18"/>
                <w:szCs w:val="18"/>
                <w:color w:val="auto"/>
              </w:rPr>
            </w:pP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6,232,352</w:t>
            </w:r>
          </w:p>
        </w:tc>
        <w:tc>
          <w:tcPr>
            <w:tcW w:w="0" w:type="dxa"/>
            <w:vAlign w:val="bottom"/>
          </w:tcPr>
          <w:p>
            <w:pPr>
              <w:spacing w:after="0"/>
              <w:rPr>
                <w:sz w:val="1"/>
                <w:szCs w:val="1"/>
                <w:color w:val="auto"/>
              </w:rPr>
            </w:pPr>
          </w:p>
        </w:tc>
      </w:tr>
      <w:tr>
        <w:trPr>
          <w:trHeight w:val="224"/>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tcBorders>
          </w:tcPr>
          <w:p>
            <w:pPr>
              <w:spacing w:after="0"/>
              <w:rPr>
                <w:sz w:val="19"/>
                <w:szCs w:val="19"/>
                <w:color w:val="auto"/>
              </w:rPr>
            </w:pPr>
          </w:p>
        </w:tc>
        <w:tc>
          <w:tcPr>
            <w:tcW w:w="8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4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9"/>
              </w:rPr>
              <w:t>EACH</w:t>
            </w:r>
          </w:p>
        </w:tc>
        <w:tc>
          <w:tcPr>
            <w:tcW w:w="440" w:type="dxa"/>
            <w:vAlign w:val="bottom"/>
          </w:tcPr>
          <w:p>
            <w:pPr>
              <w:ind w:left="20"/>
              <w:spacing w:after="0" w:line="189" w:lineRule="exact"/>
              <w:rPr>
                <w:sz w:val="20"/>
                <w:szCs w:val="20"/>
                <w:color w:val="auto"/>
              </w:rPr>
            </w:pPr>
            <w:r>
              <w:rPr>
                <w:rFonts w:ascii="Arial" w:cs="Arial" w:eastAsia="Arial" w:hAnsi="Arial"/>
                <w:sz w:val="18"/>
                <w:szCs w:val="18"/>
                <w:color w:val="auto"/>
              </w:rPr>
              <w:t>9</w:t>
            </w:r>
          </w:p>
        </w:tc>
        <w:tc>
          <w:tcPr>
            <w:tcW w:w="8760" w:type="dxa"/>
            <w:vAlign w:val="bottom"/>
          </w:tcPr>
          <w:p>
            <w:pPr>
              <w:ind w:left="26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3"/>
              </w:rPr>
              <w:t>REPORTING</w:t>
            </w:r>
          </w:p>
        </w:tc>
        <w:tc>
          <w:tcPr>
            <w:tcW w:w="44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2"/>
              </w:rPr>
              <w:t>PERSON</w:t>
            </w:r>
          </w:p>
        </w:tc>
        <w:tc>
          <w:tcPr>
            <w:tcW w:w="440" w:type="dxa"/>
            <w:vAlign w:val="bottom"/>
          </w:tcPr>
          <w:p>
            <w:pPr>
              <w:spacing w:after="0"/>
              <w:rPr>
                <w:sz w:val="18"/>
                <w:szCs w:val="18"/>
                <w:color w:val="auto"/>
              </w:rPr>
            </w:pPr>
          </w:p>
        </w:tc>
        <w:tc>
          <w:tcPr>
            <w:tcW w:w="876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64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3"/>
                <w:szCs w:val="3"/>
                <w:color w:val="auto"/>
              </w:rPr>
            </w:pPr>
          </w:p>
        </w:tc>
        <w:tc>
          <w:tcPr>
            <w:tcW w:w="8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640" w:type="dxa"/>
            <w:vAlign w:val="bottom"/>
            <w:vMerge w:val="continue"/>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10</w:t>
            </w:r>
          </w:p>
        </w:tc>
        <w:tc>
          <w:tcPr>
            <w:tcW w:w="876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6,232,352</w:t>
      </w:r>
    </w:p>
    <w:p>
      <w:pPr>
        <w:spacing w:after="0" w:line="36" w:lineRule="exact"/>
        <w:rPr>
          <w:sz w:val="20"/>
          <w:szCs w:val="20"/>
          <w:color w:val="auto"/>
        </w:rPr>
      </w:pPr>
    </w:p>
    <w:p>
      <w:pPr>
        <w:ind w:left="720" w:right="5720" w:hanging="685"/>
        <w:spacing w:after="0" w:line="391"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6,232,352</w:t>
      </w:r>
    </w:p>
    <w:p>
      <w:pPr>
        <w:ind w:left="720" w:hanging="68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180" w:lineRule="exact"/>
        <w:rPr>
          <w:rFonts w:ascii="Arial" w:cs="Arial" w:eastAsia="Arial" w:hAnsi="Arial"/>
          <w:sz w:val="18"/>
          <w:szCs w:val="18"/>
          <w:color w:val="auto"/>
        </w:rPr>
      </w:pPr>
    </w:p>
    <w:p>
      <w:pPr>
        <w:ind w:left="720"/>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20" w:right="6660" w:hanging="685"/>
        <w:spacing w:after="0" w:line="382" w:lineRule="auto"/>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39.6%</w:t>
      </w:r>
    </w:p>
    <w:p>
      <w:pPr>
        <w:ind w:left="720" w:hanging="685"/>
        <w:spacing w:after="0"/>
        <w:tabs>
          <w:tab w:leader="none" w:pos="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306070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2" w:name="page3"/>
    <w:bookmarkEnd w:id="2"/>
    <w:p>
      <w:pPr>
        <w:ind w:left="685" w:hanging="685"/>
        <w:spacing w:after="0"/>
        <w:tabs>
          <w:tab w:leader="none" w:pos="685"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880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5880735"/>
                    </a:xfrm>
                    <a:prstGeom prst="rect">
                      <a:avLst/>
                    </a:prstGeom>
                    <a:noFill/>
                  </pic:spPr>
                </pic:pic>
              </a:graphicData>
            </a:graphic>
          </wp:anchor>
        </w:drawing>
        <w:t>Names of Reporting Persons</w:t>
      </w:r>
    </w:p>
    <w:p>
      <w:pPr>
        <w:spacing w:after="0" w:line="225" w:lineRule="exact"/>
        <w:rPr>
          <w:sz w:val="20"/>
          <w:szCs w:val="20"/>
          <w:color w:val="auto"/>
        </w:rPr>
      </w:pPr>
    </w:p>
    <w:p>
      <w:pPr>
        <w:ind w:left="685"/>
        <w:spacing w:after="0"/>
        <w:rPr>
          <w:sz w:val="20"/>
          <w:szCs w:val="20"/>
          <w:color w:val="auto"/>
        </w:rPr>
      </w:pPr>
      <w:r>
        <w:rPr>
          <w:rFonts w:ascii="Arial" w:cs="Arial" w:eastAsia="Arial" w:hAnsi="Arial"/>
          <w:sz w:val="18"/>
          <w:szCs w:val="18"/>
          <w:color w:val="auto"/>
        </w:rPr>
        <w:t>Brandon M. Cruz</w:t>
      </w:r>
    </w:p>
    <w:p>
      <w:pPr>
        <w:spacing w:after="0" w:line="36" w:lineRule="exact"/>
        <w:rPr>
          <w:sz w:val="20"/>
          <w:szCs w:val="20"/>
          <w:color w:val="auto"/>
        </w:rPr>
      </w:pPr>
    </w:p>
    <w:p>
      <w:pPr>
        <w:ind w:left="685" w:hanging="685"/>
        <w:spacing w:after="0"/>
        <w:tabs>
          <w:tab w:leader="none" w:pos="68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sz w:val="20"/>
          <w:szCs w:val="20"/>
          <w:color w:val="auto"/>
        </w:rPr>
      </w:pPr>
    </w:p>
    <w:p>
      <w:pPr>
        <w:ind w:left="685"/>
        <w:spacing w:after="0" w:line="207" w:lineRule="exact"/>
        <w:tabs>
          <w:tab w:leader="none" w:pos="1325"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(b) </w:t>
      </w:r>
      <w:r>
        <w:rPr>
          <w:rFonts w:ascii="MS PGothic" w:cs="MS PGothic" w:eastAsia="MS PGothic" w:hAnsi="MS PGothic"/>
          <w:sz w:val="16"/>
          <w:szCs w:val="16"/>
          <w:color w:val="auto"/>
        </w:rPr>
        <w:t>☒</w:t>
      </w:r>
    </w:p>
    <w:p>
      <w:pPr>
        <w:spacing w:after="0" w:line="96" w:lineRule="exact"/>
        <w:rPr>
          <w:sz w:val="20"/>
          <w:szCs w:val="20"/>
          <w:color w:val="auto"/>
        </w:rPr>
      </w:pPr>
    </w:p>
    <w:p>
      <w:pPr>
        <w:ind w:left="685" w:hanging="685"/>
        <w:spacing w:after="0"/>
        <w:tabs>
          <w:tab w:leader="none" w:pos="685"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7" w:lineRule="exact"/>
        <w:rPr>
          <w:sz w:val="20"/>
          <w:szCs w:val="20"/>
          <w:color w:val="auto"/>
        </w:rPr>
      </w:pPr>
    </w:p>
    <w:p>
      <w:pPr>
        <w:ind w:left="685" w:hanging="685"/>
        <w:spacing w:after="0"/>
        <w:tabs>
          <w:tab w:leader="none" w:pos="685"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685"/>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85" w:hanging="685"/>
        <w:spacing w:after="0"/>
        <w:tabs>
          <w:tab w:leader="none" w:pos="685"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80" w:lineRule="exact"/>
        <w:rPr>
          <w:sz w:val="20"/>
          <w:szCs w:val="20"/>
          <w:color w:val="auto"/>
        </w:rPr>
      </w:pPr>
    </w:p>
    <w:p>
      <w:pPr>
        <w:ind w:left="685"/>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85" w:hanging="685"/>
        <w:spacing w:after="0"/>
        <w:tabs>
          <w:tab w:leader="none" w:pos="685"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9" w:lineRule="exact"/>
        <w:rPr>
          <w:rFonts w:ascii="Arial" w:cs="Arial" w:eastAsia="Arial" w:hAnsi="Arial"/>
          <w:sz w:val="18"/>
          <w:szCs w:val="18"/>
          <w:color w:val="auto"/>
        </w:rPr>
      </w:pPr>
    </w:p>
    <w:p>
      <w:pPr>
        <w:ind w:left="685"/>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36" w:lineRule="exact"/>
        <w:rPr>
          <w:rFonts w:ascii="Arial" w:cs="Arial" w:eastAsia="Arial" w:hAnsi="Arial"/>
          <w:sz w:val="18"/>
          <w:szCs w:val="18"/>
          <w:color w:val="auto"/>
        </w:rPr>
      </w:pPr>
    </w:p>
    <w:p>
      <w:pPr>
        <w:ind w:left="2025"/>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Sole Voting Power</w:t>
      </w:r>
    </w:p>
    <w:p>
      <w:pPr>
        <w:spacing w:after="0" w:line="225" w:lineRule="exact"/>
        <w:rPr>
          <w:sz w:val="20"/>
          <w:szCs w:val="20"/>
          <w:color w:val="auto"/>
        </w:rPr>
      </w:pPr>
    </w:p>
    <w:tbl>
      <w:tblPr>
        <w:tblLayout w:type="fixed"/>
        <w:tblInd w:w="365" w:type="dxa"/>
        <w:tblCellMar>
          <w:top w:w="0" w:type="dxa"/>
          <w:left w:w="0" w:type="dxa"/>
          <w:bottom w:w="0" w:type="dxa"/>
          <w:right w:w="0" w:type="dxa"/>
        </w:tblCellMar>
      </w:tblPr>
      <w:tr>
        <w:trPr>
          <w:trHeight w:val="237"/>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208,197</w:t>
            </w:r>
          </w:p>
        </w:tc>
        <w:tc>
          <w:tcPr>
            <w:tcW w:w="0" w:type="dxa"/>
            <w:vAlign w:val="bottom"/>
          </w:tcPr>
          <w:p>
            <w:pPr>
              <w:spacing w:after="0"/>
              <w:rPr>
                <w:sz w:val="1"/>
                <w:szCs w:val="1"/>
                <w:color w:val="auto"/>
              </w:rPr>
            </w:pPr>
          </w:p>
        </w:tc>
      </w:tr>
      <w:tr>
        <w:trPr>
          <w:trHeight w:val="215"/>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4"/>
              </w:rPr>
              <w:t>SHARES</w:t>
            </w:r>
          </w:p>
        </w:tc>
        <w:tc>
          <w:tcPr>
            <w:tcW w:w="440" w:type="dxa"/>
            <w:vAlign w:val="bottom"/>
          </w:tcPr>
          <w:p>
            <w:pPr>
              <w:ind w:left="20"/>
              <w:spacing w:after="0"/>
              <w:rPr>
                <w:sz w:val="20"/>
                <w:szCs w:val="20"/>
                <w:color w:val="auto"/>
              </w:rPr>
            </w:pPr>
            <w:r>
              <w:rPr>
                <w:rFonts w:ascii="Arial" w:cs="Arial" w:eastAsia="Arial" w:hAnsi="Arial"/>
                <w:sz w:val="18"/>
                <w:szCs w:val="18"/>
                <w:color w:val="auto"/>
              </w:rPr>
              <w:t>8</w:t>
            </w:r>
          </w:p>
        </w:tc>
        <w:tc>
          <w:tcPr>
            <w:tcW w:w="876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9"/>
              </w:rPr>
              <w:t>BENEFICIALLY</w:t>
            </w:r>
          </w:p>
        </w:tc>
        <w:tc>
          <w:tcPr>
            <w:tcW w:w="440" w:type="dxa"/>
            <w:vAlign w:val="bottom"/>
          </w:tcPr>
          <w:p>
            <w:pPr>
              <w:spacing w:after="0"/>
              <w:rPr>
                <w:sz w:val="18"/>
                <w:szCs w:val="18"/>
                <w:color w:val="auto"/>
              </w:rPr>
            </w:pP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6,247,139</w:t>
            </w:r>
          </w:p>
        </w:tc>
        <w:tc>
          <w:tcPr>
            <w:tcW w:w="0" w:type="dxa"/>
            <w:vAlign w:val="bottom"/>
          </w:tcPr>
          <w:p>
            <w:pPr>
              <w:spacing w:after="0"/>
              <w:rPr>
                <w:sz w:val="1"/>
                <w:szCs w:val="1"/>
                <w:color w:val="auto"/>
              </w:rPr>
            </w:pPr>
          </w:p>
        </w:tc>
      </w:tr>
      <w:tr>
        <w:trPr>
          <w:trHeight w:val="224"/>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tcBorders>
          </w:tcPr>
          <w:p>
            <w:pPr>
              <w:spacing w:after="0"/>
              <w:rPr>
                <w:sz w:val="19"/>
                <w:szCs w:val="19"/>
                <w:color w:val="auto"/>
              </w:rPr>
            </w:pPr>
          </w:p>
        </w:tc>
        <w:tc>
          <w:tcPr>
            <w:tcW w:w="8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4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9"/>
              </w:rPr>
              <w:t>EACH</w:t>
            </w:r>
          </w:p>
        </w:tc>
        <w:tc>
          <w:tcPr>
            <w:tcW w:w="440" w:type="dxa"/>
            <w:vAlign w:val="bottom"/>
          </w:tcPr>
          <w:p>
            <w:pPr>
              <w:ind w:left="20"/>
              <w:spacing w:after="0" w:line="189" w:lineRule="exact"/>
              <w:rPr>
                <w:sz w:val="20"/>
                <w:szCs w:val="20"/>
                <w:color w:val="auto"/>
              </w:rPr>
            </w:pPr>
            <w:r>
              <w:rPr>
                <w:rFonts w:ascii="Arial" w:cs="Arial" w:eastAsia="Arial" w:hAnsi="Arial"/>
                <w:sz w:val="18"/>
                <w:szCs w:val="18"/>
                <w:color w:val="auto"/>
              </w:rPr>
              <w:t>9</w:t>
            </w:r>
          </w:p>
        </w:tc>
        <w:tc>
          <w:tcPr>
            <w:tcW w:w="8760" w:type="dxa"/>
            <w:vAlign w:val="bottom"/>
          </w:tcPr>
          <w:p>
            <w:pPr>
              <w:ind w:left="26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3"/>
              </w:rPr>
              <w:t>REPORTING</w:t>
            </w:r>
          </w:p>
        </w:tc>
        <w:tc>
          <w:tcPr>
            <w:tcW w:w="44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2"/>
              </w:rPr>
              <w:t>PERSON</w:t>
            </w:r>
          </w:p>
        </w:tc>
        <w:tc>
          <w:tcPr>
            <w:tcW w:w="440" w:type="dxa"/>
            <w:vAlign w:val="bottom"/>
          </w:tcPr>
          <w:p>
            <w:pPr>
              <w:spacing w:after="0"/>
              <w:rPr>
                <w:sz w:val="18"/>
                <w:szCs w:val="18"/>
                <w:color w:val="auto"/>
              </w:rPr>
            </w:pPr>
          </w:p>
        </w:tc>
        <w:tc>
          <w:tcPr>
            <w:tcW w:w="8760" w:type="dxa"/>
            <w:vAlign w:val="bottom"/>
          </w:tcPr>
          <w:p>
            <w:pPr>
              <w:ind w:left="260"/>
              <w:spacing w:after="0"/>
              <w:rPr>
                <w:sz w:val="20"/>
                <w:szCs w:val="20"/>
                <w:color w:val="auto"/>
              </w:rPr>
            </w:pPr>
            <w:r>
              <w:rPr>
                <w:rFonts w:ascii="Arial" w:cs="Arial" w:eastAsia="Arial" w:hAnsi="Arial"/>
                <w:sz w:val="18"/>
                <w:szCs w:val="18"/>
                <w:color w:val="auto"/>
              </w:rPr>
              <w:t>208,197</w:t>
            </w:r>
          </w:p>
        </w:tc>
        <w:tc>
          <w:tcPr>
            <w:tcW w:w="0" w:type="dxa"/>
            <w:vAlign w:val="bottom"/>
          </w:tcPr>
          <w:p>
            <w:pPr>
              <w:spacing w:after="0"/>
              <w:rPr>
                <w:sz w:val="1"/>
                <w:szCs w:val="1"/>
                <w:color w:val="auto"/>
              </w:rPr>
            </w:pPr>
          </w:p>
        </w:tc>
      </w:tr>
      <w:tr>
        <w:trPr>
          <w:trHeight w:val="35"/>
        </w:trPr>
        <w:tc>
          <w:tcPr>
            <w:tcW w:w="164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3"/>
                <w:szCs w:val="3"/>
                <w:color w:val="auto"/>
              </w:rPr>
            </w:pPr>
          </w:p>
        </w:tc>
        <w:tc>
          <w:tcPr>
            <w:tcW w:w="8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640" w:type="dxa"/>
            <w:vAlign w:val="bottom"/>
            <w:vMerge w:val="continue"/>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10</w:t>
            </w:r>
          </w:p>
        </w:tc>
        <w:tc>
          <w:tcPr>
            <w:tcW w:w="876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705"/>
        <w:spacing w:after="0"/>
        <w:rPr>
          <w:sz w:val="20"/>
          <w:szCs w:val="20"/>
          <w:color w:val="auto"/>
        </w:rPr>
      </w:pPr>
      <w:r>
        <w:rPr>
          <w:rFonts w:ascii="Arial" w:cs="Arial" w:eastAsia="Arial" w:hAnsi="Arial"/>
          <w:sz w:val="18"/>
          <w:szCs w:val="18"/>
          <w:color w:val="auto"/>
        </w:rPr>
        <w:t>6,247,139</w:t>
      </w:r>
    </w:p>
    <w:p>
      <w:pPr>
        <w:spacing w:after="0" w:line="36" w:lineRule="exact"/>
        <w:rPr>
          <w:sz w:val="20"/>
          <w:szCs w:val="20"/>
          <w:color w:val="auto"/>
        </w:rPr>
      </w:pPr>
    </w:p>
    <w:p>
      <w:pPr>
        <w:ind w:left="685" w:right="5720" w:hanging="685"/>
        <w:spacing w:after="0" w:line="391"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6,455,336</w:t>
      </w:r>
    </w:p>
    <w:p>
      <w:pPr>
        <w:ind w:left="685" w:hanging="685"/>
        <w:spacing w:after="0"/>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180" w:lineRule="exact"/>
        <w:rPr>
          <w:rFonts w:ascii="Arial" w:cs="Arial" w:eastAsia="Arial" w:hAnsi="Arial"/>
          <w:sz w:val="18"/>
          <w:szCs w:val="18"/>
          <w:color w:val="auto"/>
        </w:rPr>
      </w:pPr>
    </w:p>
    <w:p>
      <w:pPr>
        <w:ind w:left="68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5" w:right="6660" w:hanging="685"/>
        <w:spacing w:after="0" w:line="382" w:lineRule="auto"/>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41.1%</w:t>
      </w:r>
    </w:p>
    <w:p>
      <w:pPr>
        <w:ind w:left="685" w:hanging="685"/>
        <w:spacing w:after="0"/>
        <w:tabs>
          <w:tab w:leader="none" w:pos="68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685"/>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306070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5"/>
          </w:cols>
          <w:pgMar w:left="355" w:top="719" w:right="339" w:bottom="1440" w:gutter="0" w:footer="0" w:header="0"/>
        </w:sectPr>
      </w:pPr>
    </w:p>
    <w:bookmarkStart w:id="3" w:name="page4"/>
    <w:bookmarkEnd w:id="3"/>
    <w:p>
      <w:pPr>
        <w:ind w:left="685" w:hanging="685"/>
        <w:spacing w:after="0"/>
        <w:tabs>
          <w:tab w:leader="none" w:pos="685" w:val="left"/>
        </w:tabs>
        <w:numPr>
          <w:ilvl w:val="0"/>
          <w:numId w:val="1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880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5880735"/>
                    </a:xfrm>
                    <a:prstGeom prst="rect">
                      <a:avLst/>
                    </a:prstGeom>
                    <a:noFill/>
                  </pic:spPr>
                </pic:pic>
              </a:graphicData>
            </a:graphic>
          </wp:anchor>
        </w:drawing>
        <w:t>Names of Reporting Persons</w:t>
      </w:r>
    </w:p>
    <w:p>
      <w:pPr>
        <w:spacing w:after="0" w:line="225" w:lineRule="exact"/>
        <w:rPr>
          <w:sz w:val="20"/>
          <w:szCs w:val="20"/>
          <w:color w:val="auto"/>
        </w:rPr>
      </w:pPr>
    </w:p>
    <w:p>
      <w:pPr>
        <w:ind w:left="685"/>
        <w:spacing w:after="0"/>
        <w:rPr>
          <w:sz w:val="20"/>
          <w:szCs w:val="20"/>
          <w:color w:val="auto"/>
        </w:rPr>
      </w:pPr>
      <w:r>
        <w:rPr>
          <w:rFonts w:ascii="Arial" w:cs="Arial" w:eastAsia="Arial" w:hAnsi="Arial"/>
          <w:sz w:val="18"/>
          <w:szCs w:val="18"/>
          <w:color w:val="auto"/>
        </w:rPr>
        <w:t>Clinton P. Jones</w:t>
      </w:r>
    </w:p>
    <w:p>
      <w:pPr>
        <w:spacing w:after="0" w:line="36" w:lineRule="exact"/>
        <w:rPr>
          <w:sz w:val="20"/>
          <w:szCs w:val="20"/>
          <w:color w:val="auto"/>
        </w:rPr>
      </w:pPr>
    </w:p>
    <w:p>
      <w:pPr>
        <w:ind w:left="685" w:hanging="685"/>
        <w:spacing w:after="0"/>
        <w:tabs>
          <w:tab w:leader="none" w:pos="685"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sz w:val="20"/>
          <w:szCs w:val="20"/>
          <w:color w:val="auto"/>
        </w:rPr>
      </w:pPr>
    </w:p>
    <w:p>
      <w:pPr>
        <w:ind w:left="925" w:hanging="250"/>
        <w:spacing w:after="0" w:line="207" w:lineRule="exact"/>
        <w:tabs>
          <w:tab w:leader="none" w:pos="925" w:val="left"/>
        </w:tabs>
        <w:numPr>
          <w:ilvl w:val="0"/>
          <w:numId w:val="1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96"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37" w:lineRule="exact"/>
        <w:rPr>
          <w:sz w:val="20"/>
          <w:szCs w:val="20"/>
          <w:color w:val="auto"/>
        </w:rPr>
      </w:pPr>
    </w:p>
    <w:p>
      <w:pPr>
        <w:ind w:left="685" w:hanging="685"/>
        <w:spacing w:after="0"/>
        <w:tabs>
          <w:tab w:leader="none" w:pos="685" w:val="left"/>
        </w:tabs>
        <w:numPr>
          <w:ilvl w:val="0"/>
          <w:numId w:val="1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685"/>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85" w:hanging="685"/>
        <w:spacing w:after="0"/>
        <w:tabs>
          <w:tab w:leader="none" w:pos="68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200" w:lineRule="exact"/>
        <w:rPr>
          <w:sz w:val="20"/>
          <w:szCs w:val="20"/>
          <w:color w:val="auto"/>
        </w:rPr>
      </w:pPr>
    </w:p>
    <w:p>
      <w:pPr>
        <w:spacing w:after="0" w:line="268" w:lineRule="exact"/>
        <w:rPr>
          <w:sz w:val="20"/>
          <w:szCs w:val="20"/>
          <w:color w:val="auto"/>
        </w:rPr>
      </w:pPr>
    </w:p>
    <w:p>
      <w:pPr>
        <w:ind w:left="685" w:hanging="685"/>
        <w:spacing w:after="0"/>
        <w:tabs>
          <w:tab w:leader="none" w:pos="68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rFonts w:ascii="Arial" w:cs="Arial" w:eastAsia="Arial" w:hAnsi="Arial"/>
          <w:sz w:val="18"/>
          <w:szCs w:val="18"/>
          <w:color w:val="auto"/>
        </w:rPr>
      </w:pPr>
    </w:p>
    <w:p>
      <w:pPr>
        <w:ind w:left="685"/>
        <w:spacing w:after="0"/>
        <w:rPr>
          <w:rFonts w:ascii="Arial" w:cs="Arial" w:eastAsia="Arial" w:hAnsi="Arial"/>
          <w:sz w:val="18"/>
          <w:szCs w:val="18"/>
          <w:color w:val="auto"/>
        </w:rPr>
      </w:pPr>
      <w:r>
        <w:rPr>
          <w:rFonts w:ascii="Arial" w:cs="Arial" w:eastAsia="Arial" w:hAnsi="Arial"/>
          <w:sz w:val="18"/>
          <w:szCs w:val="18"/>
          <w:color w:val="auto"/>
        </w:rPr>
        <w:t>United States</w:t>
      </w:r>
    </w:p>
    <w:p>
      <w:pPr>
        <w:spacing w:after="0" w:line="36" w:lineRule="exact"/>
        <w:rPr>
          <w:rFonts w:ascii="Arial" w:cs="Arial" w:eastAsia="Arial" w:hAnsi="Arial"/>
          <w:sz w:val="18"/>
          <w:szCs w:val="18"/>
          <w:color w:val="auto"/>
        </w:rPr>
      </w:pPr>
    </w:p>
    <w:p>
      <w:pPr>
        <w:ind w:left="2025"/>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Sole Voting Power</w:t>
      </w:r>
    </w:p>
    <w:p>
      <w:pPr>
        <w:spacing w:after="0" w:line="225" w:lineRule="exact"/>
        <w:rPr>
          <w:sz w:val="20"/>
          <w:szCs w:val="20"/>
          <w:color w:val="auto"/>
        </w:rPr>
      </w:pPr>
    </w:p>
    <w:tbl>
      <w:tblPr>
        <w:tblLayout w:type="fixed"/>
        <w:tblInd w:w="365" w:type="dxa"/>
        <w:tblCellMar>
          <w:top w:w="0" w:type="dxa"/>
          <w:left w:w="0" w:type="dxa"/>
          <w:bottom w:w="0" w:type="dxa"/>
          <w:right w:w="0" w:type="dxa"/>
        </w:tblCellMar>
      </w:tblPr>
      <w:tr>
        <w:trPr>
          <w:trHeight w:val="237"/>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208,197</w:t>
            </w:r>
          </w:p>
        </w:tc>
        <w:tc>
          <w:tcPr>
            <w:tcW w:w="0" w:type="dxa"/>
            <w:vAlign w:val="bottom"/>
          </w:tcPr>
          <w:p>
            <w:pPr>
              <w:spacing w:after="0"/>
              <w:rPr>
                <w:sz w:val="1"/>
                <w:szCs w:val="1"/>
                <w:color w:val="auto"/>
              </w:rPr>
            </w:pPr>
          </w:p>
        </w:tc>
      </w:tr>
      <w:tr>
        <w:trPr>
          <w:trHeight w:val="215"/>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4"/>
              </w:rPr>
              <w:t>SHARES</w:t>
            </w:r>
          </w:p>
        </w:tc>
        <w:tc>
          <w:tcPr>
            <w:tcW w:w="440" w:type="dxa"/>
            <w:vAlign w:val="bottom"/>
          </w:tcPr>
          <w:p>
            <w:pPr>
              <w:ind w:left="20"/>
              <w:spacing w:after="0"/>
              <w:rPr>
                <w:sz w:val="20"/>
                <w:szCs w:val="20"/>
                <w:color w:val="auto"/>
              </w:rPr>
            </w:pPr>
            <w:r>
              <w:rPr>
                <w:rFonts w:ascii="Arial" w:cs="Arial" w:eastAsia="Arial" w:hAnsi="Arial"/>
                <w:sz w:val="18"/>
                <w:szCs w:val="18"/>
                <w:color w:val="auto"/>
              </w:rPr>
              <w:t>8</w:t>
            </w:r>
          </w:p>
        </w:tc>
        <w:tc>
          <w:tcPr>
            <w:tcW w:w="876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9"/>
              </w:rPr>
              <w:t>BENEFICIALLY</w:t>
            </w:r>
          </w:p>
        </w:tc>
        <w:tc>
          <w:tcPr>
            <w:tcW w:w="440" w:type="dxa"/>
            <w:vAlign w:val="bottom"/>
          </w:tcPr>
          <w:p>
            <w:pPr>
              <w:spacing w:after="0"/>
              <w:rPr>
                <w:sz w:val="18"/>
                <w:szCs w:val="18"/>
                <w:color w:val="auto"/>
              </w:rPr>
            </w:pP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6,247,139</w:t>
            </w:r>
          </w:p>
        </w:tc>
        <w:tc>
          <w:tcPr>
            <w:tcW w:w="0" w:type="dxa"/>
            <w:vAlign w:val="bottom"/>
          </w:tcPr>
          <w:p>
            <w:pPr>
              <w:spacing w:after="0"/>
              <w:rPr>
                <w:sz w:val="1"/>
                <w:szCs w:val="1"/>
                <w:color w:val="auto"/>
              </w:rPr>
            </w:pPr>
          </w:p>
        </w:tc>
      </w:tr>
      <w:tr>
        <w:trPr>
          <w:trHeight w:val="224"/>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tcBorders>
          </w:tcPr>
          <w:p>
            <w:pPr>
              <w:spacing w:after="0"/>
              <w:rPr>
                <w:sz w:val="19"/>
                <w:szCs w:val="19"/>
                <w:color w:val="auto"/>
              </w:rPr>
            </w:pPr>
          </w:p>
        </w:tc>
        <w:tc>
          <w:tcPr>
            <w:tcW w:w="8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4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9"/>
              </w:rPr>
              <w:t>EACH</w:t>
            </w:r>
          </w:p>
        </w:tc>
        <w:tc>
          <w:tcPr>
            <w:tcW w:w="440" w:type="dxa"/>
            <w:vAlign w:val="bottom"/>
          </w:tcPr>
          <w:p>
            <w:pPr>
              <w:ind w:left="20"/>
              <w:spacing w:after="0" w:line="189" w:lineRule="exact"/>
              <w:rPr>
                <w:sz w:val="20"/>
                <w:szCs w:val="20"/>
                <w:color w:val="auto"/>
              </w:rPr>
            </w:pPr>
            <w:r>
              <w:rPr>
                <w:rFonts w:ascii="Arial" w:cs="Arial" w:eastAsia="Arial" w:hAnsi="Arial"/>
                <w:sz w:val="18"/>
                <w:szCs w:val="18"/>
                <w:color w:val="auto"/>
              </w:rPr>
              <w:t>9</w:t>
            </w:r>
          </w:p>
        </w:tc>
        <w:tc>
          <w:tcPr>
            <w:tcW w:w="8760" w:type="dxa"/>
            <w:vAlign w:val="bottom"/>
          </w:tcPr>
          <w:p>
            <w:pPr>
              <w:ind w:left="26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3"/>
              </w:rPr>
              <w:t>REPORTING</w:t>
            </w:r>
          </w:p>
        </w:tc>
        <w:tc>
          <w:tcPr>
            <w:tcW w:w="44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2"/>
              </w:rPr>
              <w:t>PERSON</w:t>
            </w:r>
          </w:p>
        </w:tc>
        <w:tc>
          <w:tcPr>
            <w:tcW w:w="440" w:type="dxa"/>
            <w:vAlign w:val="bottom"/>
          </w:tcPr>
          <w:p>
            <w:pPr>
              <w:spacing w:after="0"/>
              <w:rPr>
                <w:sz w:val="18"/>
                <w:szCs w:val="18"/>
                <w:color w:val="auto"/>
              </w:rPr>
            </w:pPr>
          </w:p>
        </w:tc>
        <w:tc>
          <w:tcPr>
            <w:tcW w:w="8760" w:type="dxa"/>
            <w:vAlign w:val="bottom"/>
          </w:tcPr>
          <w:p>
            <w:pPr>
              <w:ind w:left="260"/>
              <w:spacing w:after="0"/>
              <w:rPr>
                <w:sz w:val="20"/>
                <w:szCs w:val="20"/>
                <w:color w:val="auto"/>
              </w:rPr>
            </w:pPr>
            <w:r>
              <w:rPr>
                <w:rFonts w:ascii="Arial" w:cs="Arial" w:eastAsia="Arial" w:hAnsi="Arial"/>
                <w:sz w:val="18"/>
                <w:szCs w:val="18"/>
                <w:color w:val="auto"/>
              </w:rPr>
              <w:t>208,197</w:t>
            </w:r>
          </w:p>
        </w:tc>
        <w:tc>
          <w:tcPr>
            <w:tcW w:w="0" w:type="dxa"/>
            <w:vAlign w:val="bottom"/>
          </w:tcPr>
          <w:p>
            <w:pPr>
              <w:spacing w:after="0"/>
              <w:rPr>
                <w:sz w:val="1"/>
                <w:szCs w:val="1"/>
                <w:color w:val="auto"/>
              </w:rPr>
            </w:pPr>
          </w:p>
        </w:tc>
      </w:tr>
      <w:tr>
        <w:trPr>
          <w:trHeight w:val="35"/>
        </w:trPr>
        <w:tc>
          <w:tcPr>
            <w:tcW w:w="164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3"/>
                <w:szCs w:val="3"/>
                <w:color w:val="auto"/>
              </w:rPr>
            </w:pPr>
          </w:p>
        </w:tc>
        <w:tc>
          <w:tcPr>
            <w:tcW w:w="8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640" w:type="dxa"/>
            <w:vAlign w:val="bottom"/>
            <w:vMerge w:val="continue"/>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10</w:t>
            </w:r>
          </w:p>
        </w:tc>
        <w:tc>
          <w:tcPr>
            <w:tcW w:w="876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705"/>
        <w:spacing w:after="0"/>
        <w:rPr>
          <w:sz w:val="20"/>
          <w:szCs w:val="20"/>
          <w:color w:val="auto"/>
        </w:rPr>
      </w:pPr>
      <w:r>
        <w:rPr>
          <w:rFonts w:ascii="Arial" w:cs="Arial" w:eastAsia="Arial" w:hAnsi="Arial"/>
          <w:sz w:val="18"/>
          <w:szCs w:val="18"/>
          <w:color w:val="auto"/>
        </w:rPr>
        <w:t>6,247,139</w:t>
      </w:r>
    </w:p>
    <w:p>
      <w:pPr>
        <w:spacing w:after="0" w:line="36" w:lineRule="exact"/>
        <w:rPr>
          <w:sz w:val="20"/>
          <w:szCs w:val="20"/>
          <w:color w:val="auto"/>
        </w:rPr>
      </w:pPr>
    </w:p>
    <w:p>
      <w:pPr>
        <w:ind w:left="685" w:right="5720" w:hanging="685"/>
        <w:spacing w:after="0" w:line="391"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6,455,336</w:t>
      </w:r>
    </w:p>
    <w:p>
      <w:pPr>
        <w:ind w:left="685" w:hanging="685"/>
        <w:spacing w:after="0"/>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180" w:lineRule="exact"/>
        <w:rPr>
          <w:rFonts w:ascii="Arial" w:cs="Arial" w:eastAsia="Arial" w:hAnsi="Arial"/>
          <w:sz w:val="18"/>
          <w:szCs w:val="18"/>
          <w:color w:val="auto"/>
        </w:rPr>
      </w:pPr>
    </w:p>
    <w:p>
      <w:pPr>
        <w:ind w:left="68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5" w:right="6660" w:hanging="685"/>
        <w:spacing w:after="0" w:line="382" w:lineRule="auto"/>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41.1%</w:t>
      </w:r>
    </w:p>
    <w:p>
      <w:pPr>
        <w:ind w:left="685" w:hanging="685"/>
        <w:spacing w:after="0"/>
        <w:tabs>
          <w:tab w:leader="none" w:pos="68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685"/>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306070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5"/>
          </w:cols>
          <w:pgMar w:left="355" w:top="719" w:right="339" w:bottom="1440" w:gutter="0" w:footer="0" w:header="0"/>
        </w:sectPr>
      </w:pPr>
    </w:p>
    <w:bookmarkStart w:id="4" w:name="page5"/>
    <w:bookmarkEnd w:id="4"/>
    <w:p>
      <w:pPr>
        <w:ind w:left="685" w:hanging="685"/>
        <w:spacing w:after="0"/>
        <w:tabs>
          <w:tab w:leader="none" w:pos="685" w:val="left"/>
        </w:tabs>
        <w:numPr>
          <w:ilvl w:val="0"/>
          <w:numId w:val="2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5880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5880735"/>
                    </a:xfrm>
                    <a:prstGeom prst="rect">
                      <a:avLst/>
                    </a:prstGeom>
                    <a:noFill/>
                  </pic:spPr>
                </pic:pic>
              </a:graphicData>
            </a:graphic>
          </wp:anchor>
        </w:drawing>
        <w:t>Names of Reporting Persons</w:t>
      </w:r>
    </w:p>
    <w:p>
      <w:pPr>
        <w:spacing w:after="0" w:line="225" w:lineRule="exact"/>
        <w:rPr>
          <w:sz w:val="20"/>
          <w:szCs w:val="20"/>
          <w:color w:val="auto"/>
        </w:rPr>
      </w:pPr>
    </w:p>
    <w:p>
      <w:pPr>
        <w:ind w:left="685"/>
        <w:spacing w:after="0"/>
        <w:rPr>
          <w:sz w:val="20"/>
          <w:szCs w:val="20"/>
          <w:color w:val="auto"/>
        </w:rPr>
      </w:pPr>
      <w:r>
        <w:rPr>
          <w:rFonts w:ascii="Arial" w:cs="Arial" w:eastAsia="Arial" w:hAnsi="Arial"/>
          <w:sz w:val="18"/>
          <w:szCs w:val="18"/>
          <w:color w:val="auto"/>
        </w:rPr>
        <w:t>BCCJ, LLC</w:t>
      </w:r>
    </w:p>
    <w:p>
      <w:pPr>
        <w:spacing w:after="0" w:line="36" w:lineRule="exact"/>
        <w:rPr>
          <w:sz w:val="20"/>
          <w:szCs w:val="20"/>
          <w:color w:val="auto"/>
        </w:rPr>
      </w:pPr>
    </w:p>
    <w:p>
      <w:pPr>
        <w:ind w:left="685" w:hanging="685"/>
        <w:spacing w:after="0"/>
        <w:tabs>
          <w:tab w:leader="none" w:pos="685"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0" w:lineRule="exact"/>
        <w:rPr>
          <w:sz w:val="20"/>
          <w:szCs w:val="20"/>
          <w:color w:val="auto"/>
        </w:rPr>
      </w:pPr>
    </w:p>
    <w:p>
      <w:pPr>
        <w:ind w:left="925" w:hanging="250"/>
        <w:spacing w:after="0" w:line="207" w:lineRule="exact"/>
        <w:tabs>
          <w:tab w:leader="none" w:pos="925" w:val="left"/>
        </w:tabs>
        <w:numPr>
          <w:ilvl w:val="0"/>
          <w:numId w:val="2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 </w:t>
      </w:r>
      <w:r>
        <w:rPr>
          <w:rFonts w:ascii="MS PGothic" w:cs="MS PGothic" w:eastAsia="MS PGothic" w:hAnsi="MS PGothic"/>
          <w:sz w:val="18"/>
          <w:szCs w:val="18"/>
          <w:color w:val="auto"/>
        </w:rPr>
        <w:t>☒</w:t>
      </w:r>
    </w:p>
    <w:p>
      <w:pPr>
        <w:spacing w:after="0" w:line="96" w:lineRule="exact"/>
        <w:rPr>
          <w:rFonts w:ascii="Arial" w:cs="Arial" w:eastAsia="Arial" w:hAnsi="Arial"/>
          <w:sz w:val="18"/>
          <w:szCs w:val="18"/>
          <w:color w:val="auto"/>
        </w:rPr>
      </w:pPr>
    </w:p>
    <w:p>
      <w:pPr>
        <w:ind w:left="5"/>
        <w:spacing w:after="0"/>
        <w:rPr>
          <w:rFonts w:ascii="Arial" w:cs="Arial" w:eastAsia="Arial" w:hAnsi="Arial"/>
          <w:sz w:val="18"/>
          <w:szCs w:val="18"/>
          <w:color w:val="auto"/>
        </w:rPr>
      </w:pPr>
      <w:r>
        <w:rPr>
          <w:rFonts w:ascii="Arial" w:cs="Arial" w:eastAsia="Arial" w:hAnsi="Arial"/>
          <w:sz w:val="18"/>
          <w:szCs w:val="18"/>
          <w:color w:val="auto"/>
        </w:rPr>
        <w:t>3</w:t>
      </w:r>
      <w:r>
        <w:rPr>
          <w:rFonts w:ascii="Arial" w:cs="Arial" w:eastAsia="Arial" w:hAnsi="Arial"/>
          <w:sz w:val="16"/>
          <w:szCs w:val="16"/>
          <w:color w:val="auto"/>
        </w:rPr>
        <w:t>SEC Use Only</w:t>
      </w:r>
    </w:p>
    <w:p>
      <w:pPr>
        <w:spacing w:after="0" w:line="237" w:lineRule="exact"/>
        <w:rPr>
          <w:sz w:val="20"/>
          <w:szCs w:val="20"/>
          <w:color w:val="auto"/>
        </w:rPr>
      </w:pPr>
    </w:p>
    <w:p>
      <w:pPr>
        <w:ind w:left="685" w:hanging="685"/>
        <w:spacing w:after="0"/>
        <w:tabs>
          <w:tab w:leader="none" w:pos="685" w:val="left"/>
        </w:tabs>
        <w:numPr>
          <w:ilvl w:val="0"/>
          <w:numId w:val="26"/>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25" w:lineRule="exact"/>
        <w:rPr>
          <w:sz w:val="20"/>
          <w:szCs w:val="20"/>
          <w:color w:val="auto"/>
        </w:rPr>
      </w:pPr>
    </w:p>
    <w:p>
      <w:pPr>
        <w:ind w:left="685"/>
        <w:spacing w:after="0"/>
        <w:rPr>
          <w:sz w:val="20"/>
          <w:szCs w:val="20"/>
          <w:color w:val="auto"/>
        </w:rPr>
      </w:pPr>
      <w:r>
        <w:rPr>
          <w:rFonts w:ascii="Arial" w:cs="Arial" w:eastAsia="Arial" w:hAnsi="Arial"/>
          <w:sz w:val="18"/>
          <w:szCs w:val="18"/>
          <w:color w:val="auto"/>
        </w:rPr>
        <w:t>OO</w:t>
      </w:r>
    </w:p>
    <w:p>
      <w:pPr>
        <w:spacing w:after="0" w:line="36" w:lineRule="exact"/>
        <w:rPr>
          <w:sz w:val="20"/>
          <w:szCs w:val="20"/>
          <w:color w:val="auto"/>
        </w:rPr>
      </w:pPr>
    </w:p>
    <w:p>
      <w:pPr>
        <w:ind w:left="685" w:hanging="685"/>
        <w:spacing w:after="0"/>
        <w:tabs>
          <w:tab w:leader="none" w:pos="68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Items 2(d) or 2(e)</w:t>
      </w:r>
    </w:p>
    <w:p>
      <w:pPr>
        <w:spacing w:after="0" w:line="180" w:lineRule="exact"/>
        <w:rPr>
          <w:sz w:val="20"/>
          <w:szCs w:val="20"/>
          <w:color w:val="auto"/>
        </w:rPr>
      </w:pPr>
    </w:p>
    <w:p>
      <w:pPr>
        <w:ind w:left="685"/>
        <w:spacing w:after="0" w:line="181" w:lineRule="exact"/>
        <w:rPr>
          <w:sz w:val="20"/>
          <w:szCs w:val="20"/>
          <w:color w:val="auto"/>
        </w:rPr>
      </w:pPr>
      <w:r>
        <w:rPr>
          <w:rFonts w:ascii="MS PGothic" w:cs="MS PGothic" w:eastAsia="MS PGothic" w:hAnsi="MS PGothic"/>
          <w:sz w:val="18"/>
          <w:szCs w:val="18"/>
          <w:color w:val="auto"/>
        </w:rPr>
        <w:t>☐</w:t>
      </w:r>
    </w:p>
    <w:p>
      <w:pPr>
        <w:spacing w:after="0" w:line="123" w:lineRule="exact"/>
        <w:rPr>
          <w:sz w:val="20"/>
          <w:szCs w:val="20"/>
          <w:color w:val="auto"/>
        </w:rPr>
      </w:pPr>
    </w:p>
    <w:p>
      <w:pPr>
        <w:ind w:left="685" w:hanging="685"/>
        <w:spacing w:after="0"/>
        <w:tabs>
          <w:tab w:leader="none" w:pos="685" w:val="left"/>
        </w:tabs>
        <w:numPr>
          <w:ilvl w:val="0"/>
          <w:numId w:val="2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9" w:lineRule="exact"/>
        <w:rPr>
          <w:rFonts w:ascii="Arial" w:cs="Arial" w:eastAsia="Arial" w:hAnsi="Arial"/>
          <w:sz w:val="18"/>
          <w:szCs w:val="18"/>
          <w:color w:val="auto"/>
        </w:rPr>
      </w:pPr>
    </w:p>
    <w:p>
      <w:pPr>
        <w:ind w:left="685"/>
        <w:spacing w:after="0"/>
        <w:rPr>
          <w:rFonts w:ascii="Arial" w:cs="Arial" w:eastAsia="Arial" w:hAnsi="Arial"/>
          <w:sz w:val="18"/>
          <w:szCs w:val="18"/>
          <w:color w:val="auto"/>
        </w:rPr>
      </w:pPr>
      <w:r>
        <w:rPr>
          <w:rFonts w:ascii="Arial" w:cs="Arial" w:eastAsia="Arial" w:hAnsi="Arial"/>
          <w:sz w:val="18"/>
          <w:szCs w:val="18"/>
          <w:color w:val="auto"/>
        </w:rPr>
        <w:t>Delaware</w:t>
      </w:r>
    </w:p>
    <w:p>
      <w:pPr>
        <w:spacing w:after="0" w:line="36" w:lineRule="exact"/>
        <w:rPr>
          <w:rFonts w:ascii="Arial" w:cs="Arial" w:eastAsia="Arial" w:hAnsi="Arial"/>
          <w:sz w:val="18"/>
          <w:szCs w:val="18"/>
          <w:color w:val="auto"/>
        </w:rPr>
      </w:pPr>
    </w:p>
    <w:p>
      <w:pPr>
        <w:ind w:left="2025"/>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6"/>
          <w:szCs w:val="16"/>
          <w:color w:val="auto"/>
        </w:rPr>
        <w:t>Sole Voting Power</w:t>
      </w:r>
    </w:p>
    <w:p>
      <w:pPr>
        <w:spacing w:after="0" w:line="225" w:lineRule="exact"/>
        <w:rPr>
          <w:sz w:val="20"/>
          <w:szCs w:val="20"/>
          <w:color w:val="auto"/>
        </w:rPr>
      </w:pPr>
    </w:p>
    <w:tbl>
      <w:tblPr>
        <w:tblLayout w:type="fixed"/>
        <w:tblInd w:w="365" w:type="dxa"/>
        <w:tblCellMar>
          <w:top w:w="0" w:type="dxa"/>
          <w:left w:w="0" w:type="dxa"/>
          <w:bottom w:w="0" w:type="dxa"/>
          <w:right w:w="0" w:type="dxa"/>
        </w:tblCellMar>
      </w:tblPr>
      <w:tr>
        <w:trPr>
          <w:trHeight w:val="237"/>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6"/>
              </w:rPr>
              <w:t>NUMBER OF</w:t>
            </w:r>
          </w:p>
        </w:tc>
        <w:tc>
          <w:tcPr>
            <w:tcW w:w="440" w:type="dxa"/>
            <w:vAlign w:val="bottom"/>
            <w:tcBorders>
              <w:bottom w:val="single" w:sz="8" w:color="auto"/>
            </w:tcBorders>
          </w:tcPr>
          <w:p>
            <w:pPr>
              <w:spacing w:after="0"/>
              <w:rPr>
                <w:sz w:val="20"/>
                <w:szCs w:val="20"/>
                <w:color w:val="auto"/>
              </w:rPr>
            </w:pPr>
          </w:p>
        </w:tc>
        <w:tc>
          <w:tcPr>
            <w:tcW w:w="87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4"/>
              </w:rPr>
              <w:t>SHARES</w:t>
            </w:r>
          </w:p>
        </w:tc>
        <w:tc>
          <w:tcPr>
            <w:tcW w:w="440" w:type="dxa"/>
            <w:vAlign w:val="bottom"/>
          </w:tcPr>
          <w:p>
            <w:pPr>
              <w:ind w:left="20"/>
              <w:spacing w:after="0"/>
              <w:rPr>
                <w:sz w:val="20"/>
                <w:szCs w:val="20"/>
                <w:color w:val="auto"/>
              </w:rPr>
            </w:pPr>
            <w:r>
              <w:rPr>
                <w:rFonts w:ascii="Arial" w:cs="Arial" w:eastAsia="Arial" w:hAnsi="Arial"/>
                <w:sz w:val="18"/>
                <w:szCs w:val="18"/>
                <w:color w:val="auto"/>
              </w:rPr>
              <w:t>8</w:t>
            </w:r>
          </w:p>
        </w:tc>
        <w:tc>
          <w:tcPr>
            <w:tcW w:w="8760" w:type="dxa"/>
            <w:vAlign w:val="bottom"/>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9"/>
              </w:rPr>
              <w:t>BENEFICIALLY</w:t>
            </w:r>
          </w:p>
        </w:tc>
        <w:tc>
          <w:tcPr>
            <w:tcW w:w="440" w:type="dxa"/>
            <w:vAlign w:val="bottom"/>
          </w:tcPr>
          <w:p>
            <w:pPr>
              <w:spacing w:after="0"/>
              <w:rPr>
                <w:sz w:val="18"/>
                <w:szCs w:val="18"/>
                <w:color w:val="auto"/>
              </w:rPr>
            </w:pPr>
          </w:p>
        </w:tc>
        <w:tc>
          <w:tcPr>
            <w:tcW w:w="8760" w:type="dxa"/>
            <w:vAlign w:val="bottom"/>
            <w:vMerge w:val="restart"/>
          </w:tcPr>
          <w:p>
            <w:pPr>
              <w:ind w:left="26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r>
        <w:trPr>
          <w:trHeight w:val="224"/>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7"/>
              </w:rPr>
              <w:t>OWNED BY</w:t>
            </w:r>
          </w:p>
        </w:tc>
        <w:tc>
          <w:tcPr>
            <w:tcW w:w="440" w:type="dxa"/>
            <w:vAlign w:val="bottom"/>
            <w:tcBorders>
              <w:bottom w:val="single" w:sz="8" w:color="auto"/>
            </w:tcBorders>
          </w:tcPr>
          <w:p>
            <w:pPr>
              <w:spacing w:after="0"/>
              <w:rPr>
                <w:sz w:val="19"/>
                <w:szCs w:val="19"/>
                <w:color w:val="auto"/>
              </w:rPr>
            </w:pPr>
          </w:p>
        </w:tc>
        <w:tc>
          <w:tcPr>
            <w:tcW w:w="8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1640" w:type="dxa"/>
            <w:vAlign w:val="bottom"/>
          </w:tcPr>
          <w:p>
            <w:pPr>
              <w:jc w:val="center"/>
              <w:ind w:right="290"/>
              <w:spacing w:after="0" w:line="189" w:lineRule="exact"/>
              <w:rPr>
                <w:sz w:val="20"/>
                <w:szCs w:val="20"/>
                <w:color w:val="auto"/>
              </w:rPr>
            </w:pPr>
            <w:r>
              <w:rPr>
                <w:rFonts w:ascii="Arial" w:cs="Arial" w:eastAsia="Arial" w:hAnsi="Arial"/>
                <w:sz w:val="18"/>
                <w:szCs w:val="18"/>
                <w:color w:val="auto"/>
                <w:w w:val="99"/>
              </w:rPr>
              <w:t>EACH</w:t>
            </w:r>
          </w:p>
        </w:tc>
        <w:tc>
          <w:tcPr>
            <w:tcW w:w="440" w:type="dxa"/>
            <w:vAlign w:val="bottom"/>
          </w:tcPr>
          <w:p>
            <w:pPr>
              <w:ind w:left="20"/>
              <w:spacing w:after="0" w:line="189" w:lineRule="exact"/>
              <w:rPr>
                <w:sz w:val="20"/>
                <w:szCs w:val="20"/>
                <w:color w:val="auto"/>
              </w:rPr>
            </w:pPr>
            <w:r>
              <w:rPr>
                <w:rFonts w:ascii="Arial" w:cs="Arial" w:eastAsia="Arial" w:hAnsi="Arial"/>
                <w:sz w:val="18"/>
                <w:szCs w:val="18"/>
                <w:color w:val="auto"/>
              </w:rPr>
              <w:t>9</w:t>
            </w:r>
          </w:p>
        </w:tc>
        <w:tc>
          <w:tcPr>
            <w:tcW w:w="8760" w:type="dxa"/>
            <w:vAlign w:val="bottom"/>
          </w:tcPr>
          <w:p>
            <w:pPr>
              <w:ind w:left="260"/>
              <w:spacing w:after="0" w:line="189"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640" w:type="dxa"/>
            <w:vAlign w:val="bottom"/>
          </w:tcPr>
          <w:p>
            <w:pPr>
              <w:jc w:val="center"/>
              <w:ind w:right="270"/>
              <w:spacing w:after="0"/>
              <w:rPr>
                <w:sz w:val="20"/>
                <w:szCs w:val="20"/>
                <w:color w:val="auto"/>
              </w:rPr>
            </w:pPr>
            <w:r>
              <w:rPr>
                <w:rFonts w:ascii="Arial" w:cs="Arial" w:eastAsia="Arial" w:hAnsi="Arial"/>
                <w:sz w:val="18"/>
                <w:szCs w:val="18"/>
                <w:color w:val="auto"/>
                <w:w w:val="93"/>
              </w:rPr>
              <w:t>REPORTING</w:t>
            </w:r>
          </w:p>
        </w:tc>
        <w:tc>
          <w:tcPr>
            <w:tcW w:w="440" w:type="dxa"/>
            <w:vAlign w:val="bottom"/>
          </w:tcPr>
          <w:p>
            <w:pPr>
              <w:spacing w:after="0"/>
              <w:rPr>
                <w:sz w:val="18"/>
                <w:szCs w:val="18"/>
                <w:color w:val="auto"/>
              </w:rPr>
            </w:pPr>
          </w:p>
        </w:tc>
        <w:tc>
          <w:tcPr>
            <w:tcW w:w="8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40" w:type="dxa"/>
            <w:vAlign w:val="bottom"/>
          </w:tcPr>
          <w:p>
            <w:pPr>
              <w:jc w:val="center"/>
              <w:ind w:right="290"/>
              <w:spacing w:after="0"/>
              <w:rPr>
                <w:sz w:val="20"/>
                <w:szCs w:val="20"/>
                <w:color w:val="auto"/>
              </w:rPr>
            </w:pPr>
            <w:r>
              <w:rPr>
                <w:rFonts w:ascii="Arial" w:cs="Arial" w:eastAsia="Arial" w:hAnsi="Arial"/>
                <w:sz w:val="18"/>
                <w:szCs w:val="18"/>
                <w:color w:val="auto"/>
                <w:w w:val="92"/>
              </w:rPr>
              <w:t>PERSON</w:t>
            </w:r>
          </w:p>
        </w:tc>
        <w:tc>
          <w:tcPr>
            <w:tcW w:w="440" w:type="dxa"/>
            <w:vAlign w:val="bottom"/>
          </w:tcPr>
          <w:p>
            <w:pPr>
              <w:spacing w:after="0"/>
              <w:rPr>
                <w:sz w:val="18"/>
                <w:szCs w:val="18"/>
                <w:color w:val="auto"/>
              </w:rPr>
            </w:pPr>
          </w:p>
        </w:tc>
        <w:tc>
          <w:tcPr>
            <w:tcW w:w="8760" w:type="dxa"/>
            <w:vAlign w:val="bottom"/>
          </w:tcPr>
          <w:p>
            <w:pPr>
              <w:ind w:left="2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5"/>
        </w:trPr>
        <w:tc>
          <w:tcPr>
            <w:tcW w:w="1640" w:type="dxa"/>
            <w:vAlign w:val="bottom"/>
            <w:vMerge w:val="restart"/>
          </w:tcPr>
          <w:p>
            <w:pPr>
              <w:jc w:val="center"/>
              <w:ind w:right="290"/>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3"/>
                <w:szCs w:val="3"/>
                <w:color w:val="auto"/>
              </w:rPr>
            </w:pPr>
          </w:p>
        </w:tc>
        <w:tc>
          <w:tcPr>
            <w:tcW w:w="8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1640" w:type="dxa"/>
            <w:vAlign w:val="bottom"/>
            <w:vMerge w:val="continue"/>
          </w:tcPr>
          <w:p>
            <w:pPr>
              <w:spacing w:after="0"/>
              <w:rPr>
                <w:sz w:val="20"/>
                <w:szCs w:val="20"/>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rPr>
              <w:t>10</w:t>
            </w:r>
          </w:p>
        </w:tc>
        <w:tc>
          <w:tcPr>
            <w:tcW w:w="876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2705"/>
        <w:spacing w:after="0"/>
        <w:rPr>
          <w:sz w:val="20"/>
          <w:szCs w:val="20"/>
          <w:color w:val="auto"/>
        </w:rPr>
      </w:pPr>
      <w:r>
        <w:rPr>
          <w:rFonts w:ascii="Arial" w:cs="Arial" w:eastAsia="Arial" w:hAnsi="Arial"/>
          <w:sz w:val="18"/>
          <w:szCs w:val="18"/>
          <w:color w:val="auto"/>
        </w:rPr>
        <w:t>14,787</w:t>
      </w:r>
    </w:p>
    <w:p>
      <w:pPr>
        <w:spacing w:after="0" w:line="36" w:lineRule="exact"/>
        <w:rPr>
          <w:sz w:val="20"/>
          <w:szCs w:val="20"/>
          <w:color w:val="auto"/>
        </w:rPr>
      </w:pPr>
    </w:p>
    <w:p>
      <w:pPr>
        <w:ind w:left="685" w:right="5720" w:hanging="685"/>
        <w:spacing w:after="0" w:line="391"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14,787</w:t>
      </w:r>
    </w:p>
    <w:p>
      <w:pPr>
        <w:ind w:left="685" w:hanging="685"/>
        <w:spacing w:after="0"/>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w:t>
      </w:r>
    </w:p>
    <w:p>
      <w:pPr>
        <w:spacing w:after="0" w:line="180" w:lineRule="exact"/>
        <w:rPr>
          <w:rFonts w:ascii="Arial" w:cs="Arial" w:eastAsia="Arial" w:hAnsi="Arial"/>
          <w:sz w:val="18"/>
          <w:szCs w:val="18"/>
          <w:color w:val="auto"/>
        </w:rPr>
      </w:pPr>
    </w:p>
    <w:p>
      <w:pPr>
        <w:ind w:left="685"/>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685" w:right="6660" w:hanging="685"/>
        <w:spacing w:after="0" w:line="382" w:lineRule="auto"/>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Percent of Class Represented by Amount in Row (11) 0.2%</w:t>
      </w:r>
    </w:p>
    <w:p>
      <w:pPr>
        <w:ind w:left="685" w:hanging="685"/>
        <w:spacing w:after="0"/>
        <w:tabs>
          <w:tab w:leader="none" w:pos="68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5" w:lineRule="exact"/>
        <w:rPr>
          <w:rFonts w:ascii="Arial" w:cs="Arial" w:eastAsia="Arial" w:hAnsi="Arial"/>
          <w:sz w:val="18"/>
          <w:szCs w:val="18"/>
          <w:color w:val="auto"/>
        </w:rPr>
      </w:pPr>
    </w:p>
    <w:p>
      <w:pPr>
        <w:ind w:left="685"/>
        <w:spacing w:after="0"/>
        <w:rPr>
          <w:rFonts w:ascii="Arial" w:cs="Arial" w:eastAsia="Arial" w:hAnsi="Arial"/>
          <w:sz w:val="18"/>
          <w:szCs w:val="18"/>
          <w:color w:val="auto"/>
        </w:rPr>
      </w:pPr>
      <w:r>
        <w:rPr>
          <w:rFonts w:ascii="Arial" w:cs="Arial" w:eastAsia="Arial" w:hAnsi="Arial"/>
          <w:sz w:val="18"/>
          <w:szCs w:val="18"/>
          <w:color w:val="auto"/>
        </w:rPr>
        <w:t>OO (Limited Liability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306070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5"/>
          </w:cols>
          <w:pgMar w:left="355" w:top="719"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Amendment No. 2 to Schedule 13D (“Amendment No. 2”) amends and supplements the Schedule 13D originally filed with the United States Securities and Exchange Commission on November 25, 2022 (as amended to date, the “Schedule 13D”), relating to the shares of Class A Common Stock, par value $0.0001 per share (the “Class A Common Stock”), of GoHealth, Inc., a Delaware corporation (the “Issuer”). Capitalized terms used herein without definition shall have the meanings set forth in the Schedule 13D.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amended and supplemented as follows: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evening of May 18, 2023, the Reporting Persons and CCP III Cayman GP Ltd., CB Blizzard Holdings C, L.P., Centerbridge Associates III, L.P., CCP III AIV VII Holdings, L.P., CB Blizzard Co-Invest Holdings, L.P., CB Blizzard Lower Holdings GP A, LLC, CB Blizzard Lower Holdings A, L.P., Blizzard Aggregator, LLC, CB Blizzard Lower Holdings GP B, LLC, CB Blizzard Lower Holdings B, L.P., and Jeffrey H. Aronson (collectively, the “CB Stockholders”) delivered a non-binding proposal (the “Proposal”) to the Board of Directors (the “Board”) of the Issuer offering to acquire all of the outstanding shares of Class A Common Stock and LLC Interests that the Reporting Persons and the CB Stockholders do not already own for a price per share or LLC Interest equal to $20.00 (the “Proposed Transaction”).</w:t>
      </w:r>
    </w:p>
    <w:p>
      <w:pPr>
        <w:spacing w:after="0" w:line="19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response to feedback from the special committee of the Board (the “Special Committee”) that it will not pursue a transaction with the Reporting Persons and the CB Stockholders under the terms set forth in the Proposal, the Reporting Persons and the CB Stockholders have informed the Special Committee on the evening of August 24, 2023 that they would withdraw the Proposal and cease to pursue the Proposed Transaction.</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22"/>
          <w:szCs w:val="22"/>
          <w:color w:val="auto"/>
        </w:rPr>
        <w:t xml:space="preserve">Notwithstanding the withdrawal of the Proposal, the </w:t>
      </w:r>
      <w:r>
        <w:rPr>
          <w:rFonts w:ascii="Arial" w:cs="Arial" w:eastAsia="Arial" w:hAnsi="Arial"/>
          <w:sz w:val="17"/>
          <w:szCs w:val="17"/>
          <w:color w:val="auto"/>
        </w:rPr>
        <w:t>Reporting Persons intend to continue to engage in discussions with, among others,</w:t>
      </w:r>
      <w:r>
        <w:rPr>
          <w:rFonts w:ascii="Arial" w:cs="Arial" w:eastAsia="Arial" w:hAnsi="Arial"/>
          <w:sz w:val="22"/>
          <w:szCs w:val="22"/>
          <w:color w:val="auto"/>
        </w:rPr>
        <w:t xml:space="preserve"> </w:t>
      </w:r>
      <w:r>
        <w:rPr>
          <w:rFonts w:ascii="Arial" w:cs="Arial" w:eastAsia="Arial" w:hAnsi="Arial"/>
          <w:sz w:val="17"/>
          <w:szCs w:val="17"/>
          <w:color w:val="auto"/>
        </w:rPr>
        <w:t>management, the Board, stockholders (including the CB Stockholders) and other stakeholders of the Issuer or its subsidiaries, and/or third parties, including potential acquirers, service providers and debt and equity financing sources, and other relevant parties and may take other actions concerning any extraordinary corporate transaction (including but not limited to a merger, reorganization or liquidation, asset sales or other asset transactions or purchases or repurchases of stock, debt or other securities and instruments) or the business, operations, assets, strategy, future plans, prospects, corporate structure, capital structure (including financings, refinancings and amendments, extensions or other modifications of the existing debt facilities of the Issuer or its subsidiaries), Board composition, management, capitalization, dividend policy, charter, bylaws, corporate documents, agreements, de-listing or de-registration of the Issuer, which discussions may include proposing or considering new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269875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6" w:name="page7"/>
    <w:bookmarkEnd w:id="6"/>
    <w:p>
      <w:pPr>
        <w:jc w:val="both"/>
        <w:spacing w:after="0" w:line="288" w:lineRule="auto"/>
        <w:rPr>
          <w:sz w:val="20"/>
          <w:szCs w:val="20"/>
          <w:color w:val="auto"/>
        </w:rPr>
      </w:pPr>
      <w:r>
        <w:rPr>
          <w:rFonts w:ascii="Arial" w:cs="Arial" w:eastAsia="Arial" w:hAnsi="Arial"/>
          <w:sz w:val="16"/>
          <w:szCs w:val="16"/>
          <w:color w:val="auto"/>
        </w:rPr>
        <w:t>Notwithstanding the withdrawal of the Proposal, the Reporting Persons intend to regularly review their investment and continue to manage their holdings in the Issuer and GoHealth Holdings, LLC on a continuing basis and may from time to time and at any time in the future depending on various factors, including, without limitation, any limitations imposed by the Issuer’s financial position and strategic direction, actions taken by the Board, price levels of the Issuer’s securities or debt instruments, other investment opportunities available to the Reporting Persons, conditions in the securities market and general economic and industry conditions, take such actions with respect to the investment in the Issuer and GoHealth Holdings, LLC as they deem appropriate. These actions may include, (i) acquiring additional shares of Class A Common Stock and/or other equity, term loans, revolving loans, other debt, notes, other securities, or derivative or other instruments that are based upon or relate to the value of securities or debt instruments of the Issuer or its subsidiaries (collectively, “Interests”) in the open market or otherwise; (ii) exercising or refraining from exercising any rights or obligations with respect to such Interests; (iii) disposing of any or all of their Interests in the open market or otherwise; (iv) engaging in any hedging or similar transactions with respect to the Interests; or (v) proposing or considering one or more of the actions described in subsections (a) through (j) of Item 4 of Schedule 13D.</w:t>
      </w:r>
    </w:p>
    <w:p>
      <w:pPr>
        <w:spacing w:after="0" w:line="16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Although the foregoing reflects activities presently contemplated by the Reporting Persons, the foregoing is subject to change at any time, and the Reporting Persons reserve their right to change their plans and intentions with respect to the Issuer, including in connection with any of the actions discussed in this Item 4. Any action taken by the Reporting Persons may be effected at any time and from time to time, subject to any applicable limitations imposed by any applicable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 of the Schedule 13D is hereby amended and restated in its entirety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 (b)</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following sets forth, as of the date of this Schedule 13D, the aggregate number of shares of Class A Common Stock and percentage of Class A Common Stock beneficially owned by each of the Reporting Persons, as well as the number of shares of Class A Common Stock as to which each Reporting Person has the sole power to vote or to direct the vote, shared power to vote or to direct the vote, sole power to dispose or to direct the disposition of, or shared power to dispose or to direct the disposition of, as of the date hereof, based on 9,511,860 shares of Class A Common Stock outstanding as of August 2, 2023, as provided by the Issuer in the Quarterly Report on Form 10-Q filed by the Issuer on August 10, 2023, plus, as applicable, 6,178,532 and 2,921 shares of Class A Common Stock underlying the LLC Interests held of record by NVX and BCCJ, respectively:</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Sole power to</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Shared power</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Amount</w:t>
            </w: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Sole power to</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Shared power</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dispose or to</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4"/>
              </w:rPr>
              <w:t>to dispose or</w:t>
            </w:r>
          </w:p>
        </w:tc>
        <w:tc>
          <w:tcPr>
            <w:tcW w:w="0" w:type="dxa"/>
            <w:vAlign w:val="bottom"/>
          </w:tcPr>
          <w:p>
            <w:pPr>
              <w:spacing w:after="0"/>
              <w:rPr>
                <w:sz w:val="1"/>
                <w:szCs w:val="1"/>
                <w:color w:val="auto"/>
              </w:rPr>
            </w:pPr>
          </w:p>
        </w:tc>
      </w:tr>
      <w:tr>
        <w:trPr>
          <w:trHeight w:val="216"/>
        </w:trPr>
        <w:tc>
          <w:tcPr>
            <w:tcW w:w="2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beneficially</w:t>
            </w:r>
          </w:p>
        </w:tc>
        <w:tc>
          <w:tcPr>
            <w:tcW w:w="1540" w:type="dxa"/>
            <w:vAlign w:val="bottom"/>
            <w:gridSpan w:val="2"/>
          </w:tcPr>
          <w:p>
            <w:pPr>
              <w:ind w:left="280"/>
              <w:spacing w:after="0"/>
              <w:rPr>
                <w:sz w:val="20"/>
                <w:szCs w:val="20"/>
                <w:color w:val="auto"/>
              </w:rPr>
            </w:pPr>
            <w:r>
              <w:rPr>
                <w:rFonts w:ascii="Arial" w:cs="Arial" w:eastAsia="Arial" w:hAnsi="Arial"/>
                <w:sz w:val="18"/>
                <w:szCs w:val="18"/>
                <w:b w:val="1"/>
                <w:bCs w:val="1"/>
                <w:color w:val="auto"/>
              </w:rPr>
              <w:t>Percent</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vote or to</w:t>
            </w:r>
          </w:p>
        </w:tc>
        <w:tc>
          <w:tcPr>
            <w:tcW w:w="14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to vote or to</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direct the</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to direct the</w:t>
            </w:r>
          </w:p>
        </w:tc>
        <w:tc>
          <w:tcPr>
            <w:tcW w:w="0" w:type="dxa"/>
            <w:vAlign w:val="bottom"/>
          </w:tcPr>
          <w:p>
            <w:pPr>
              <w:spacing w:after="0"/>
              <w:rPr>
                <w:sz w:val="1"/>
                <w:szCs w:val="1"/>
                <w:color w:val="auto"/>
              </w:rPr>
            </w:pPr>
          </w:p>
        </w:tc>
      </w:t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Reporting Person</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owned</w:t>
            </w:r>
          </w:p>
        </w:tc>
        <w:tc>
          <w:tcPr>
            <w:tcW w:w="340" w:type="dxa"/>
            <w:vAlign w:val="bottom"/>
          </w:tcPr>
          <w:p>
            <w:pPr>
              <w:spacing w:after="0"/>
              <w:rPr>
                <w:sz w:val="20"/>
                <w:szCs w:val="20"/>
                <w:color w:val="auto"/>
              </w:rPr>
            </w:pP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of class</w:t>
            </w:r>
          </w:p>
        </w:tc>
        <w:tc>
          <w:tcPr>
            <w:tcW w:w="4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direct the vote</w:t>
            </w:r>
          </w:p>
        </w:tc>
        <w:tc>
          <w:tcPr>
            <w:tcW w:w="320" w:type="dxa"/>
            <w:vAlign w:val="bottom"/>
          </w:tcPr>
          <w:p>
            <w:pPr>
              <w:spacing w:after="0"/>
              <w:rPr>
                <w:sz w:val="20"/>
                <w:szCs w:val="20"/>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direct the vote</w:t>
            </w: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disposition</w:t>
            </w: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disposition</w:t>
            </w:r>
          </w:p>
        </w:tc>
        <w:tc>
          <w:tcPr>
            <w:tcW w:w="0" w:type="dxa"/>
            <w:vAlign w:val="bottom"/>
          </w:tcPr>
          <w:p>
            <w:pPr>
              <w:spacing w:after="0"/>
              <w:rPr>
                <w:sz w:val="1"/>
                <w:szCs w:val="1"/>
                <w:color w:val="auto"/>
              </w:rPr>
            </w:pPr>
          </w:p>
        </w:tc>
      </w:tr>
      <w:tr>
        <w:trPr>
          <w:trHeight w:val="27"/>
        </w:trPr>
        <w:tc>
          <w:tcPr>
            <w:tcW w:w="250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40" w:type="dxa"/>
            <w:vAlign w:val="bottom"/>
            <w:vMerge w:val="restart"/>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320" w:type="dxa"/>
            <w:vAlign w:val="bottom"/>
            <w:vMerge w:val="restart"/>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vMerge w:val="restart"/>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NVX Holdings, Inc.</w:t>
            </w:r>
          </w:p>
        </w:tc>
        <w:tc>
          <w:tcPr>
            <w:tcW w:w="220" w:type="dxa"/>
            <w:vAlign w:val="bottom"/>
            <w:vMerge w:val="continue"/>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6,232,352</w:t>
            </w:r>
          </w:p>
        </w:tc>
        <w:tc>
          <w:tcPr>
            <w:tcW w:w="340" w:type="dxa"/>
            <w:vAlign w:val="bottom"/>
            <w:vMerge w:val="continue"/>
            <w:shd w:val="clear" w:color="auto" w:fill="CCEEFF"/>
          </w:tcPr>
          <w:p>
            <w:pPr>
              <w:spacing w:after="0"/>
              <w:rPr>
                <w:sz w:val="18"/>
                <w:szCs w:val="18"/>
                <w:color w:val="auto"/>
              </w:rPr>
            </w:pP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39.6%</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6,232,352</w:t>
            </w:r>
          </w:p>
        </w:tc>
        <w:tc>
          <w:tcPr>
            <w:tcW w:w="340" w:type="dxa"/>
            <w:vAlign w:val="bottom"/>
            <w:vMerge w:val="continue"/>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320" w:type="dxa"/>
            <w:vAlign w:val="bottom"/>
            <w:vMerge w:val="continue"/>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6,232,352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20" w:type="dxa"/>
            <w:vAlign w:val="bottom"/>
            <w:gridSpan w:val="2"/>
          </w:tcPr>
          <w:p>
            <w:pPr>
              <w:spacing w:after="0"/>
              <w:rPr>
                <w:sz w:val="20"/>
                <w:szCs w:val="20"/>
                <w:color w:val="auto"/>
              </w:rPr>
            </w:pPr>
            <w:r>
              <w:rPr>
                <w:rFonts w:ascii="Arial" w:cs="Arial" w:eastAsia="Arial" w:hAnsi="Arial"/>
                <w:sz w:val="18"/>
                <w:szCs w:val="18"/>
                <w:color w:val="auto"/>
              </w:rPr>
              <w:t>Brandon M. Cruz</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6,455,336</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41.1%</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208,197</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6,247,139</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208,197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6,247,139</w:t>
            </w:r>
          </w:p>
        </w:tc>
        <w:tc>
          <w:tcPr>
            <w:tcW w:w="0" w:type="dxa"/>
            <w:vAlign w:val="bottom"/>
          </w:tcPr>
          <w:p>
            <w:pPr>
              <w:spacing w:after="0"/>
              <w:rPr>
                <w:sz w:val="1"/>
                <w:szCs w:val="1"/>
                <w:color w:val="auto"/>
              </w:rPr>
            </w:pPr>
          </w:p>
        </w:tc>
      </w:tr>
      <w:tr>
        <w:trPr>
          <w:trHeight w:val="216"/>
        </w:trPr>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Clinton P. Jones</w:t>
            </w:r>
          </w:p>
        </w:tc>
        <w:tc>
          <w:tcPr>
            <w:tcW w:w="14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6,455,336</w:t>
            </w:r>
          </w:p>
        </w:tc>
        <w:tc>
          <w:tcPr>
            <w:tcW w:w="15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41.1%</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208,197</w:t>
            </w:r>
          </w:p>
        </w:tc>
        <w:tc>
          <w:tcPr>
            <w:tcW w:w="14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6,247,139</w:t>
            </w:r>
          </w:p>
        </w:tc>
        <w:tc>
          <w:tcPr>
            <w:tcW w:w="1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208,197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6,247,139</w:t>
            </w:r>
          </w:p>
        </w:tc>
        <w:tc>
          <w:tcPr>
            <w:tcW w:w="0" w:type="dxa"/>
            <w:vAlign w:val="bottom"/>
          </w:tcPr>
          <w:p>
            <w:pPr>
              <w:spacing w:after="0"/>
              <w:rPr>
                <w:sz w:val="1"/>
                <w:szCs w:val="1"/>
                <w:color w:val="auto"/>
              </w:rPr>
            </w:pPr>
          </w:p>
        </w:tc>
      </w:tr>
      <w:tr>
        <w:trPr>
          <w:trHeight w:val="230"/>
        </w:trPr>
        <w:tc>
          <w:tcPr>
            <w:tcW w:w="2720" w:type="dxa"/>
            <w:vAlign w:val="bottom"/>
            <w:gridSpan w:val="2"/>
          </w:tcPr>
          <w:p>
            <w:pPr>
              <w:spacing w:after="0"/>
              <w:rPr>
                <w:sz w:val="20"/>
                <w:szCs w:val="20"/>
                <w:color w:val="auto"/>
              </w:rPr>
            </w:pPr>
            <w:r>
              <w:rPr>
                <w:rFonts w:ascii="Arial" w:cs="Arial" w:eastAsia="Arial" w:hAnsi="Arial"/>
                <w:sz w:val="18"/>
                <w:szCs w:val="18"/>
                <w:color w:val="auto"/>
              </w:rPr>
              <w:t>BCCJ, LLC</w:t>
            </w:r>
          </w:p>
        </w:tc>
        <w:tc>
          <w:tcPr>
            <w:tcW w:w="1480" w:type="dxa"/>
            <w:vAlign w:val="bottom"/>
            <w:gridSpan w:val="2"/>
          </w:tcPr>
          <w:p>
            <w:pPr>
              <w:jc w:val="right"/>
              <w:ind w:right="340"/>
              <w:spacing w:after="0"/>
              <w:rPr>
                <w:sz w:val="20"/>
                <w:szCs w:val="20"/>
                <w:color w:val="auto"/>
              </w:rPr>
            </w:pPr>
            <w:r>
              <w:rPr>
                <w:rFonts w:ascii="Arial" w:cs="Arial" w:eastAsia="Arial" w:hAnsi="Arial"/>
                <w:sz w:val="18"/>
                <w:szCs w:val="18"/>
                <w:color w:val="auto"/>
              </w:rPr>
              <w:t>14,787</w:t>
            </w:r>
          </w:p>
        </w:tc>
        <w:tc>
          <w:tcPr>
            <w:tcW w:w="1540" w:type="dxa"/>
            <w:vAlign w:val="bottom"/>
            <w:gridSpan w:val="2"/>
          </w:tcPr>
          <w:p>
            <w:pPr>
              <w:jc w:val="right"/>
              <w:ind w:right="240"/>
              <w:spacing w:after="0"/>
              <w:rPr>
                <w:sz w:val="20"/>
                <w:szCs w:val="20"/>
                <w:color w:val="auto"/>
              </w:rPr>
            </w:pPr>
            <w:r>
              <w:rPr>
                <w:rFonts w:ascii="Arial" w:cs="Arial" w:eastAsia="Arial" w:hAnsi="Arial"/>
                <w:sz w:val="18"/>
                <w:szCs w:val="18"/>
                <w:color w:val="auto"/>
              </w:rPr>
              <w:t>0.2%</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440" w:type="dxa"/>
            <w:vAlign w:val="bottom"/>
            <w:gridSpan w:val="2"/>
          </w:tcPr>
          <w:p>
            <w:pPr>
              <w:jc w:val="right"/>
              <w:ind w:right="320"/>
              <w:spacing w:after="0"/>
              <w:rPr>
                <w:sz w:val="20"/>
                <w:szCs w:val="20"/>
                <w:color w:val="auto"/>
              </w:rPr>
            </w:pPr>
            <w:r>
              <w:rPr>
                <w:rFonts w:ascii="Arial" w:cs="Arial" w:eastAsia="Arial" w:hAnsi="Arial"/>
                <w:sz w:val="18"/>
                <w:szCs w:val="18"/>
                <w:color w:val="auto"/>
              </w:rPr>
              <w:t>14,787</w:t>
            </w: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0</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14,787</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NVX is the record holder of 53,820 shares of Class A Common Stock and 6,178,532 LLC Interests. BCCJ is the record holder of 11,866 shares of Class A Common Stock and 2,921 LLC Interests. Each of Messrs. Jones and Cruz is the record holder of 4,967 shares of Class A Common Stock.</w:t>
      </w:r>
    </w:p>
    <w:p>
      <w:pPr>
        <w:spacing w:after="0" w:line="14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Messrs. Jones and Cruz are the Chief Executive Officer and President of NVX, respectively, and are members of the Board of Managers of BCCJ. As a result, each of Messrs. Jones and Cruz may be deemed to beneficially own the securities held by each of NVX and BCCJ.</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each of Messrs. Jones and Cruz may be deemed to beneficially own: (i) 5,016 shares of Class A Common Stock underlying stock options, (ii) 3,925 shares of Class A Common Stock underlying restricted stock units and (iii) 194,289 shares of Class A Common Stock underlying Blizzard Management Feeder LLC Interests, in each case that are currently vested or will vest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 w:name="page8"/>
    <w:bookmarkEnd w:id="7"/>
    <w:p>
      <w:pPr>
        <w:jc w:val="both"/>
        <w:spacing w:after="0" w:line="253" w:lineRule="auto"/>
        <w:rPr>
          <w:sz w:val="20"/>
          <w:szCs w:val="20"/>
          <w:color w:val="auto"/>
        </w:rPr>
      </w:pPr>
      <w:r>
        <w:rPr>
          <w:rFonts w:ascii="Arial" w:cs="Arial" w:eastAsia="Arial" w:hAnsi="Arial"/>
          <w:sz w:val="18"/>
          <w:szCs w:val="18"/>
          <w:color w:val="auto"/>
        </w:rPr>
        <w:t>By virtue of the agreements made pursuant to the Stockholders Agreement and the matters described in Item 4 above, the Reporting Persons and the CB Stockholders may constitute a “group” within the meaning of Section 13(d)(3) of the Securities Exchange Act of 1934 (the “Exchange Act”), which group may be deemed to collectively beneficially own 16,007,486 shares of Class A Common Stock of the Issuer, constituting approximately 75.9% of the 9,511,860 shares of the Class A Common Stock outstanding, plus the 5,386,178 shares of Class A Common Stock underlying the LLC Interests held of record by CB Blizzard B and the 6,181,453 shares of Class A Common Stock underlying the LLC Interests held of record by certain of the Reporting Persons, as calculated on the basis of Rule 13d-3 of the Exchange Act. However, the Reporting Persons expressly disclaim beneficial ownership of the 9,566,028 shares of Class A Common Stock (including 5,386,178 shares of Class A Common Stock underlying LLC Interests held of record by CB Blizzard B) beneficially owned by the CB Stockholders. The CB Stockholders have filed a separate Schedule 13D with respect to their interests in the Issuer and the Proposal.</w:t>
      </w:r>
    </w:p>
    <w:p>
      <w:pPr>
        <w:spacing w:after="0" w:line="196"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During the past 60 days, the Reporting Persons have not effected any transactions with respect to the Class A Common Stock.</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hereby supplemented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in Item 4 of this Schedule 13D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w:t>
      </w:r>
      <w:r>
        <w:rPr>
          <w:rFonts w:ascii="Arial" w:cs="Arial" w:eastAsia="Arial" w:hAnsi="Arial"/>
          <w:sz w:val="18"/>
          <w:szCs w:val="18"/>
          <w:color w:val="auto"/>
        </w:rPr>
        <w:t>: August 25, 2023</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NVX Holdings, Inc.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Brandon M. Cruz</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President</w:t>
      </w:r>
    </w:p>
    <w:p>
      <w:pPr>
        <w:spacing w:after="0" w:line="20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Clinton P. Jones</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Clinton P.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Brandon M. Cruz</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BCCJ, LLC</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Brandon M. Cruz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 Brandon M. Cruz</w:t>
      </w:r>
    </w:p>
    <w:p>
      <w:pPr>
        <w:spacing w:after="0" w:line="36"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1"/>
      <w:numFmt w:val="bullet"/>
      <w:start w:val="1"/>
    </w:lvl>
  </w:abstractNum>
  <w:abstractNum w:abstractNumId="2">
    <w:nsid w:val="4E6AFB66"/>
    <w:multiLevelType w:val="hybridMultilevel"/>
    <w:lvl w:ilvl="0">
      <w:lvlJc w:val="left"/>
      <w:lvlText w:val="2"/>
      <w:numFmt w:val="bullet"/>
      <w:start w:val="1"/>
    </w:lvl>
  </w:abstractNum>
  <w:abstractNum w:abstractNumId="3">
    <w:nsid w:val="25E45D32"/>
    <w:multiLevelType w:val="hybridMultilevel"/>
    <w:lvl w:ilvl="0">
      <w:lvlJc w:val="left"/>
      <w:lvlText w:val="3"/>
      <w:numFmt w:val="bullet"/>
      <w:start w:val="1"/>
    </w:lvl>
  </w:abstractNum>
  <w:abstractNum w:abstractNumId="4">
    <w:nsid w:val="519B500D"/>
    <w:multiLevelType w:val="hybridMultilevel"/>
    <w:lvl w:ilvl="0">
      <w:lvlJc w:val="left"/>
      <w:lvlText w:val="4"/>
      <w:numFmt w:val="bullet"/>
      <w:start w:val="1"/>
    </w:lvl>
  </w:abstractNum>
  <w:abstractNum w:abstractNumId="5">
    <w:nsid w:val="431BD7B7"/>
    <w:multiLevelType w:val="hybridMultilevel"/>
    <w:lvl w:ilvl="0">
      <w:lvlJc w:val="left"/>
      <w:lvlText w:val="5"/>
      <w:numFmt w:val="bullet"/>
      <w:start w:val="1"/>
    </w:lvl>
  </w:abstractNum>
  <w:abstractNum w:abstractNumId="6">
    <w:nsid w:val="3F2DBA31"/>
    <w:multiLevelType w:val="hybridMultilevel"/>
    <w:lvl w:ilvl="0">
      <w:lvlJc w:val="left"/>
      <w:lvlText w:val="6"/>
      <w:numFmt w:val="bullet"/>
      <w:start w:val="1"/>
    </w:lvl>
  </w:abstractNum>
  <w:abstractNum w:abstractNumId="7">
    <w:nsid w:val="7C83E458"/>
    <w:multiLevelType w:val="hybridMultilevel"/>
    <w:lvl w:ilvl="0">
      <w:lvlJc w:val="left"/>
      <w:lvlText w:val="%1"/>
      <w:numFmt w:val="decimal"/>
      <w:start w:val="11"/>
    </w:lvl>
  </w:abstractNum>
  <w:abstractNum w:abstractNumId="8">
    <w:nsid w:val="257130A3"/>
    <w:multiLevelType w:val="hybridMultilevel"/>
    <w:lvl w:ilvl="0">
      <w:lvlJc w:val="left"/>
      <w:lvlText w:val="1"/>
      <w:numFmt w:val="bullet"/>
      <w:start w:val="1"/>
    </w:lvl>
  </w:abstractNum>
  <w:abstractNum w:abstractNumId="9">
    <w:nsid w:val="62BBD95A"/>
    <w:multiLevelType w:val="hybridMultilevel"/>
    <w:lvl w:ilvl="0">
      <w:lvlJc w:val="left"/>
      <w:lvlText w:val="2"/>
      <w:numFmt w:val="bullet"/>
      <w:start w:val="1"/>
    </w:lvl>
  </w:abstractNum>
  <w:abstractNum w:abstractNumId="10">
    <w:nsid w:val="436C6125"/>
    <w:multiLevelType w:val="hybridMultilevel"/>
    <w:lvl w:ilvl="0">
      <w:lvlJc w:val="left"/>
      <w:lvlText w:val="3"/>
      <w:numFmt w:val="bullet"/>
      <w:start w:val="1"/>
    </w:lvl>
  </w:abstractNum>
  <w:abstractNum w:abstractNumId="11">
    <w:nsid w:val="628C895D"/>
    <w:multiLevelType w:val="hybridMultilevel"/>
    <w:lvl w:ilvl="0">
      <w:lvlJc w:val="left"/>
      <w:lvlText w:val="4"/>
      <w:numFmt w:val="bullet"/>
      <w:start w:val="1"/>
    </w:lvl>
  </w:abstractNum>
  <w:abstractNum w:abstractNumId="12">
    <w:nsid w:val="333AB105"/>
    <w:multiLevelType w:val="hybridMultilevel"/>
    <w:lvl w:ilvl="0">
      <w:lvlJc w:val="left"/>
      <w:lvlText w:val="5"/>
      <w:numFmt w:val="bullet"/>
      <w:start w:val="1"/>
    </w:lvl>
  </w:abstractNum>
  <w:abstractNum w:abstractNumId="13">
    <w:nsid w:val="721DA317"/>
    <w:multiLevelType w:val="hybridMultilevel"/>
    <w:lvl w:ilvl="0">
      <w:lvlJc w:val="left"/>
      <w:lvlText w:val="6"/>
      <w:numFmt w:val="bullet"/>
      <w:start w:val="1"/>
    </w:lvl>
  </w:abstractNum>
  <w:abstractNum w:abstractNumId="14">
    <w:nsid w:val="2443A858"/>
    <w:multiLevelType w:val="hybridMultilevel"/>
    <w:lvl w:ilvl="0">
      <w:lvlJc w:val="left"/>
      <w:lvlText w:val="%1"/>
      <w:numFmt w:val="decimal"/>
      <w:start w:val="11"/>
    </w:lvl>
  </w:abstractNum>
  <w:abstractNum w:abstractNumId="15">
    <w:nsid w:val="2D1D5AE9"/>
    <w:multiLevelType w:val="hybridMultilevel"/>
    <w:lvl w:ilvl="0">
      <w:lvlJc w:val="left"/>
      <w:lvlText w:val="1"/>
      <w:numFmt w:val="bullet"/>
      <w:start w:val="1"/>
    </w:lvl>
  </w:abstractNum>
  <w:abstractNum w:abstractNumId="16">
    <w:nsid w:val="6763845E"/>
    <w:multiLevelType w:val="hybridMultilevel"/>
    <w:lvl w:ilvl="0">
      <w:lvlJc w:val="left"/>
      <w:lvlText w:val="2"/>
      <w:numFmt w:val="bullet"/>
      <w:start w:val="1"/>
    </w:lvl>
  </w:abstractNum>
  <w:abstractNum w:abstractNumId="17">
    <w:nsid w:val="75A2A8D4"/>
    <w:multiLevelType w:val="hybridMultilevel"/>
    <w:lvl w:ilvl="0">
      <w:lvlJc w:val="left"/>
      <w:lvlText w:val="(%1)"/>
      <w:numFmt w:val="lowerLetter"/>
      <w:start w:val="1"/>
    </w:lvl>
  </w:abstractNum>
  <w:abstractNum w:abstractNumId="18">
    <w:nsid w:val="8EDBDAB"/>
    <w:multiLevelType w:val="hybridMultilevel"/>
    <w:lvl w:ilvl="0">
      <w:lvlJc w:val="left"/>
      <w:lvlText w:val="4"/>
      <w:numFmt w:val="bullet"/>
      <w:start w:val="1"/>
    </w:lvl>
  </w:abstractNum>
  <w:abstractNum w:abstractNumId="19">
    <w:nsid w:val="79838CB2"/>
    <w:multiLevelType w:val="hybridMultilevel"/>
    <w:lvl w:ilvl="0">
      <w:lvlJc w:val="left"/>
      <w:lvlText w:val="5"/>
      <w:numFmt w:val="bullet"/>
      <w:start w:val="1"/>
    </w:lvl>
  </w:abstractNum>
  <w:abstractNum w:abstractNumId="20">
    <w:nsid w:val="4353D0CD"/>
    <w:multiLevelType w:val="hybridMultilevel"/>
    <w:lvl w:ilvl="0">
      <w:lvlJc w:val="left"/>
      <w:lvlText w:val="6"/>
      <w:numFmt w:val="bullet"/>
      <w:start w:val="1"/>
    </w:lvl>
  </w:abstractNum>
  <w:abstractNum w:abstractNumId="21">
    <w:nsid w:val="B03E0C6"/>
    <w:multiLevelType w:val="hybridMultilevel"/>
    <w:lvl w:ilvl="0">
      <w:lvlJc w:val="left"/>
      <w:lvlText w:val="%1"/>
      <w:numFmt w:val="decimal"/>
      <w:start w:val="11"/>
    </w:lvl>
  </w:abstractNum>
  <w:abstractNum w:abstractNumId="22">
    <w:nsid w:val="189A769B"/>
    <w:multiLevelType w:val="hybridMultilevel"/>
    <w:lvl w:ilvl="0">
      <w:lvlJc w:val="left"/>
      <w:lvlText w:val="1"/>
      <w:numFmt w:val="bullet"/>
      <w:start w:val="1"/>
    </w:lvl>
  </w:abstractNum>
  <w:abstractNum w:abstractNumId="23">
    <w:nsid w:val="54E49EB4"/>
    <w:multiLevelType w:val="hybridMultilevel"/>
    <w:lvl w:ilvl="0">
      <w:lvlJc w:val="left"/>
      <w:lvlText w:val="2"/>
      <w:numFmt w:val="bullet"/>
      <w:start w:val="1"/>
    </w:lvl>
  </w:abstractNum>
  <w:abstractNum w:abstractNumId="24">
    <w:nsid w:val="71F32454"/>
    <w:multiLevelType w:val="hybridMultilevel"/>
    <w:lvl w:ilvl="0">
      <w:lvlJc w:val="left"/>
      <w:lvlText w:val="(%1)"/>
      <w:numFmt w:val="lowerLetter"/>
      <w:start w:val="1"/>
    </w:lvl>
  </w:abstractNum>
  <w:abstractNum w:abstractNumId="25">
    <w:nsid w:val="2CA88611"/>
    <w:multiLevelType w:val="hybridMultilevel"/>
    <w:lvl w:ilvl="0">
      <w:lvlJc w:val="left"/>
      <w:lvlText w:val="4"/>
      <w:numFmt w:val="bullet"/>
      <w:start w:val="1"/>
    </w:lvl>
  </w:abstractNum>
  <w:abstractNum w:abstractNumId="26">
    <w:nsid w:val="836C40E"/>
    <w:multiLevelType w:val="hybridMultilevel"/>
    <w:lvl w:ilvl="0">
      <w:lvlJc w:val="left"/>
      <w:lvlText w:val="5"/>
      <w:numFmt w:val="bullet"/>
      <w:start w:val="1"/>
    </w:lvl>
  </w:abstractNum>
  <w:abstractNum w:abstractNumId="27">
    <w:nsid w:val="2901D82"/>
    <w:multiLevelType w:val="hybridMultilevel"/>
    <w:lvl w:ilvl="0">
      <w:lvlJc w:val="left"/>
      <w:lvlText w:val="6"/>
      <w:numFmt w:val="bullet"/>
      <w:start w:val="1"/>
    </w:lvl>
  </w:abstractNum>
  <w:abstractNum w:abstractNumId="28">
    <w:nsid w:val="3A95F874"/>
    <w:multiLevelType w:val="hybridMultilevel"/>
    <w:lvl w:ilvl="0">
      <w:lvlJc w:val="left"/>
      <w:lvlText w:val="%1"/>
      <w:numFmt w:val="decimal"/>
      <w:start w:val="11"/>
    </w:lvl>
  </w:abstractNum>
  <w:abstractNum w:abstractNumId="29">
    <w:nsid w:val="8138641"/>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2023-08-25T05:42:20Z</dcterms:created>
  <dcterms:modified xsi:type="dcterms:W3CDTF">2023-08-25T05:42:20Z</dcterms:modified>
</cp:coreProperties>
</file>